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C81" w:rsidRPr="00030DED" w:rsidRDefault="000E2C81" w:rsidP="00762FA0">
      <w:pPr>
        <w:pStyle w:val="NormalWeb"/>
        <w:spacing w:before="0" w:beforeAutospacing="0" w:after="0" w:afterAutospacing="0"/>
        <w:jc w:val="center"/>
        <w:rPr>
          <w:sz w:val="20"/>
          <w:szCs w:val="20"/>
          <w:lang w:eastAsia="zh-CN"/>
        </w:rPr>
      </w:pPr>
    </w:p>
    <w:p w:rsidR="00541A78" w:rsidRDefault="00C226B1" w:rsidP="00541A78">
      <w:pPr>
        <w:pStyle w:val="NormalWeb"/>
        <w:spacing w:before="0" w:beforeAutospacing="0" w:after="0" w:afterAutospacing="0"/>
        <w:jc w:val="right"/>
        <w:rPr>
          <w:rFonts w:eastAsia="Times New Roman"/>
          <w:b/>
          <w:sz w:val="20"/>
          <w:szCs w:val="20"/>
          <w:lang w:eastAsia="zh-CN"/>
        </w:rPr>
      </w:pPr>
      <w:r w:rsidRPr="00C226B1">
        <w:rPr>
          <w:rFonts w:eastAsia="Times New Roman"/>
          <w:b/>
          <w:sz w:val="20"/>
          <w:szCs w:val="20"/>
          <w:lang w:eastAsia="zh-CN"/>
        </w:rPr>
        <w:t>E</w:t>
      </w:r>
      <w:r w:rsidR="00541A78">
        <w:rPr>
          <w:rFonts w:eastAsia="Times New Roman"/>
          <w:b/>
          <w:sz w:val="20"/>
          <w:szCs w:val="20"/>
          <w:lang w:eastAsia="zh-CN"/>
        </w:rPr>
        <w:t>STIMATING THE IMPACT OF FREE-PLAY COUPON VALUE ON PLAYERS’ SLOT GAMING VOLUMES</w:t>
      </w:r>
    </w:p>
    <w:p w:rsidR="00541A78" w:rsidRPr="00030DED" w:rsidRDefault="00541A78" w:rsidP="00541A78">
      <w:pPr>
        <w:pStyle w:val="NormalWeb"/>
        <w:spacing w:before="0" w:beforeAutospacing="0" w:after="0" w:afterAutospacing="0"/>
        <w:jc w:val="right"/>
        <w:rPr>
          <w:rFonts w:eastAsia="Times New Roman"/>
          <w:sz w:val="20"/>
          <w:szCs w:val="20"/>
          <w:lang w:eastAsia="zh-CN"/>
        </w:rPr>
      </w:pPr>
    </w:p>
    <w:p w:rsidR="00541A78" w:rsidRPr="00030DED" w:rsidRDefault="00541A78" w:rsidP="00541A78">
      <w:pPr>
        <w:jc w:val="right"/>
        <w:rPr>
          <w:rFonts w:eastAsia="Times New Roman"/>
          <w:sz w:val="20"/>
          <w:szCs w:val="20"/>
        </w:rPr>
      </w:pPr>
      <w:r w:rsidRPr="00030DED">
        <w:rPr>
          <w:rFonts w:eastAsia="Times New Roman"/>
          <w:sz w:val="20"/>
          <w:szCs w:val="20"/>
        </w:rPr>
        <w:t>Eunju Suh</w:t>
      </w:r>
    </w:p>
    <w:p w:rsidR="00541A78" w:rsidRPr="00030DED" w:rsidRDefault="00541A78" w:rsidP="00541A78">
      <w:pPr>
        <w:pStyle w:val="Title"/>
        <w:jc w:val="right"/>
        <w:rPr>
          <w:rFonts w:ascii="Times New Roman" w:hAnsi="Times New Roman" w:cs="Times New Roman"/>
          <w:sz w:val="20"/>
          <w:szCs w:val="20"/>
        </w:rPr>
      </w:pPr>
      <w:r w:rsidRPr="00030DED">
        <w:rPr>
          <w:rFonts w:ascii="Times New Roman" w:hAnsi="Times New Roman" w:cs="Times New Roman"/>
          <w:sz w:val="20"/>
          <w:szCs w:val="20"/>
        </w:rPr>
        <w:t xml:space="preserve">Florida International University </w:t>
      </w:r>
    </w:p>
    <w:p w:rsidR="00541A78" w:rsidRPr="00030DED" w:rsidRDefault="00541A78" w:rsidP="00541A78">
      <w:pPr>
        <w:pStyle w:val="Title"/>
        <w:ind w:right="100"/>
        <w:jc w:val="right"/>
        <w:rPr>
          <w:rFonts w:ascii="Times New Roman" w:hAnsi="Times New Roman" w:cs="Times New Roman"/>
          <w:sz w:val="20"/>
          <w:szCs w:val="20"/>
        </w:rPr>
      </w:pPr>
      <w:r w:rsidRPr="00030DED">
        <w:rPr>
          <w:rFonts w:ascii="Times New Roman" w:hAnsi="Times New Roman" w:cs="Times New Roman"/>
          <w:sz w:val="20"/>
          <w:szCs w:val="20"/>
        </w:rPr>
        <w:t>North Miami, FL 33181-3000</w:t>
      </w:r>
    </w:p>
    <w:p w:rsidR="00541A78" w:rsidRPr="00030DED" w:rsidRDefault="00541A78" w:rsidP="00541A78">
      <w:pPr>
        <w:rPr>
          <w:sz w:val="20"/>
          <w:szCs w:val="20"/>
        </w:rPr>
      </w:pPr>
    </w:p>
    <w:p w:rsidR="009C6FDB" w:rsidRDefault="00C226B1">
      <w:pPr>
        <w:jc w:val="center"/>
        <w:rPr>
          <w:b/>
          <w:sz w:val="20"/>
          <w:szCs w:val="20"/>
          <w:lang w:val="es-MX"/>
        </w:rPr>
      </w:pPr>
      <w:r w:rsidRPr="00C226B1">
        <w:rPr>
          <w:b/>
          <w:sz w:val="20"/>
          <w:szCs w:val="20"/>
          <w:lang w:val="es-MX"/>
        </w:rPr>
        <w:t>ABSTRACT</w:t>
      </w:r>
    </w:p>
    <w:p w:rsidR="009C6FDB" w:rsidRDefault="009C6FDB">
      <w:pPr>
        <w:jc w:val="center"/>
        <w:rPr>
          <w:sz w:val="20"/>
          <w:szCs w:val="20"/>
          <w:lang w:val="es-MX"/>
        </w:rPr>
      </w:pPr>
    </w:p>
    <w:p w:rsidR="009C6FDB" w:rsidRDefault="00C226B1">
      <w:pPr>
        <w:ind w:firstLine="720"/>
        <w:rPr>
          <w:sz w:val="20"/>
          <w:szCs w:val="20"/>
        </w:rPr>
      </w:pPr>
      <w:r w:rsidRPr="00C226B1">
        <w:rPr>
          <w:sz w:val="20"/>
          <w:szCs w:val="20"/>
        </w:rPr>
        <w:t xml:space="preserve">This study reports the results of a field experiment that assessed the relationship between free-play coupon value and a player’s slot wagering volume.  Customers in the player database of a Las Vegas hotel casino were assigned to either a $50 free-play incentive (control offer) or a $100 free-play incentive (experimental offer).  Results indicated little effect of free-play coupon value on slot gaming volumes.  Furthermore, the estimated net cash flow per player by coupon value indicated that a $50 incentive was more profitable than a$100 offer.  These findings imply that a higher incentive value is not necessarily more effective than a comparable lower incentive value in increasing a player’s slot gaming volume and coupon profitability. </w:t>
      </w:r>
    </w:p>
    <w:p w:rsidR="009C6FDB" w:rsidRDefault="009C6FDB">
      <w:pPr>
        <w:pStyle w:val="NormalWeb"/>
        <w:spacing w:before="0" w:beforeAutospacing="0" w:after="0" w:afterAutospacing="0"/>
        <w:rPr>
          <w:sz w:val="20"/>
          <w:szCs w:val="20"/>
          <w:lang w:eastAsia="zh-CN"/>
        </w:rPr>
      </w:pPr>
    </w:p>
    <w:p w:rsidR="009C6FDB" w:rsidRDefault="00C226B1">
      <w:pPr>
        <w:pStyle w:val="NormalWeb"/>
        <w:spacing w:before="0" w:beforeAutospacing="0" w:after="0" w:afterAutospacing="0"/>
        <w:rPr>
          <w:sz w:val="20"/>
          <w:szCs w:val="20"/>
          <w:lang w:eastAsia="zh-CN"/>
        </w:rPr>
      </w:pPr>
      <w:r w:rsidRPr="00C226B1">
        <w:rPr>
          <w:b/>
          <w:sz w:val="20"/>
          <w:szCs w:val="20"/>
        </w:rPr>
        <w:t>Key Words:</w:t>
      </w:r>
      <w:r w:rsidRPr="00C226B1">
        <w:rPr>
          <w:sz w:val="20"/>
          <w:szCs w:val="20"/>
        </w:rPr>
        <w:t xml:space="preserve"> Casino marketing, Coupons, Direct mail </w:t>
      </w:r>
      <w:r w:rsidR="00851B17">
        <w:rPr>
          <w:sz w:val="20"/>
          <w:szCs w:val="20"/>
        </w:rPr>
        <w:t>marketing</w:t>
      </w:r>
      <w:r w:rsidRPr="00C226B1">
        <w:rPr>
          <w:sz w:val="20"/>
          <w:szCs w:val="20"/>
        </w:rPr>
        <w:t xml:space="preserve">, Casino Operations, Database marketing </w:t>
      </w:r>
    </w:p>
    <w:p w:rsidR="009C6FDB" w:rsidRDefault="009C6FDB">
      <w:pPr>
        <w:pStyle w:val="NormalWeb"/>
        <w:spacing w:before="0" w:beforeAutospacing="0" w:after="0" w:afterAutospacing="0"/>
        <w:rPr>
          <w:sz w:val="20"/>
          <w:szCs w:val="20"/>
          <w:lang w:eastAsia="zh-CN"/>
        </w:rPr>
      </w:pPr>
    </w:p>
    <w:p w:rsidR="009C6FDB" w:rsidRDefault="00C226B1">
      <w:pPr>
        <w:jc w:val="center"/>
        <w:rPr>
          <w:b/>
          <w:sz w:val="20"/>
          <w:szCs w:val="20"/>
          <w:lang w:val="es-MX"/>
        </w:rPr>
      </w:pPr>
      <w:r w:rsidRPr="00C226B1">
        <w:rPr>
          <w:b/>
          <w:sz w:val="20"/>
          <w:szCs w:val="20"/>
          <w:lang w:val="es-MX"/>
        </w:rPr>
        <w:t>INTRODUCTION</w:t>
      </w:r>
    </w:p>
    <w:p w:rsidR="009C6FDB" w:rsidRDefault="009C6FDB">
      <w:pPr>
        <w:ind w:firstLine="720"/>
        <w:rPr>
          <w:sz w:val="20"/>
          <w:szCs w:val="20"/>
        </w:rPr>
      </w:pPr>
    </w:p>
    <w:p w:rsidR="009C6FDB" w:rsidRDefault="00C226B1">
      <w:pPr>
        <w:ind w:firstLine="720"/>
        <w:rPr>
          <w:sz w:val="20"/>
          <w:szCs w:val="20"/>
        </w:rPr>
      </w:pPr>
      <w:r w:rsidRPr="00C226B1">
        <w:rPr>
          <w:sz w:val="20"/>
          <w:szCs w:val="20"/>
        </w:rPr>
        <w:t xml:space="preserve">As today’s U.S. casino markets become more competitive and mature, effective marketing for player acquisition and retention is crucial for the overall success of casino operations (Gu, 2002; Kilby, Fox, and Lucas, 2004; Lucas, Dunn, and Singh, 2005; Lucas and Kilby, 2008).  In an attempt to increase guest traffic to the casino and retain players, casino marketers employ variety of marketing programs.  For example, free-play offers for slots and match play coupons for blackjack tables games as a marketing tool, are well-known and widely used in the gaming industry (Kilby, Fox, and Lucas, 2004; Lucas and Bowen, 2002; Lucas et al., 2005; Lucas and Kilby, 2008).  By offering these incentives, casino marketers hope to attract new customers who may not be familiar with casino games and/or encourage them to join the casino’s membership program (Lucas, 2004; Lucas et al., 2005; Lucas and Kilby, 2008).  With respect to existing customers, these incentives are often viewed as an investment in players in an effort to generate additional casino trips and play (Lucas, 2004; Lucas et al., 2005; Lucas and Kilby, 2008).  </w:t>
      </w:r>
    </w:p>
    <w:p w:rsidR="009C6FDB" w:rsidRDefault="009C6FDB">
      <w:pPr>
        <w:ind w:firstLine="720"/>
        <w:rPr>
          <w:sz w:val="20"/>
          <w:szCs w:val="20"/>
        </w:rPr>
      </w:pPr>
    </w:p>
    <w:p w:rsidR="009C6FDB" w:rsidRDefault="00C226B1">
      <w:pPr>
        <w:ind w:firstLine="720"/>
        <w:rPr>
          <w:sz w:val="20"/>
          <w:szCs w:val="20"/>
        </w:rPr>
      </w:pPr>
      <w:r w:rsidRPr="00C226B1">
        <w:rPr>
          <w:sz w:val="20"/>
          <w:szCs w:val="20"/>
        </w:rPr>
        <w:t xml:space="preserve">Despite the wide use of monetary play incentives in the gaming industry, little is known of the impact of monetary incentives on player behavior.  It is possible that gaming volumes may not necessarily increase with the face value of a play incentive.  Even though gaming volume has increased because of the higher value coupon, the incremental costs associated with the high incentive value could in fact erode the profitability of the offers.  </w:t>
      </w:r>
      <w:r w:rsidR="002B06B9">
        <w:rPr>
          <w:sz w:val="20"/>
          <w:szCs w:val="20"/>
        </w:rPr>
        <w:t>In fact, s</w:t>
      </w:r>
      <w:r w:rsidRPr="00C226B1">
        <w:rPr>
          <w:sz w:val="20"/>
          <w:szCs w:val="20"/>
        </w:rPr>
        <w:t xml:space="preserve">everal researchers and industry pundits have pointed out that casino marketers often raise the values of play incentives merely to remain on par with competition, and this often damages the profitability of the incentives (Lucas, Kilby and Santos, 2002; Lucas et al., 2005; Lucas and Kilby, 2008).  </w:t>
      </w:r>
    </w:p>
    <w:p w:rsidR="009C6FDB" w:rsidRDefault="009C6FDB">
      <w:pPr>
        <w:ind w:firstLine="720"/>
        <w:rPr>
          <w:sz w:val="20"/>
          <w:szCs w:val="20"/>
        </w:rPr>
      </w:pPr>
    </w:p>
    <w:p w:rsidR="00000000" w:rsidRDefault="00C226B1">
      <w:pPr>
        <w:ind w:firstLine="720"/>
        <w:rPr>
          <w:sz w:val="20"/>
          <w:szCs w:val="20"/>
          <w:lang w:eastAsia="zh-TW"/>
        </w:rPr>
      </w:pPr>
      <w:r w:rsidRPr="00C226B1">
        <w:rPr>
          <w:sz w:val="20"/>
          <w:szCs w:val="20"/>
        </w:rPr>
        <w:t>This study examined the relationship between free-play coupon value and a player’s slot gaming volume (coin-in) by varying coupon value:  a coupon representing a high incentive value ($100) and the other representing a low incentive value ($50).  Furthermore, the current study estimated the profitability of each of the two coupons per player basis.  The significance of the current investigation is two-fold.  First, it extends the work of Lucas et al. (2005) on the slot gaming contribution of free-play offers by addressing the effect of free-play coupon value on a player’s slot gaming volumes.  Second, this study provides a basis for understanding on the relationship between play incentive value and a player’s slot gaming volume, helping casino marketers design more effective and cost-efficient marketing programs.</w:t>
      </w:r>
      <w:r w:rsidR="005974BA">
        <w:rPr>
          <w:sz w:val="20"/>
          <w:szCs w:val="20"/>
        </w:rPr>
        <w:br w:type="page"/>
      </w:r>
    </w:p>
    <w:p w:rsidR="009C6FDB" w:rsidRDefault="00C226B1">
      <w:pPr>
        <w:pStyle w:val="NormalWeb"/>
        <w:spacing w:before="0" w:beforeAutospacing="0" w:after="0" w:afterAutospacing="0"/>
        <w:jc w:val="center"/>
        <w:rPr>
          <w:b/>
          <w:sz w:val="20"/>
          <w:szCs w:val="20"/>
        </w:rPr>
      </w:pPr>
      <w:r w:rsidRPr="00C226B1">
        <w:rPr>
          <w:b/>
          <w:sz w:val="20"/>
          <w:szCs w:val="20"/>
        </w:rPr>
        <w:lastRenderedPageBreak/>
        <w:t>LITERATURE REVIEW</w:t>
      </w:r>
    </w:p>
    <w:p w:rsidR="009C6FDB" w:rsidRDefault="009C6FDB">
      <w:pPr>
        <w:pStyle w:val="NormalWeb"/>
        <w:spacing w:before="0" w:beforeAutospacing="0" w:after="0" w:afterAutospacing="0"/>
        <w:ind w:firstLine="720"/>
        <w:rPr>
          <w:sz w:val="20"/>
          <w:szCs w:val="20"/>
        </w:rPr>
      </w:pPr>
    </w:p>
    <w:p w:rsidR="009C6FDB" w:rsidRDefault="00C226B1">
      <w:pPr>
        <w:pStyle w:val="NormalWeb"/>
        <w:spacing w:before="0" w:beforeAutospacing="0" w:after="0" w:afterAutospacing="0"/>
        <w:rPr>
          <w:sz w:val="20"/>
          <w:szCs w:val="20"/>
        </w:rPr>
      </w:pPr>
      <w:r w:rsidRPr="00C226B1">
        <w:rPr>
          <w:sz w:val="20"/>
          <w:szCs w:val="20"/>
        </w:rPr>
        <w:t>Coupon Face Value</w:t>
      </w:r>
    </w:p>
    <w:p w:rsidR="00000000" w:rsidRDefault="00C226B1">
      <w:pPr>
        <w:pStyle w:val="NormalWeb"/>
        <w:spacing w:before="0" w:beforeAutospacing="0" w:after="0" w:afterAutospacing="0"/>
        <w:ind w:firstLine="720"/>
        <w:rPr>
          <w:sz w:val="20"/>
          <w:szCs w:val="20"/>
        </w:rPr>
      </w:pPr>
      <w:r w:rsidRPr="00C226B1">
        <w:rPr>
          <w:sz w:val="20"/>
          <w:szCs w:val="20"/>
        </w:rPr>
        <w:t xml:space="preserve">The marketing literature contains some empirical evidence regarding the effect of coupon face value on consumer behavior.  Using the data from a consumer goods company offering coupons, Reibstein and Traver (1982) found that higher value coupons were positively associated with higher redemption rates.  Similarly, Bawa and Shoemaker (1989) reported that households receiving higher value coupons produced incremental purchases for the coupon-offering brands that were significantly greater than households receiving lower value coupons.  Chakraborty and Cole (1991) provided additional empirical evidence of a positive relationship between coupon face value and redemption rates.  However, coupon users in their study exhibited a higher tendency to seek promotional deals but less brand loyalty than non-coupon users. </w:t>
      </w:r>
      <w:r w:rsidR="00846996">
        <w:rPr>
          <w:sz w:val="20"/>
          <w:szCs w:val="20"/>
        </w:rPr>
        <w:t xml:space="preserve"> </w:t>
      </w:r>
      <w:r w:rsidR="00CC5796" w:rsidRPr="00CC5796">
        <w:rPr>
          <w:sz w:val="20"/>
          <w:szCs w:val="20"/>
        </w:rPr>
        <w:t xml:space="preserve">A recent study conducted by Barat and Paswan (2005) </w:t>
      </w:r>
      <w:r w:rsidR="00846996">
        <w:rPr>
          <w:sz w:val="20"/>
          <w:szCs w:val="20"/>
        </w:rPr>
        <w:t xml:space="preserve">also </w:t>
      </w:r>
      <w:r w:rsidR="00CC5796" w:rsidRPr="00CC5796">
        <w:rPr>
          <w:sz w:val="20"/>
          <w:szCs w:val="20"/>
        </w:rPr>
        <w:t xml:space="preserve">found that consumer intentions to redeem coupons for common grocery items increased with the coupon face value.  </w:t>
      </w:r>
    </w:p>
    <w:p w:rsidR="009C6FDB" w:rsidRDefault="009C6FDB">
      <w:pPr>
        <w:pStyle w:val="NormalWeb"/>
        <w:spacing w:before="0" w:beforeAutospacing="0" w:after="0" w:afterAutospacing="0"/>
        <w:ind w:firstLine="720"/>
        <w:rPr>
          <w:sz w:val="20"/>
          <w:szCs w:val="20"/>
        </w:rPr>
      </w:pPr>
    </w:p>
    <w:p w:rsidR="009C6FDB" w:rsidRDefault="00C226B1">
      <w:pPr>
        <w:pStyle w:val="NormalWeb"/>
        <w:spacing w:before="0" w:beforeAutospacing="0" w:after="0" w:afterAutospacing="0"/>
        <w:ind w:firstLine="720"/>
        <w:rPr>
          <w:sz w:val="20"/>
          <w:szCs w:val="20"/>
        </w:rPr>
      </w:pPr>
      <w:r w:rsidRPr="00C226B1">
        <w:rPr>
          <w:sz w:val="20"/>
          <w:szCs w:val="20"/>
        </w:rPr>
        <w:t xml:space="preserve">Other researchers, however, found little impact of coupon face value on redemption rates and product purchases (Neslin and Clarke; 1987; Krishna and Shoemaker, 1992).  Krishna and Shoemaker (1992) examined three coupon face values (high, medium and low) in a field experiment using scanner panel data for a consumer product class.  They found that there was no statistically significant difference in the number of units or the package size purchased irrespective of the presence of coupons.  Furthermore, a high coupon value failed to affect the package size purchased, the number of units purchased, or the total quantity purchased (package size times units).  Similarly, Neslin and Clarke (1987) reported little effects of coupon face value on redemption rates.  </w:t>
      </w:r>
    </w:p>
    <w:p w:rsidR="009C6FDB" w:rsidRDefault="009C6FDB">
      <w:pPr>
        <w:rPr>
          <w:sz w:val="20"/>
          <w:szCs w:val="20"/>
        </w:rPr>
      </w:pPr>
    </w:p>
    <w:p w:rsidR="009C6FDB" w:rsidRDefault="00C226B1">
      <w:pPr>
        <w:rPr>
          <w:sz w:val="20"/>
          <w:szCs w:val="20"/>
        </w:rPr>
      </w:pPr>
      <w:r w:rsidRPr="00C226B1">
        <w:rPr>
          <w:sz w:val="20"/>
          <w:szCs w:val="20"/>
        </w:rPr>
        <w:t>Monetary Play Incentives and Gaming Volumes</w:t>
      </w:r>
    </w:p>
    <w:p w:rsidR="00000000" w:rsidRDefault="00C226B1">
      <w:pPr>
        <w:pStyle w:val="NormalWeb"/>
        <w:spacing w:before="0" w:beforeAutospacing="0" w:after="0" w:afterAutospacing="0"/>
        <w:ind w:firstLine="720"/>
        <w:rPr>
          <w:sz w:val="20"/>
          <w:szCs w:val="20"/>
        </w:rPr>
      </w:pPr>
      <w:r w:rsidRPr="00C226B1">
        <w:rPr>
          <w:sz w:val="20"/>
          <w:szCs w:val="20"/>
        </w:rPr>
        <w:t xml:space="preserve">Several researchers have dealt with the effect of monetary play incentives on the aggregate daily gaming volumes (i.e., Lucas, 2004; Lucas and Bowen, 2002; Lucas et al., 2005; Lucas and Santos, 2003).  Lucas (2004) reported that a match play coupon promotion that was designed to increase blackjack table game volumes (cash drop) for a Las Vegas hotel casino failed to achieve its goal.  </w:t>
      </w:r>
      <w:r w:rsidRPr="00C226B1">
        <w:rPr>
          <w:rFonts w:eastAsia="Malgun Gothic"/>
          <w:sz w:val="20"/>
          <w:szCs w:val="20"/>
          <w:lang w:eastAsia="ko-KR"/>
        </w:rPr>
        <w:t xml:space="preserve">With respect to play incentives for slots, </w:t>
      </w:r>
      <w:r w:rsidRPr="00C226B1">
        <w:rPr>
          <w:sz w:val="20"/>
          <w:szCs w:val="20"/>
        </w:rPr>
        <w:t xml:space="preserve">Lucas et al. (2005) </w:t>
      </w:r>
      <w:r w:rsidR="00B830CB">
        <w:rPr>
          <w:sz w:val="20"/>
          <w:szCs w:val="20"/>
        </w:rPr>
        <w:t xml:space="preserve">found that </w:t>
      </w:r>
      <w:r w:rsidR="00DA2685" w:rsidRPr="00C226B1">
        <w:rPr>
          <w:sz w:val="20"/>
          <w:szCs w:val="20"/>
        </w:rPr>
        <w:t>direct mail free-play offers</w:t>
      </w:r>
      <w:r w:rsidR="00DA2685">
        <w:rPr>
          <w:sz w:val="20"/>
          <w:szCs w:val="20"/>
        </w:rPr>
        <w:t xml:space="preserve"> (</w:t>
      </w:r>
      <w:r w:rsidR="00DA2685" w:rsidRPr="00C226B1">
        <w:rPr>
          <w:sz w:val="20"/>
          <w:szCs w:val="20"/>
        </w:rPr>
        <w:t>$50 and $100</w:t>
      </w:r>
      <w:r w:rsidR="00DA2685">
        <w:rPr>
          <w:sz w:val="20"/>
          <w:szCs w:val="20"/>
        </w:rPr>
        <w:t xml:space="preserve"> offers) </w:t>
      </w:r>
      <w:r w:rsidRPr="00C226B1">
        <w:rPr>
          <w:sz w:val="20"/>
          <w:szCs w:val="20"/>
        </w:rPr>
        <w:t xml:space="preserve">failed to produce a positive and statistically significant model effect on </w:t>
      </w:r>
      <w:r w:rsidR="00B830CB" w:rsidRPr="00C226B1">
        <w:rPr>
          <w:sz w:val="20"/>
          <w:szCs w:val="20"/>
        </w:rPr>
        <w:t>a player’s slot gaming volume per trip</w:t>
      </w:r>
      <w:r w:rsidR="00B830CB">
        <w:rPr>
          <w:sz w:val="20"/>
          <w:szCs w:val="20"/>
        </w:rPr>
        <w:t>.</w:t>
      </w:r>
      <w:r w:rsidR="00CC5796" w:rsidRPr="00CC5796">
        <w:rPr>
          <w:sz w:val="20"/>
          <w:szCs w:val="20"/>
        </w:rPr>
        <w:t xml:space="preserve">  In fact, a negative relationship between $50 and individual trip slot volume was observed.  The authors offered players’ bankroll substitution with free-play slot credits as a potential reason for the decrease in slot volume from the no-incentive slot gaming level.</w:t>
      </w:r>
    </w:p>
    <w:p w:rsidR="00000000" w:rsidRDefault="00A4069B">
      <w:pPr>
        <w:pStyle w:val="NormalWeb"/>
        <w:spacing w:before="0" w:beforeAutospacing="0" w:after="0" w:afterAutospacing="0"/>
        <w:ind w:firstLine="720"/>
        <w:rPr>
          <w:rFonts w:eastAsia="Malgun Gothic"/>
          <w:sz w:val="20"/>
          <w:szCs w:val="20"/>
          <w:lang w:eastAsia="ko-KR"/>
        </w:rPr>
      </w:pPr>
    </w:p>
    <w:p w:rsidR="00000000" w:rsidRDefault="00C226B1">
      <w:pPr>
        <w:pStyle w:val="NormalWeb"/>
        <w:spacing w:before="0" w:beforeAutospacing="0" w:after="0" w:afterAutospacing="0"/>
        <w:ind w:firstLine="720"/>
        <w:rPr>
          <w:sz w:val="20"/>
          <w:szCs w:val="20"/>
        </w:rPr>
      </w:pPr>
      <w:r w:rsidRPr="00C226B1">
        <w:rPr>
          <w:rFonts w:eastAsia="Malgun Gothic"/>
          <w:sz w:val="20"/>
          <w:szCs w:val="20"/>
          <w:lang w:eastAsia="ko-KR"/>
        </w:rPr>
        <w:t xml:space="preserve">To the contrary, </w:t>
      </w:r>
      <w:r w:rsidRPr="00C226B1">
        <w:rPr>
          <w:sz w:val="20"/>
          <w:szCs w:val="20"/>
        </w:rPr>
        <w:t>Lucas and Santos (2003) found a statistically significant and positive model effect of a variable representing the dollar-amount of redeemed direct mail slot play incentives on the aggregate daily slot gaming volume</w:t>
      </w:r>
      <w:r w:rsidRPr="00C226B1">
        <w:rPr>
          <w:rFonts w:eastAsia="Malgun Gothic"/>
          <w:sz w:val="20"/>
          <w:szCs w:val="20"/>
          <w:lang w:eastAsia="ko-KR"/>
        </w:rPr>
        <w:t xml:space="preserve">s </w:t>
      </w:r>
      <w:r w:rsidRPr="00C226B1">
        <w:rPr>
          <w:sz w:val="20"/>
          <w:szCs w:val="20"/>
        </w:rPr>
        <w:t xml:space="preserve">of a mid-western casino.  Similar results were observed in Lucas and Bowen (2002) with regard to the direct mail premiums offered by a Las Vegas hotel casino.  The authors also found that the dollar amount of cash awards in a drawing-based (lottery-type) promotion was positively associated with slot gaming volumes.  </w:t>
      </w:r>
      <w:r w:rsidR="00DA2685">
        <w:rPr>
          <w:sz w:val="20"/>
          <w:szCs w:val="20"/>
        </w:rPr>
        <w:t>However</w:t>
      </w:r>
      <w:r w:rsidRPr="00C226B1">
        <w:rPr>
          <w:sz w:val="20"/>
          <w:szCs w:val="20"/>
        </w:rPr>
        <w:t xml:space="preserve">, the incremental slot revenue, or win, associated with cash awards failed to cover prize money expenses.  For every dollar of cash prize expense, slot revenue increased only $0.64.  </w:t>
      </w:r>
    </w:p>
    <w:p w:rsidR="009C6FDB" w:rsidRDefault="009C6FDB">
      <w:pPr>
        <w:pStyle w:val="NormalWeb"/>
        <w:spacing w:before="0" w:beforeAutospacing="0" w:after="0" w:afterAutospacing="0"/>
        <w:ind w:firstLine="720"/>
        <w:rPr>
          <w:sz w:val="20"/>
          <w:szCs w:val="20"/>
        </w:rPr>
      </w:pPr>
    </w:p>
    <w:p w:rsidR="009C6FDB" w:rsidRDefault="00C226B1">
      <w:pPr>
        <w:pStyle w:val="NormalWeb"/>
        <w:spacing w:before="0" w:beforeAutospacing="0" w:after="0" w:afterAutospacing="0"/>
        <w:ind w:firstLine="720"/>
        <w:rPr>
          <w:sz w:val="20"/>
          <w:szCs w:val="20"/>
        </w:rPr>
      </w:pPr>
      <w:r w:rsidRPr="00C226B1">
        <w:rPr>
          <w:sz w:val="20"/>
          <w:szCs w:val="20"/>
        </w:rPr>
        <w:t xml:space="preserve">While the gaming literature provides valuable insights regarding the effect of monetary play incentives on gaming volumes, little is known about how individual players’ wagering volumes vary by </w:t>
      </w:r>
      <w:r w:rsidRPr="00C226B1">
        <w:rPr>
          <w:rFonts w:eastAsia="Times New Roman"/>
          <w:sz w:val="20"/>
          <w:szCs w:val="20"/>
        </w:rPr>
        <w:t>different incentive values</w:t>
      </w:r>
      <w:r w:rsidRPr="00C226B1">
        <w:rPr>
          <w:sz w:val="20"/>
          <w:szCs w:val="20"/>
        </w:rPr>
        <w:t>.  Contrary to the general expectation on a high value play incentive, the amount of money that a player wagers in a slot machine(s) may not increase with incentive value.  Considering the mixed findings regarding the impact of coupon face value on consumer behavior in the marketing and gaming literatures, a non-directional hypothesis regarding free-play coupon value was advanced.</w:t>
      </w:r>
    </w:p>
    <w:p w:rsidR="009C6FDB" w:rsidRDefault="00C226B1">
      <w:pPr>
        <w:pStyle w:val="NormalWeb"/>
        <w:spacing w:before="0" w:beforeAutospacing="0" w:after="0" w:afterAutospacing="0"/>
        <w:ind w:left="720"/>
        <w:rPr>
          <w:sz w:val="20"/>
          <w:szCs w:val="20"/>
        </w:rPr>
      </w:pPr>
      <w:r w:rsidRPr="00C226B1">
        <w:rPr>
          <w:sz w:val="20"/>
          <w:szCs w:val="20"/>
        </w:rPr>
        <w:t xml:space="preserve">H1:  There will be a statistically significant relationship between free-play coupon value and a player’s slot gaming volume.  </w:t>
      </w:r>
    </w:p>
    <w:p w:rsidR="009C6FDB" w:rsidRDefault="009C6FDB">
      <w:pPr>
        <w:pStyle w:val="NormalWeb"/>
        <w:spacing w:before="0" w:beforeAutospacing="0" w:after="0" w:afterAutospacing="0"/>
        <w:ind w:firstLine="720"/>
        <w:rPr>
          <w:sz w:val="20"/>
          <w:szCs w:val="20"/>
        </w:rPr>
      </w:pPr>
    </w:p>
    <w:p w:rsidR="00DF1BD0" w:rsidRDefault="00DF1BD0">
      <w:pPr>
        <w:rPr>
          <w:sz w:val="20"/>
          <w:szCs w:val="20"/>
          <w:lang w:eastAsia="zh-TW"/>
        </w:rPr>
      </w:pPr>
      <w:r>
        <w:rPr>
          <w:sz w:val="20"/>
          <w:szCs w:val="20"/>
        </w:rPr>
        <w:br w:type="page"/>
      </w:r>
    </w:p>
    <w:p w:rsidR="009C6FDB" w:rsidRDefault="00C226B1">
      <w:pPr>
        <w:pStyle w:val="NormalWeb"/>
        <w:spacing w:before="0" w:beforeAutospacing="0" w:after="0" w:afterAutospacing="0"/>
        <w:rPr>
          <w:sz w:val="20"/>
          <w:szCs w:val="20"/>
        </w:rPr>
      </w:pPr>
      <w:r w:rsidRPr="00C226B1">
        <w:rPr>
          <w:sz w:val="20"/>
          <w:szCs w:val="20"/>
        </w:rPr>
        <w:lastRenderedPageBreak/>
        <w:t xml:space="preserve">Coupon Profitability </w:t>
      </w:r>
    </w:p>
    <w:p w:rsidR="00000000" w:rsidRDefault="00C226B1">
      <w:pPr>
        <w:pStyle w:val="NormalWeb"/>
        <w:spacing w:before="0" w:beforeAutospacing="0" w:after="0" w:afterAutospacing="0"/>
        <w:ind w:firstLine="720"/>
        <w:rPr>
          <w:sz w:val="20"/>
          <w:szCs w:val="20"/>
        </w:rPr>
      </w:pPr>
      <w:r w:rsidRPr="00C226B1">
        <w:rPr>
          <w:sz w:val="20"/>
          <w:szCs w:val="20"/>
        </w:rPr>
        <w:t xml:space="preserve">A couple of studies on coupon profitability were identified and reviewed (i.e., Neslin and Clarke, 1987; Shoemaker and Tibrewala, 1985).  Based on 280 personal interviews with a sample of shoppers, Shoemaker and Tibrewala (1985) </w:t>
      </w:r>
      <w:r w:rsidR="00BC18DA">
        <w:rPr>
          <w:sz w:val="20"/>
          <w:szCs w:val="20"/>
        </w:rPr>
        <w:t xml:space="preserve">found that the </w:t>
      </w:r>
      <w:r w:rsidRPr="00C226B1">
        <w:rPr>
          <w:sz w:val="20"/>
          <w:szCs w:val="20"/>
        </w:rPr>
        <w:t xml:space="preserve">estimated incremental profits resulting from lower value coupons </w:t>
      </w:r>
      <w:r w:rsidR="00BC18DA">
        <w:rPr>
          <w:sz w:val="20"/>
          <w:szCs w:val="20"/>
        </w:rPr>
        <w:t xml:space="preserve">were </w:t>
      </w:r>
      <w:r w:rsidRPr="00C226B1">
        <w:rPr>
          <w:sz w:val="20"/>
          <w:szCs w:val="20"/>
        </w:rPr>
        <w:t xml:space="preserve">substantially higher than </w:t>
      </w:r>
      <w:r w:rsidR="00BC18DA">
        <w:rPr>
          <w:sz w:val="20"/>
          <w:szCs w:val="20"/>
        </w:rPr>
        <w:t xml:space="preserve">those from </w:t>
      </w:r>
      <w:r w:rsidRPr="00C226B1">
        <w:rPr>
          <w:sz w:val="20"/>
          <w:szCs w:val="20"/>
        </w:rPr>
        <w:t xml:space="preserve">comparable higher value coupons. </w:t>
      </w:r>
      <w:r w:rsidR="002D2E4C">
        <w:rPr>
          <w:sz w:val="20"/>
          <w:szCs w:val="20"/>
        </w:rPr>
        <w:t xml:space="preserve"> </w:t>
      </w:r>
      <w:r w:rsidRPr="00C226B1">
        <w:rPr>
          <w:sz w:val="20"/>
          <w:szCs w:val="20"/>
        </w:rPr>
        <w:t>Similar</w:t>
      </w:r>
      <w:r w:rsidR="003617AB">
        <w:rPr>
          <w:sz w:val="20"/>
          <w:szCs w:val="20"/>
        </w:rPr>
        <w:t>ly</w:t>
      </w:r>
      <w:r w:rsidRPr="00C226B1">
        <w:rPr>
          <w:sz w:val="20"/>
          <w:szCs w:val="20"/>
        </w:rPr>
        <w:t xml:space="preserve">, Neslin and Clarke (1987) detected higher coupon redemption rates among loyal brand users than among new, rare or occasional brand users.  However, the authors argued that, coupons redeemed primarily by loyal consumers would lower coupon profitability, let alone incur coupon costs, as these customers could have purchased the brand without coupons.  </w:t>
      </w:r>
    </w:p>
    <w:p w:rsidR="009C6FDB" w:rsidRDefault="009C6FDB">
      <w:pPr>
        <w:pStyle w:val="NormalWeb"/>
        <w:spacing w:before="0" w:beforeAutospacing="0" w:after="0" w:afterAutospacing="0"/>
        <w:rPr>
          <w:sz w:val="20"/>
          <w:szCs w:val="20"/>
        </w:rPr>
      </w:pPr>
    </w:p>
    <w:p w:rsidR="009C6FDB" w:rsidRDefault="00C226B1">
      <w:pPr>
        <w:pStyle w:val="NormalWeb"/>
        <w:spacing w:before="0" w:beforeAutospacing="0" w:after="0" w:afterAutospacing="0"/>
        <w:rPr>
          <w:sz w:val="20"/>
          <w:szCs w:val="20"/>
        </w:rPr>
      </w:pPr>
      <w:r w:rsidRPr="00C226B1">
        <w:rPr>
          <w:sz w:val="20"/>
          <w:szCs w:val="20"/>
        </w:rPr>
        <w:t>Play Incentive Profitability</w:t>
      </w:r>
    </w:p>
    <w:p w:rsidR="00000000" w:rsidRDefault="00C226B1">
      <w:pPr>
        <w:ind w:firstLine="720"/>
        <w:rPr>
          <w:sz w:val="20"/>
          <w:szCs w:val="20"/>
        </w:rPr>
      </w:pPr>
      <w:r w:rsidRPr="00C226B1">
        <w:rPr>
          <w:sz w:val="20"/>
          <w:szCs w:val="20"/>
        </w:rPr>
        <w:t>In gaming, Lucas et al. (</w:t>
      </w:r>
      <w:r w:rsidRPr="00C226B1">
        <w:rPr>
          <w:rFonts w:eastAsia="Times New Roman"/>
          <w:sz w:val="20"/>
          <w:szCs w:val="20"/>
        </w:rPr>
        <w:t>2005</w:t>
      </w:r>
      <w:r w:rsidRPr="00C226B1">
        <w:rPr>
          <w:sz w:val="20"/>
          <w:szCs w:val="20"/>
        </w:rPr>
        <w:t xml:space="preserve">) estimated net cash flow per trip associated with free-play offers </w:t>
      </w:r>
      <w:r w:rsidR="000A49AA">
        <w:rPr>
          <w:sz w:val="20"/>
          <w:szCs w:val="20"/>
        </w:rPr>
        <w:t>and found that</w:t>
      </w:r>
      <w:r w:rsidRPr="00C226B1">
        <w:rPr>
          <w:sz w:val="20"/>
          <w:szCs w:val="20"/>
        </w:rPr>
        <w:t xml:space="preserve"> the offers failed to produce slot revenues beyond the offer costs.  Similarly, Lucas and Brewer (2001) </w:t>
      </w:r>
      <w:r w:rsidRPr="00C226B1">
        <w:rPr>
          <w:rFonts w:eastAsia="Times New Roman"/>
          <w:sz w:val="20"/>
          <w:szCs w:val="20"/>
        </w:rPr>
        <w:t>reported</w:t>
      </w:r>
      <w:r w:rsidRPr="00C226B1">
        <w:rPr>
          <w:sz w:val="20"/>
          <w:szCs w:val="20"/>
        </w:rPr>
        <w:t xml:space="preserve"> negative profits resulting from direct-mail play incentives.  In their study, the estimated incremental slot profit per dollar of incentive expense was $0.74.  </w:t>
      </w:r>
      <w:r w:rsidR="00CC5796" w:rsidRPr="00CC5796">
        <w:rPr>
          <w:sz w:val="20"/>
          <w:szCs w:val="20"/>
        </w:rPr>
        <w:t xml:space="preserve">Lucas, Kilby and Santos (2002) </w:t>
      </w:r>
      <w:r w:rsidR="000A49AA">
        <w:rPr>
          <w:sz w:val="20"/>
          <w:szCs w:val="20"/>
        </w:rPr>
        <w:t>also argued</w:t>
      </w:r>
      <w:r w:rsidR="00CC5796" w:rsidRPr="00CC5796">
        <w:rPr>
          <w:sz w:val="20"/>
          <w:szCs w:val="20"/>
        </w:rPr>
        <w:t xml:space="preserve"> that high value play incentives to obtain premium players in the table game market have resulted in the failure of the casinos to assure an acceptable profit margin.  These claims along with the findings of the gaming and marketing literatures provide a reasonable ground to question the effectiveness of high free-play coupon values in producing a corresponding increase in profits.  To examine the effect of free play coupon value on coupon profitability, the following hypothesis was advanced.</w:t>
      </w:r>
    </w:p>
    <w:p w:rsidR="009C6FDB" w:rsidRDefault="00C226B1">
      <w:pPr>
        <w:ind w:left="720"/>
        <w:rPr>
          <w:sz w:val="20"/>
          <w:szCs w:val="20"/>
        </w:rPr>
      </w:pPr>
      <w:r w:rsidRPr="00C226B1">
        <w:rPr>
          <w:sz w:val="20"/>
          <w:szCs w:val="20"/>
        </w:rPr>
        <w:t>H2:  A higher free-play incentive value will produce a greater net cash flow per player than a lower free-play incentive value.</w:t>
      </w:r>
    </w:p>
    <w:p w:rsidR="009C6FDB" w:rsidRDefault="009C6FDB">
      <w:pPr>
        <w:rPr>
          <w:sz w:val="20"/>
          <w:szCs w:val="20"/>
        </w:rPr>
      </w:pPr>
    </w:p>
    <w:p w:rsidR="009C6FDB" w:rsidRDefault="00C226B1">
      <w:pPr>
        <w:rPr>
          <w:sz w:val="20"/>
          <w:szCs w:val="20"/>
        </w:rPr>
      </w:pPr>
      <w:r w:rsidRPr="00C226B1">
        <w:rPr>
          <w:sz w:val="20"/>
          <w:szCs w:val="20"/>
        </w:rPr>
        <w:t>Model</w:t>
      </w:r>
    </w:p>
    <w:p w:rsidR="009C6FDB" w:rsidRDefault="00C226B1">
      <w:pPr>
        <w:ind w:firstLine="720"/>
        <w:rPr>
          <w:color w:val="FF0000"/>
          <w:sz w:val="20"/>
          <w:szCs w:val="20"/>
        </w:rPr>
      </w:pPr>
      <w:r w:rsidRPr="00C226B1">
        <w:rPr>
          <w:sz w:val="20"/>
          <w:szCs w:val="20"/>
        </w:rPr>
        <w:t xml:space="preserve">The model shown in Figure 1 </w:t>
      </w:r>
      <w:r w:rsidR="000A49AA" w:rsidRPr="00C226B1">
        <w:rPr>
          <w:sz w:val="20"/>
          <w:szCs w:val="20"/>
        </w:rPr>
        <w:t xml:space="preserve">was designed to explore the relationship between </w:t>
      </w:r>
      <w:r w:rsidR="000A49AA" w:rsidRPr="00C226B1">
        <w:rPr>
          <w:rFonts w:eastAsia="Times New Roman"/>
          <w:sz w:val="20"/>
          <w:szCs w:val="20"/>
        </w:rPr>
        <w:t xml:space="preserve">free-play </w:t>
      </w:r>
      <w:r w:rsidR="000A49AA" w:rsidRPr="00C226B1">
        <w:rPr>
          <w:sz w:val="20"/>
          <w:szCs w:val="20"/>
        </w:rPr>
        <w:t xml:space="preserve">coupon value and a player’s slot gaming volume </w:t>
      </w:r>
      <w:r w:rsidR="000A49AA" w:rsidRPr="00C226B1">
        <w:rPr>
          <w:rFonts w:eastAsia="Times New Roman"/>
          <w:sz w:val="20"/>
          <w:szCs w:val="20"/>
        </w:rPr>
        <w:t xml:space="preserve">by varying incentive values.  </w:t>
      </w:r>
      <w:r w:rsidR="000A49AA">
        <w:rPr>
          <w:rFonts w:eastAsia="Times New Roman"/>
          <w:sz w:val="20"/>
          <w:szCs w:val="20"/>
        </w:rPr>
        <w:t xml:space="preserve">The model </w:t>
      </w:r>
      <w:r w:rsidRPr="00C226B1">
        <w:rPr>
          <w:sz w:val="20"/>
          <w:szCs w:val="20"/>
        </w:rPr>
        <w:t xml:space="preserve">is based on the model that was empirically tested in Lucas et al. (2005). </w:t>
      </w:r>
      <w:r w:rsidR="0059377E">
        <w:rPr>
          <w:sz w:val="20"/>
          <w:szCs w:val="20"/>
        </w:rPr>
        <w:t xml:space="preserve"> </w:t>
      </w:r>
      <w:r w:rsidR="00CC5796" w:rsidRPr="00CC5796">
        <w:rPr>
          <w:rFonts w:eastAsia="Times New Roman"/>
          <w:sz w:val="20"/>
          <w:szCs w:val="20"/>
        </w:rPr>
        <w:t>In Lucas et al. (2005), variables representing the average retail values of complimentary room nights and other awards per trip, the average win or loss amount on slots per trip, the average dollar amount withdrawn through slot club point redemption, and the average par or house advantage of games played were statistically significant in predicting individual trip slot volume.</w:t>
      </w:r>
      <w:r w:rsidR="0059377E" w:rsidRPr="00D07221">
        <w:t xml:space="preserve">  </w:t>
      </w:r>
    </w:p>
    <w:p w:rsidR="00000000" w:rsidRDefault="00A4069B">
      <w:pPr>
        <w:pStyle w:val="BodyTextIndent"/>
        <w:ind w:left="0"/>
        <w:rPr>
          <w:b/>
          <w:sz w:val="20"/>
          <w:szCs w:val="20"/>
        </w:rPr>
      </w:pPr>
    </w:p>
    <w:p w:rsidR="009C6FDB" w:rsidRDefault="00BE0780">
      <w:pPr>
        <w:pStyle w:val="BodyTextIndent"/>
        <w:ind w:left="90"/>
        <w:jc w:val="center"/>
        <w:rPr>
          <w:b/>
          <w:sz w:val="20"/>
          <w:szCs w:val="20"/>
        </w:rPr>
      </w:pPr>
      <w:r>
        <w:rPr>
          <w:b/>
          <w:noProof/>
          <w:sz w:val="20"/>
          <w:szCs w:val="20"/>
          <w:lang w:eastAsia="ko-KR"/>
        </w:rPr>
        <w:drawing>
          <wp:inline distT="0" distB="0" distL="0" distR="0">
            <wp:extent cx="4205478" cy="1901952"/>
            <wp:effectExtent l="19050" t="0" r="4572" b="0"/>
            <wp:docPr id="3"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648200" cy="2457510"/>
                      <a:chOff x="1371600" y="1828800"/>
                      <a:chExt cx="4648200" cy="2457510"/>
                    </a:xfrm>
                  </a:grpSpPr>
                  <a:grpSp>
                    <a:nvGrpSpPr>
                      <a:cNvPr id="37" name="Group 36"/>
                      <a:cNvGrpSpPr/>
                    </a:nvGrpSpPr>
                    <a:grpSpPr>
                      <a:xfrm>
                        <a:off x="1371600" y="1828800"/>
                        <a:ext cx="4648200" cy="2457510"/>
                        <a:chOff x="1371600" y="1828800"/>
                        <a:chExt cx="4648200" cy="2457510"/>
                      </a:xfrm>
                    </a:grpSpPr>
                    <a:sp>
                      <a:nvSpPr>
                        <a:cNvPr id="5" name="TextBox 4"/>
                        <a:cNvSpPr txBox="1"/>
                      </a:nvSpPr>
                      <a:spPr>
                        <a:xfrm>
                          <a:off x="4572000" y="2895600"/>
                          <a:ext cx="1447800" cy="24622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Coin-in Per Player (CI)</a:t>
                            </a:r>
                          </a:p>
                        </a:txBody>
                        <a:useSpRect/>
                      </a:txSp>
                    </a:sp>
                    <a:sp>
                      <a:nvSpPr>
                        <a:cNvPr id="6" name="TextBox 5"/>
                        <a:cNvSpPr txBox="1"/>
                      </a:nvSpPr>
                      <a:spPr>
                        <a:xfrm>
                          <a:off x="1371600" y="3886200"/>
                          <a:ext cx="2133600" cy="40011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Other Complimentary Awards (Other Comp)</a:t>
                            </a:r>
                          </a:p>
                        </a:txBody>
                        <a:useSpRect/>
                      </a:txSp>
                    </a:sp>
                    <a:sp>
                      <a:nvSpPr>
                        <a:cNvPr id="7" name="TextBox 6"/>
                        <a:cNvSpPr txBox="1"/>
                      </a:nvSpPr>
                      <a:spPr>
                        <a:xfrm>
                          <a:off x="1371600" y="2209800"/>
                          <a:ext cx="2133600" cy="24622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Actual Slot Win/Loss (Slot WL)</a:t>
                            </a:r>
                          </a:p>
                        </a:txBody>
                        <a:useSpRect/>
                      </a:txSp>
                    </a:sp>
                    <a:sp>
                      <a:nvSpPr>
                        <a:cNvPr id="8" name="TextBox 7"/>
                        <a:cNvSpPr txBox="1"/>
                      </a:nvSpPr>
                      <a:spPr>
                        <a:xfrm>
                          <a:off x="1371600" y="2590800"/>
                          <a:ext cx="2133600" cy="24622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Actual Table Games Win/Loss</a:t>
                            </a:r>
                          </a:p>
                        </a:txBody>
                        <a:useSpRect/>
                      </a:txSp>
                    </a:sp>
                    <a:sp>
                      <a:nvSpPr>
                        <a:cNvPr id="9" name="TextBox 8"/>
                        <a:cNvSpPr txBox="1"/>
                      </a:nvSpPr>
                      <a:spPr>
                        <a:xfrm>
                          <a:off x="1371600" y="2971800"/>
                          <a:ext cx="2133600" cy="24622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Free-play Coupon Value (FPV) </a:t>
                            </a:r>
                          </a:p>
                        </a:txBody>
                        <a:useSpRect/>
                      </a:txSp>
                    </a:sp>
                    <a:sp>
                      <a:nvSpPr>
                        <a:cNvPr id="10" name="TextBox 9"/>
                        <a:cNvSpPr txBox="1"/>
                      </a:nvSpPr>
                      <a:spPr>
                        <a:xfrm>
                          <a:off x="1371600" y="3352800"/>
                          <a:ext cx="2133600" cy="40011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Complimentary Hotel Room Nights (Comp Room)</a:t>
                            </a:r>
                          </a:p>
                        </a:txBody>
                        <a:useSpRect/>
                      </a:txSp>
                    </a:sp>
                    <a:sp>
                      <a:nvSpPr>
                        <a:cNvPr id="11" name="TextBox 10"/>
                        <a:cNvSpPr txBox="1"/>
                      </a:nvSpPr>
                      <a:spPr>
                        <a:xfrm>
                          <a:off x="1371600" y="1828800"/>
                          <a:ext cx="2133600" cy="24622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000" dirty="0"/>
                              <a:t>The Number of Trip Days (Trip Days)</a:t>
                            </a:r>
                          </a:p>
                        </a:txBody>
                        <a:useSpRect/>
                      </a:txSp>
                    </a:sp>
                    <a:cxnSp>
                      <a:nvCxnSpPr>
                        <a:cNvPr id="14" name="Straight Arrow Connector 13"/>
                        <a:cNvCxnSpPr>
                          <a:stCxn id="11" idx="3"/>
                          <a:endCxn id="5" idx="1"/>
                        </a:cNvCxnSpPr>
                      </a:nvCxnSpPr>
                      <a:spPr>
                        <a:xfrm>
                          <a:off x="3505200" y="1951911"/>
                          <a:ext cx="1066800" cy="106680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7" name="Straight Arrow Connector 16"/>
                        <a:cNvCxnSpPr>
                          <a:stCxn id="7" idx="3"/>
                          <a:endCxn id="5" idx="1"/>
                        </a:cNvCxnSpPr>
                      </a:nvCxnSpPr>
                      <a:spPr>
                        <a:xfrm>
                          <a:off x="3505200" y="2332911"/>
                          <a:ext cx="1066800" cy="68580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9" name="Straight Arrow Connector 18"/>
                        <a:cNvCxnSpPr>
                          <a:stCxn id="8" idx="3"/>
                          <a:endCxn id="5" idx="1"/>
                        </a:cNvCxnSpPr>
                      </a:nvCxnSpPr>
                      <a:spPr>
                        <a:xfrm>
                          <a:off x="3505200" y="2713911"/>
                          <a:ext cx="1066800" cy="30480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1" name="Straight Arrow Connector 20"/>
                        <a:cNvCxnSpPr>
                          <a:stCxn id="9" idx="3"/>
                          <a:endCxn id="5" idx="1"/>
                        </a:cNvCxnSpPr>
                      </a:nvCxnSpPr>
                      <a:spPr>
                        <a:xfrm flipV="1">
                          <a:off x="3505200" y="3018711"/>
                          <a:ext cx="1066800" cy="7620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3" name="Straight Arrow Connector 22"/>
                        <a:cNvCxnSpPr>
                          <a:stCxn id="10" idx="3"/>
                          <a:endCxn id="5" idx="1"/>
                        </a:cNvCxnSpPr>
                      </a:nvCxnSpPr>
                      <a:spPr>
                        <a:xfrm flipV="1">
                          <a:off x="3505200" y="3018711"/>
                          <a:ext cx="1066800" cy="534144"/>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5" name="Straight Arrow Connector 24"/>
                        <a:cNvCxnSpPr>
                          <a:stCxn id="6" idx="3"/>
                          <a:endCxn id="5" idx="1"/>
                        </a:cNvCxnSpPr>
                      </a:nvCxnSpPr>
                      <a:spPr>
                        <a:xfrm flipV="1">
                          <a:off x="3505200" y="3018711"/>
                          <a:ext cx="1066800" cy="1067544"/>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9C6FDB" w:rsidRDefault="00C226B1">
      <w:pPr>
        <w:pStyle w:val="BodyTextIndent"/>
        <w:ind w:left="90"/>
        <w:jc w:val="center"/>
        <w:rPr>
          <w:b/>
          <w:sz w:val="20"/>
          <w:szCs w:val="20"/>
        </w:rPr>
      </w:pPr>
      <w:r w:rsidRPr="00C226B1">
        <w:rPr>
          <w:b/>
          <w:sz w:val="20"/>
          <w:szCs w:val="20"/>
        </w:rPr>
        <w:t>Figure 1</w:t>
      </w:r>
    </w:p>
    <w:p w:rsidR="009C6FDB" w:rsidRDefault="00C226B1">
      <w:pPr>
        <w:jc w:val="center"/>
        <w:rPr>
          <w:b/>
          <w:sz w:val="20"/>
          <w:szCs w:val="20"/>
        </w:rPr>
      </w:pPr>
      <w:r w:rsidRPr="00C226B1">
        <w:rPr>
          <w:b/>
          <w:sz w:val="20"/>
          <w:szCs w:val="20"/>
        </w:rPr>
        <w:t xml:space="preserve">A Model to Measure the Effect of </w:t>
      </w:r>
      <w:r w:rsidRPr="00C226B1">
        <w:rPr>
          <w:b/>
          <w:color w:val="000000"/>
          <w:sz w:val="20"/>
          <w:szCs w:val="20"/>
        </w:rPr>
        <w:t xml:space="preserve">Free-play Coupon Value </w:t>
      </w:r>
      <w:r w:rsidRPr="00C226B1">
        <w:rPr>
          <w:b/>
          <w:sz w:val="20"/>
          <w:szCs w:val="20"/>
        </w:rPr>
        <w:t>on Slot Gaming Volume</w:t>
      </w:r>
    </w:p>
    <w:p w:rsidR="009C6FDB" w:rsidRDefault="009C6FDB">
      <w:pPr>
        <w:rPr>
          <w:color w:val="00B050"/>
          <w:sz w:val="20"/>
          <w:szCs w:val="20"/>
        </w:rPr>
      </w:pPr>
    </w:p>
    <w:p w:rsidR="00DF1BD0" w:rsidRDefault="00DF1BD0">
      <w:pPr>
        <w:rPr>
          <w:sz w:val="20"/>
          <w:szCs w:val="20"/>
          <w:lang w:eastAsia="zh-TW"/>
        </w:rPr>
      </w:pPr>
      <w:r>
        <w:rPr>
          <w:sz w:val="20"/>
          <w:szCs w:val="20"/>
        </w:rPr>
        <w:br w:type="page"/>
      </w:r>
    </w:p>
    <w:p w:rsidR="000A49AA" w:rsidRDefault="000A49AA" w:rsidP="000A49AA">
      <w:pPr>
        <w:pStyle w:val="NormalWeb"/>
        <w:spacing w:before="0" w:beforeAutospacing="0" w:after="0" w:afterAutospacing="0"/>
        <w:rPr>
          <w:sz w:val="20"/>
          <w:szCs w:val="20"/>
        </w:rPr>
      </w:pPr>
      <w:r w:rsidRPr="00C226B1">
        <w:rPr>
          <w:sz w:val="20"/>
          <w:szCs w:val="20"/>
        </w:rPr>
        <w:lastRenderedPageBreak/>
        <w:t>Variables</w:t>
      </w:r>
    </w:p>
    <w:p w:rsidR="00000000" w:rsidRDefault="000A49AA">
      <w:pPr>
        <w:ind w:firstLine="720"/>
        <w:rPr>
          <w:sz w:val="20"/>
          <w:szCs w:val="20"/>
        </w:rPr>
      </w:pPr>
      <w:r w:rsidRPr="00C226B1">
        <w:rPr>
          <w:sz w:val="20"/>
          <w:szCs w:val="20"/>
        </w:rPr>
        <w:t xml:space="preserve">Coin-in (CI) per player represented the average amount of money each subject wagered in a gaming device(s) during his/her free-play coupon redemption trip.  Coin-in and slot gaming volume were used interchangeably throughout this paper.  </w:t>
      </w:r>
      <w:r w:rsidRPr="00C226B1">
        <w:rPr>
          <w:color w:val="000000"/>
          <w:sz w:val="20"/>
          <w:szCs w:val="20"/>
        </w:rPr>
        <w:t xml:space="preserve">Free-play Coupon Value </w:t>
      </w:r>
      <w:r w:rsidRPr="00C226B1">
        <w:rPr>
          <w:sz w:val="20"/>
          <w:szCs w:val="20"/>
        </w:rPr>
        <w:t xml:space="preserve">(FPV) was a binary variable representing the face value of a free-play offer redeemed by a player.  A value of one was assigned to the cases associated with $100 offer redemption and a value of zero was assigned to all other cases associated with $50 offer redemption.  Other variables known or theorized to affect players’ slot gaming volumes were included in the model.  They were the number of consecutive days that a player who redeemed a free-play coupon stayed at the subject hotel (Trip Days), the aggregate retail values of complimentary hotel room nights (Comp Room) and other complimentary awards for food and beverage (Other Comp) offered to each player during his/her free-play coupon redemption trip, and the actual dollar amount won or lost on slot games (Slot WL) and/or table games (Table WL) during the player’s stay at the subject property. </w:t>
      </w:r>
    </w:p>
    <w:p w:rsidR="000A49AA" w:rsidRDefault="000A49AA">
      <w:pPr>
        <w:jc w:val="center"/>
        <w:rPr>
          <w:b/>
          <w:sz w:val="20"/>
          <w:szCs w:val="20"/>
        </w:rPr>
      </w:pPr>
    </w:p>
    <w:p w:rsidR="009C6FDB" w:rsidRDefault="00C226B1">
      <w:pPr>
        <w:jc w:val="center"/>
        <w:rPr>
          <w:b/>
          <w:sz w:val="20"/>
          <w:szCs w:val="20"/>
        </w:rPr>
      </w:pPr>
      <w:r w:rsidRPr="00C226B1">
        <w:rPr>
          <w:b/>
          <w:sz w:val="20"/>
          <w:szCs w:val="20"/>
        </w:rPr>
        <w:t>METHODOLOGY</w:t>
      </w:r>
    </w:p>
    <w:p w:rsidR="009C6FDB" w:rsidRDefault="009C6FDB">
      <w:pPr>
        <w:rPr>
          <w:color w:val="00B050"/>
          <w:sz w:val="20"/>
          <w:szCs w:val="20"/>
        </w:rPr>
      </w:pPr>
    </w:p>
    <w:p w:rsidR="009C6FDB" w:rsidRDefault="00C226B1">
      <w:pPr>
        <w:rPr>
          <w:sz w:val="20"/>
          <w:szCs w:val="20"/>
        </w:rPr>
      </w:pPr>
      <w:r w:rsidRPr="00C226B1">
        <w:rPr>
          <w:sz w:val="20"/>
          <w:szCs w:val="20"/>
        </w:rPr>
        <w:t xml:space="preserve">Data </w:t>
      </w:r>
    </w:p>
    <w:p w:rsidR="00000000" w:rsidRDefault="00C226B1">
      <w:pPr>
        <w:ind w:firstLine="720"/>
        <w:rPr>
          <w:sz w:val="20"/>
          <w:szCs w:val="20"/>
        </w:rPr>
      </w:pPr>
      <w:r w:rsidRPr="00C226B1">
        <w:rPr>
          <w:rFonts w:eastAsia="Times New Roman"/>
          <w:sz w:val="20"/>
          <w:szCs w:val="20"/>
        </w:rPr>
        <w:t xml:space="preserve">A </w:t>
      </w:r>
      <w:r w:rsidRPr="00C226B1">
        <w:rPr>
          <w:sz w:val="20"/>
          <w:szCs w:val="20"/>
        </w:rPr>
        <w:t xml:space="preserve">Las Vegas Strip </w:t>
      </w:r>
      <w:r w:rsidRPr="00C226B1">
        <w:rPr>
          <w:rFonts w:eastAsia="Times New Roman"/>
          <w:sz w:val="20"/>
          <w:szCs w:val="20"/>
        </w:rPr>
        <w:t xml:space="preserve">hotel-casino mainly serving a tourist clientele donated </w:t>
      </w:r>
      <w:r w:rsidRPr="00C226B1">
        <w:rPr>
          <w:sz w:val="20"/>
          <w:szCs w:val="20"/>
        </w:rPr>
        <w:t xml:space="preserve">field experiment </w:t>
      </w:r>
      <w:r w:rsidRPr="00C226B1">
        <w:rPr>
          <w:rFonts w:eastAsia="Times New Roman"/>
          <w:sz w:val="20"/>
          <w:szCs w:val="20"/>
        </w:rPr>
        <w:t>data from its player database</w:t>
      </w:r>
      <w:r w:rsidRPr="00C226B1">
        <w:rPr>
          <w:sz w:val="20"/>
          <w:szCs w:val="20"/>
        </w:rPr>
        <w:t xml:space="preserve"> for the purposes of conducting this study</w:t>
      </w:r>
      <w:r w:rsidRPr="00C226B1">
        <w:rPr>
          <w:rFonts w:eastAsia="Times New Roman"/>
          <w:sz w:val="20"/>
          <w:szCs w:val="20"/>
        </w:rPr>
        <w:t xml:space="preserve">.  The subject property offers various resort-style non-gaming amenities in addition to </w:t>
      </w:r>
      <w:r w:rsidRPr="00C226B1">
        <w:rPr>
          <w:rFonts w:eastAsia="Times New Roman"/>
          <w:bCs/>
          <w:sz w:val="20"/>
          <w:szCs w:val="20"/>
        </w:rPr>
        <w:t>thousands</w:t>
      </w:r>
      <w:r w:rsidRPr="00C226B1">
        <w:rPr>
          <w:rFonts w:eastAsia="Times New Roman"/>
          <w:sz w:val="20"/>
          <w:szCs w:val="20"/>
        </w:rPr>
        <w:t xml:space="preserve"> of slot machines and hundreds of table games.  The player database of the subject property consists of multiple segments (tiers), and each tier </w:t>
      </w:r>
      <w:r w:rsidRPr="00C226B1">
        <w:rPr>
          <w:sz w:val="20"/>
          <w:szCs w:val="20"/>
        </w:rPr>
        <w:t xml:space="preserve">is comprised of players with similar levels of historical play. </w:t>
      </w:r>
      <w:r w:rsidRPr="00C226B1">
        <w:rPr>
          <w:rFonts w:eastAsia="Times New Roman"/>
          <w:sz w:val="20"/>
          <w:szCs w:val="20"/>
        </w:rPr>
        <w:t xml:space="preserve">The data from the player database contained gaming, non-gaming and demographic information at the individual player level during his/her direct-mail free-play coupon redemption trip.  </w:t>
      </w:r>
      <w:r w:rsidRPr="00C226B1">
        <w:rPr>
          <w:sz w:val="20"/>
          <w:szCs w:val="20"/>
        </w:rPr>
        <w:t>According to the management of the property, players in a select tier were divided into two groups and randomly assigned to either $50 control offer group or $100 experimental offer group, one free-play coupon for each player.  The management of the subject property</w:t>
      </w:r>
      <w:r w:rsidRPr="00C226B1">
        <w:rPr>
          <w:rFonts w:eastAsia="Times New Roman"/>
          <w:sz w:val="20"/>
          <w:szCs w:val="20"/>
        </w:rPr>
        <w:t xml:space="preserve"> described that </w:t>
      </w:r>
      <w:r w:rsidRPr="00C226B1">
        <w:rPr>
          <w:sz w:val="20"/>
          <w:szCs w:val="20"/>
        </w:rPr>
        <w:t>the select tier used to receive $50 free-play offers</w:t>
      </w:r>
      <w:r w:rsidRPr="00C226B1">
        <w:rPr>
          <w:rFonts w:eastAsia="Times New Roman"/>
          <w:sz w:val="20"/>
          <w:szCs w:val="20"/>
        </w:rPr>
        <w:t xml:space="preserve"> </w:t>
      </w:r>
      <w:r w:rsidRPr="00C226B1">
        <w:rPr>
          <w:sz w:val="20"/>
          <w:szCs w:val="20"/>
        </w:rPr>
        <w:t>prior to this experiment.  The offer terms, conditions and graphic designs of the $50 and $100 free-play offers were exactly same except coupon face value</w:t>
      </w:r>
      <w:r w:rsidRPr="00C226B1">
        <w:rPr>
          <w:b/>
          <w:bCs/>
          <w:sz w:val="20"/>
          <w:szCs w:val="20"/>
        </w:rPr>
        <w:t>.</w:t>
      </w:r>
      <w:r w:rsidRPr="00C226B1">
        <w:rPr>
          <w:rFonts w:ascii="Arial" w:hAnsi="Arial" w:cs="Arial"/>
          <w:sz w:val="20"/>
          <w:szCs w:val="20"/>
        </w:rPr>
        <w:t xml:space="preserve">  </w:t>
      </w:r>
      <w:r w:rsidRPr="00C226B1">
        <w:rPr>
          <w:sz w:val="20"/>
          <w:szCs w:val="20"/>
        </w:rPr>
        <w:t xml:space="preserve">Both coupons were accompanied by complimentary awards for hotel rooms, food and beverage (RFB).  The RFB awards were same for the two groups.  All of these offers were mailed simultaneously.  </w:t>
      </w:r>
      <w:r w:rsidRPr="00C226B1">
        <w:rPr>
          <w:rFonts w:eastAsia="Times New Roman"/>
          <w:sz w:val="20"/>
          <w:szCs w:val="20"/>
        </w:rPr>
        <w:t>The offers were valid for a period of three consecutive months starting October</w:t>
      </w:r>
      <w:r w:rsidRPr="00C226B1">
        <w:rPr>
          <w:sz w:val="20"/>
          <w:szCs w:val="20"/>
        </w:rPr>
        <w:t xml:space="preserve"> in 2007.  Other than the free-play and RFB offers, no other awards were mailed by management to the subjects during the three-month promotion period.  In total, the subject property donated 409 slot player data that consisted of 168 players who redeemed $50 free-play offers and 241 players who redeemed $100 free-play offers.  </w:t>
      </w:r>
    </w:p>
    <w:p w:rsidR="009C6FDB" w:rsidRDefault="009C6FDB">
      <w:pPr>
        <w:rPr>
          <w:sz w:val="20"/>
          <w:szCs w:val="20"/>
        </w:rPr>
      </w:pPr>
    </w:p>
    <w:p w:rsidR="009C6FDB" w:rsidRDefault="00C226B1">
      <w:pPr>
        <w:rPr>
          <w:sz w:val="20"/>
          <w:szCs w:val="20"/>
        </w:rPr>
      </w:pPr>
      <w:r w:rsidRPr="00C226B1">
        <w:rPr>
          <w:sz w:val="20"/>
          <w:szCs w:val="20"/>
        </w:rPr>
        <w:t>Analysis</w:t>
      </w:r>
    </w:p>
    <w:p w:rsidR="009C6FDB" w:rsidRDefault="00C226B1">
      <w:pPr>
        <w:pStyle w:val="NormalWeb"/>
        <w:spacing w:before="0" w:beforeAutospacing="0" w:after="0" w:afterAutospacing="0"/>
        <w:ind w:firstLine="720"/>
        <w:rPr>
          <w:sz w:val="20"/>
          <w:szCs w:val="20"/>
          <w:lang w:eastAsia="zh-CN"/>
        </w:rPr>
      </w:pPr>
      <w:r w:rsidRPr="00C226B1">
        <w:rPr>
          <w:sz w:val="20"/>
          <w:szCs w:val="20"/>
        </w:rPr>
        <w:t xml:space="preserve">Multiple regression analysis was conducted with individual player coin-in during the coupon redemption trip as the dependent variable.  Data screening revealed cases </w:t>
      </w:r>
      <w:r w:rsidRPr="00C226B1">
        <w:rPr>
          <w:sz w:val="20"/>
          <w:szCs w:val="20"/>
          <w:lang w:eastAsia="zh-CN"/>
        </w:rPr>
        <w:t>with large residual values (29 observations), and they were excluded from analysis.</w:t>
      </w:r>
      <w:r w:rsidRPr="00C226B1">
        <w:rPr>
          <w:sz w:val="20"/>
          <w:szCs w:val="20"/>
        </w:rPr>
        <w:t xml:space="preserve">  Hence, the current investigation </w:t>
      </w:r>
      <w:r w:rsidRPr="00C226B1">
        <w:rPr>
          <w:sz w:val="20"/>
          <w:szCs w:val="20"/>
          <w:lang w:eastAsia="zh-CN"/>
        </w:rPr>
        <w:t xml:space="preserve">was based on a total of </w:t>
      </w:r>
      <w:r w:rsidRPr="00C226B1">
        <w:rPr>
          <w:sz w:val="20"/>
          <w:szCs w:val="20"/>
        </w:rPr>
        <w:t xml:space="preserve">380 </w:t>
      </w:r>
      <w:r w:rsidRPr="00C226B1">
        <w:rPr>
          <w:sz w:val="20"/>
          <w:szCs w:val="20"/>
          <w:lang w:eastAsia="zh-CN"/>
        </w:rPr>
        <w:t xml:space="preserve">observations.  </w:t>
      </w:r>
      <w:r w:rsidRPr="00C226B1">
        <w:rPr>
          <w:sz w:val="20"/>
          <w:szCs w:val="20"/>
        </w:rPr>
        <w:t>Additionally, the net cash flow per player resulting from free-play offers was estimated by following the method of free-play coupon profitability analysis introduced in Lucas et al. (2005).</w:t>
      </w:r>
    </w:p>
    <w:p w:rsidR="009C6FDB" w:rsidRDefault="009C6FDB">
      <w:pPr>
        <w:pStyle w:val="Header"/>
        <w:tabs>
          <w:tab w:val="clear" w:pos="4320"/>
          <w:tab w:val="clear" w:pos="8640"/>
        </w:tabs>
        <w:rPr>
          <w:sz w:val="20"/>
          <w:szCs w:val="20"/>
        </w:rPr>
      </w:pPr>
    </w:p>
    <w:p w:rsidR="009C6FDB" w:rsidRDefault="00C226B1">
      <w:pPr>
        <w:pStyle w:val="Header"/>
        <w:tabs>
          <w:tab w:val="clear" w:pos="4320"/>
          <w:tab w:val="clear" w:pos="8640"/>
        </w:tabs>
        <w:jc w:val="center"/>
        <w:rPr>
          <w:b/>
          <w:sz w:val="20"/>
          <w:szCs w:val="20"/>
        </w:rPr>
      </w:pPr>
      <w:r w:rsidRPr="00C226B1">
        <w:rPr>
          <w:b/>
          <w:sz w:val="20"/>
          <w:szCs w:val="20"/>
        </w:rPr>
        <w:t>RESULTS</w:t>
      </w:r>
    </w:p>
    <w:p w:rsidR="009C6FDB" w:rsidRDefault="009C6FDB">
      <w:pPr>
        <w:pStyle w:val="Header"/>
        <w:tabs>
          <w:tab w:val="clear" w:pos="4320"/>
          <w:tab w:val="clear" w:pos="8640"/>
        </w:tabs>
        <w:rPr>
          <w:sz w:val="20"/>
          <w:szCs w:val="20"/>
        </w:rPr>
      </w:pPr>
    </w:p>
    <w:p w:rsidR="009C6FDB" w:rsidRDefault="00C226B1">
      <w:pPr>
        <w:pStyle w:val="Header"/>
        <w:tabs>
          <w:tab w:val="clear" w:pos="4320"/>
          <w:tab w:val="clear" w:pos="8640"/>
        </w:tabs>
        <w:rPr>
          <w:sz w:val="20"/>
          <w:szCs w:val="20"/>
        </w:rPr>
      </w:pPr>
      <w:r w:rsidRPr="00C226B1">
        <w:rPr>
          <w:sz w:val="20"/>
          <w:szCs w:val="20"/>
        </w:rPr>
        <w:t xml:space="preserve">Descriptive Statistics </w:t>
      </w:r>
    </w:p>
    <w:p w:rsidR="00000000" w:rsidRDefault="00C226B1">
      <w:pPr>
        <w:pStyle w:val="Header"/>
        <w:tabs>
          <w:tab w:val="clear" w:pos="4320"/>
          <w:tab w:val="clear" w:pos="8640"/>
        </w:tabs>
        <w:ind w:firstLine="720"/>
        <w:rPr>
          <w:sz w:val="20"/>
          <w:szCs w:val="20"/>
        </w:rPr>
      </w:pPr>
      <w:r w:rsidRPr="00C226B1">
        <w:rPr>
          <w:sz w:val="20"/>
          <w:szCs w:val="20"/>
        </w:rPr>
        <w:t>The sample included 155 redeemers of $50 free-play offers and 225 redeemers of $100 free-play offers.  It appears that increase in coupon value led to high redemption rates among experimental offer recipients.  Table 1 summarizes descriptive statistics for the variables used in the regression model</w:t>
      </w:r>
      <w:r w:rsidR="00FB5871">
        <w:rPr>
          <w:sz w:val="20"/>
          <w:szCs w:val="20"/>
        </w:rPr>
        <w:t xml:space="preserve">, and </w:t>
      </w:r>
      <w:r w:rsidR="00FB5871" w:rsidRPr="00C226B1">
        <w:rPr>
          <w:sz w:val="20"/>
          <w:szCs w:val="20"/>
        </w:rPr>
        <w:t xml:space="preserve">Table 2 presents the correlations among the model variables.  </w:t>
      </w:r>
      <w:r w:rsidRPr="00C226B1">
        <w:rPr>
          <w:sz w:val="20"/>
          <w:szCs w:val="20"/>
        </w:rPr>
        <w:t>As shown in Table 1, the average amount of coin-in per player was greater in the $100 offer group than in the $50 offer group ($</w:t>
      </w:r>
      <w:r w:rsidRPr="00C226B1">
        <w:rPr>
          <w:sz w:val="20"/>
          <w:szCs w:val="20"/>
          <w:lang w:eastAsia="ko-KR"/>
        </w:rPr>
        <w:t xml:space="preserve">6,189.34 </w:t>
      </w:r>
      <w:r w:rsidRPr="00C226B1">
        <w:rPr>
          <w:rFonts w:eastAsia="Times New Roman"/>
          <w:color w:val="000000"/>
          <w:sz w:val="20"/>
          <w:szCs w:val="20"/>
          <w:lang w:eastAsia="ko-KR"/>
        </w:rPr>
        <w:t>v. $</w:t>
      </w:r>
      <w:r w:rsidRPr="00C226B1">
        <w:rPr>
          <w:sz w:val="20"/>
          <w:szCs w:val="20"/>
          <w:lang w:eastAsia="ko-KR"/>
        </w:rPr>
        <w:t>5,478.19</w:t>
      </w:r>
      <w:r w:rsidRPr="00C226B1">
        <w:rPr>
          <w:rFonts w:eastAsia="Times New Roman"/>
          <w:color w:val="000000"/>
          <w:sz w:val="20"/>
          <w:szCs w:val="20"/>
          <w:lang w:eastAsia="ko-KR"/>
        </w:rPr>
        <w:t>)</w:t>
      </w:r>
      <w:r w:rsidRPr="00C226B1">
        <w:rPr>
          <w:sz w:val="20"/>
          <w:szCs w:val="20"/>
        </w:rPr>
        <w:t xml:space="preserve">.  </w:t>
      </w:r>
    </w:p>
    <w:p w:rsidR="00FA1816" w:rsidRDefault="00FA1816">
      <w:pPr>
        <w:rPr>
          <w:b/>
          <w:sz w:val="20"/>
          <w:szCs w:val="20"/>
        </w:rPr>
      </w:pPr>
    </w:p>
    <w:p w:rsidR="007E43BC" w:rsidRDefault="007E43BC">
      <w:pPr>
        <w:rPr>
          <w:b/>
          <w:sz w:val="20"/>
          <w:szCs w:val="20"/>
        </w:rPr>
      </w:pPr>
      <w:r>
        <w:rPr>
          <w:b/>
          <w:sz w:val="20"/>
          <w:szCs w:val="20"/>
        </w:rPr>
        <w:br w:type="page"/>
      </w:r>
    </w:p>
    <w:p w:rsidR="009C6FDB" w:rsidRDefault="00C226B1">
      <w:pPr>
        <w:jc w:val="center"/>
        <w:rPr>
          <w:b/>
          <w:sz w:val="20"/>
          <w:szCs w:val="20"/>
        </w:rPr>
      </w:pPr>
      <w:r w:rsidRPr="00C226B1">
        <w:rPr>
          <w:b/>
          <w:sz w:val="20"/>
          <w:szCs w:val="20"/>
        </w:rPr>
        <w:lastRenderedPageBreak/>
        <w:t>Table 1</w:t>
      </w:r>
    </w:p>
    <w:p w:rsidR="009C6FDB" w:rsidRDefault="00C226B1">
      <w:pPr>
        <w:jc w:val="center"/>
        <w:rPr>
          <w:b/>
          <w:sz w:val="20"/>
          <w:szCs w:val="20"/>
        </w:rPr>
      </w:pPr>
      <w:r w:rsidRPr="00C226B1">
        <w:rPr>
          <w:b/>
          <w:sz w:val="20"/>
          <w:szCs w:val="20"/>
        </w:rPr>
        <w:t>Descriptive Statistics</w:t>
      </w:r>
    </w:p>
    <w:tbl>
      <w:tblPr>
        <w:tblW w:w="0" w:type="auto"/>
        <w:jc w:val="center"/>
        <w:tblInd w:w="-106" w:type="dxa"/>
        <w:tblLayout w:type="fixed"/>
        <w:tblLook w:val="0000"/>
      </w:tblPr>
      <w:tblGrid>
        <w:gridCol w:w="1342"/>
        <w:gridCol w:w="1116"/>
        <w:gridCol w:w="1066"/>
        <w:gridCol w:w="1066"/>
        <w:gridCol w:w="1066"/>
        <w:gridCol w:w="1066"/>
        <w:gridCol w:w="1066"/>
      </w:tblGrid>
      <w:tr w:rsidR="003502CD" w:rsidRPr="00030DED" w:rsidTr="00CA2A0B">
        <w:trPr>
          <w:trHeight w:val="215"/>
          <w:jc w:val="center"/>
        </w:trPr>
        <w:tc>
          <w:tcPr>
            <w:tcW w:w="1342" w:type="dxa"/>
            <w:tcBorders>
              <w:top w:val="single" w:sz="4" w:space="0" w:color="auto"/>
              <w:left w:val="nil"/>
            </w:tcBorders>
            <w:noWrap/>
            <w:vAlign w:val="bottom"/>
          </w:tcPr>
          <w:p w:rsidR="009C6FDB" w:rsidRDefault="009C6FDB">
            <w:pPr>
              <w:rPr>
                <w:rFonts w:eastAsia="Times New Roman"/>
                <w:color w:val="000000"/>
                <w:sz w:val="20"/>
                <w:szCs w:val="20"/>
                <w:lang w:eastAsia="ko-KR"/>
              </w:rPr>
            </w:pPr>
          </w:p>
        </w:tc>
        <w:tc>
          <w:tcPr>
            <w:tcW w:w="3248" w:type="dxa"/>
            <w:gridSpan w:val="3"/>
            <w:tcBorders>
              <w:top w:val="single" w:sz="4" w:space="0" w:color="auto"/>
              <w:bottom w:val="single" w:sz="4" w:space="0" w:color="auto"/>
            </w:tcBorders>
            <w:shd w:val="clear" w:color="auto" w:fill="auto"/>
            <w:noWrap/>
            <w:vAlign w:val="bottom"/>
          </w:tcPr>
          <w:p w:rsidR="009C6FDB" w:rsidRDefault="003502CD">
            <w:pPr>
              <w:jc w:val="center"/>
              <w:rPr>
                <w:rFonts w:eastAsia="Times New Roman"/>
                <w:color w:val="000000"/>
                <w:sz w:val="20"/>
                <w:szCs w:val="20"/>
                <w:lang w:eastAsia="ko-KR"/>
              </w:rPr>
            </w:pPr>
            <w:r w:rsidRPr="00030DED">
              <w:rPr>
                <w:rFonts w:eastAsia="Times New Roman"/>
                <w:color w:val="000000"/>
                <w:sz w:val="20"/>
                <w:szCs w:val="20"/>
                <w:lang w:eastAsia="ko-KR"/>
              </w:rPr>
              <w:t>$50 Incentive Group (n = 155)</w:t>
            </w:r>
          </w:p>
        </w:tc>
        <w:tc>
          <w:tcPr>
            <w:tcW w:w="3198" w:type="dxa"/>
            <w:gridSpan w:val="3"/>
            <w:tcBorders>
              <w:top w:val="single" w:sz="4" w:space="0" w:color="auto"/>
              <w:bottom w:val="single" w:sz="4" w:space="0" w:color="auto"/>
            </w:tcBorders>
            <w:shd w:val="clear" w:color="auto" w:fill="auto"/>
            <w:noWrap/>
            <w:vAlign w:val="bottom"/>
          </w:tcPr>
          <w:p w:rsidR="009C6FDB" w:rsidRDefault="003502CD">
            <w:pPr>
              <w:jc w:val="center"/>
              <w:rPr>
                <w:rFonts w:eastAsia="Times New Roman"/>
                <w:color w:val="000000"/>
                <w:sz w:val="20"/>
                <w:szCs w:val="20"/>
                <w:lang w:eastAsia="ko-KR"/>
              </w:rPr>
            </w:pPr>
            <w:r w:rsidRPr="00030DED">
              <w:rPr>
                <w:rFonts w:eastAsia="Times New Roman"/>
                <w:color w:val="000000"/>
                <w:sz w:val="20"/>
                <w:szCs w:val="20"/>
                <w:lang w:eastAsia="ko-KR"/>
              </w:rPr>
              <w:t>$100 Incentive Group (n = 225)</w:t>
            </w:r>
          </w:p>
        </w:tc>
      </w:tr>
      <w:tr w:rsidR="003502CD" w:rsidRPr="00030DED" w:rsidTr="00CA2A0B">
        <w:trPr>
          <w:trHeight w:val="89"/>
          <w:jc w:val="center"/>
        </w:trPr>
        <w:tc>
          <w:tcPr>
            <w:tcW w:w="1342" w:type="dxa"/>
            <w:tcBorders>
              <w:left w:val="nil"/>
              <w:bottom w:val="single" w:sz="4" w:space="0" w:color="auto"/>
              <w:right w:val="nil"/>
            </w:tcBorders>
            <w:noWrap/>
            <w:vAlign w:val="center"/>
          </w:tcPr>
          <w:p w:rsidR="009C6FDB" w:rsidRDefault="009C6FDB">
            <w:pPr>
              <w:pStyle w:val="NoSpacing"/>
              <w:rPr>
                <w:sz w:val="20"/>
                <w:szCs w:val="20"/>
                <w:lang w:eastAsia="ko-KR"/>
              </w:rPr>
            </w:pPr>
          </w:p>
        </w:tc>
        <w:tc>
          <w:tcPr>
            <w:tcW w:w="1116" w:type="dxa"/>
            <w:tcBorders>
              <w:top w:val="single" w:sz="4" w:space="0" w:color="auto"/>
              <w:left w:val="nil"/>
              <w:bottom w:val="single" w:sz="4" w:space="0" w:color="auto"/>
              <w:right w:val="nil"/>
            </w:tcBorders>
            <w:noWrap/>
            <w:vAlign w:val="center"/>
          </w:tcPr>
          <w:p w:rsidR="009C6FDB" w:rsidRDefault="003502CD">
            <w:pPr>
              <w:pStyle w:val="NoSpacing"/>
              <w:jc w:val="center"/>
              <w:rPr>
                <w:sz w:val="20"/>
                <w:szCs w:val="20"/>
                <w:lang w:eastAsia="ko-KR"/>
              </w:rPr>
            </w:pPr>
            <w:r w:rsidRPr="00030DED">
              <w:rPr>
                <w:sz w:val="20"/>
                <w:szCs w:val="20"/>
                <w:lang w:eastAsia="ko-KR"/>
              </w:rPr>
              <w:t>M</w:t>
            </w:r>
          </w:p>
        </w:tc>
        <w:tc>
          <w:tcPr>
            <w:tcW w:w="1066" w:type="dxa"/>
            <w:tcBorders>
              <w:top w:val="single" w:sz="4" w:space="0" w:color="auto"/>
              <w:left w:val="nil"/>
              <w:bottom w:val="single" w:sz="4" w:space="0" w:color="auto"/>
              <w:right w:val="nil"/>
            </w:tcBorders>
            <w:noWrap/>
            <w:vAlign w:val="center"/>
          </w:tcPr>
          <w:p w:rsidR="009C6FDB" w:rsidRDefault="003502CD">
            <w:pPr>
              <w:pStyle w:val="NoSpacing"/>
              <w:jc w:val="center"/>
              <w:rPr>
                <w:sz w:val="20"/>
                <w:szCs w:val="20"/>
                <w:lang w:eastAsia="ko-KR"/>
              </w:rPr>
            </w:pPr>
            <w:r w:rsidRPr="00030DED">
              <w:rPr>
                <w:sz w:val="20"/>
                <w:szCs w:val="20"/>
                <w:lang w:eastAsia="ko-KR"/>
              </w:rPr>
              <w:t>Mdn</w:t>
            </w:r>
          </w:p>
        </w:tc>
        <w:tc>
          <w:tcPr>
            <w:tcW w:w="1066" w:type="dxa"/>
            <w:tcBorders>
              <w:top w:val="single" w:sz="4" w:space="0" w:color="auto"/>
              <w:left w:val="nil"/>
              <w:bottom w:val="single" w:sz="4" w:space="0" w:color="auto"/>
              <w:right w:val="nil"/>
            </w:tcBorders>
            <w:noWrap/>
            <w:vAlign w:val="center"/>
          </w:tcPr>
          <w:p w:rsidR="009C6FDB" w:rsidRDefault="003502CD">
            <w:pPr>
              <w:pStyle w:val="NoSpacing"/>
              <w:jc w:val="center"/>
              <w:rPr>
                <w:sz w:val="20"/>
                <w:szCs w:val="20"/>
                <w:lang w:eastAsia="ko-KR"/>
              </w:rPr>
            </w:pPr>
            <w:r w:rsidRPr="00030DED">
              <w:rPr>
                <w:sz w:val="20"/>
                <w:szCs w:val="20"/>
                <w:lang w:eastAsia="ko-KR"/>
              </w:rPr>
              <w:t>SD</w:t>
            </w:r>
          </w:p>
        </w:tc>
        <w:tc>
          <w:tcPr>
            <w:tcW w:w="1066" w:type="dxa"/>
            <w:tcBorders>
              <w:top w:val="single" w:sz="4" w:space="0" w:color="auto"/>
              <w:left w:val="nil"/>
              <w:bottom w:val="single" w:sz="4" w:space="0" w:color="auto"/>
              <w:right w:val="nil"/>
            </w:tcBorders>
            <w:noWrap/>
            <w:vAlign w:val="center"/>
          </w:tcPr>
          <w:p w:rsidR="009C6FDB" w:rsidRDefault="003502CD">
            <w:pPr>
              <w:pStyle w:val="NoSpacing"/>
              <w:jc w:val="center"/>
              <w:rPr>
                <w:sz w:val="20"/>
                <w:szCs w:val="20"/>
                <w:lang w:eastAsia="ko-KR"/>
              </w:rPr>
            </w:pPr>
            <w:r w:rsidRPr="00030DED">
              <w:rPr>
                <w:sz w:val="20"/>
                <w:szCs w:val="20"/>
                <w:lang w:eastAsia="ko-KR"/>
              </w:rPr>
              <w:t>M</w:t>
            </w:r>
          </w:p>
        </w:tc>
        <w:tc>
          <w:tcPr>
            <w:tcW w:w="1066" w:type="dxa"/>
            <w:tcBorders>
              <w:top w:val="single" w:sz="4" w:space="0" w:color="auto"/>
              <w:left w:val="nil"/>
              <w:bottom w:val="single" w:sz="4" w:space="0" w:color="auto"/>
              <w:right w:val="nil"/>
            </w:tcBorders>
            <w:noWrap/>
            <w:vAlign w:val="center"/>
          </w:tcPr>
          <w:p w:rsidR="009C6FDB" w:rsidRDefault="003502CD">
            <w:pPr>
              <w:pStyle w:val="NoSpacing"/>
              <w:jc w:val="center"/>
              <w:rPr>
                <w:sz w:val="20"/>
                <w:szCs w:val="20"/>
                <w:lang w:eastAsia="ko-KR"/>
              </w:rPr>
            </w:pPr>
            <w:r w:rsidRPr="00030DED">
              <w:rPr>
                <w:sz w:val="20"/>
                <w:szCs w:val="20"/>
                <w:lang w:eastAsia="ko-KR"/>
              </w:rPr>
              <w:t>Mdn</w:t>
            </w:r>
          </w:p>
        </w:tc>
        <w:tc>
          <w:tcPr>
            <w:tcW w:w="1066" w:type="dxa"/>
            <w:tcBorders>
              <w:top w:val="single" w:sz="4" w:space="0" w:color="auto"/>
              <w:left w:val="nil"/>
              <w:bottom w:val="single" w:sz="4" w:space="0" w:color="auto"/>
              <w:right w:val="nil"/>
            </w:tcBorders>
            <w:noWrap/>
            <w:vAlign w:val="center"/>
          </w:tcPr>
          <w:p w:rsidR="009C6FDB" w:rsidRDefault="003502CD">
            <w:pPr>
              <w:pStyle w:val="NoSpacing"/>
              <w:jc w:val="center"/>
              <w:rPr>
                <w:sz w:val="20"/>
                <w:szCs w:val="20"/>
                <w:lang w:eastAsia="ko-KR"/>
              </w:rPr>
            </w:pPr>
            <w:r w:rsidRPr="00030DED">
              <w:rPr>
                <w:sz w:val="20"/>
                <w:szCs w:val="20"/>
                <w:lang w:eastAsia="ko-KR"/>
              </w:rPr>
              <w:t>SD</w:t>
            </w:r>
          </w:p>
        </w:tc>
      </w:tr>
      <w:tr w:rsidR="003502CD" w:rsidRPr="00030DED" w:rsidTr="00CA2A0B">
        <w:trPr>
          <w:trHeight w:val="215"/>
          <w:jc w:val="center"/>
        </w:trPr>
        <w:tc>
          <w:tcPr>
            <w:tcW w:w="1342" w:type="dxa"/>
            <w:tcBorders>
              <w:top w:val="nil"/>
              <w:left w:val="nil"/>
              <w:bottom w:val="nil"/>
              <w:right w:val="nil"/>
            </w:tcBorders>
            <w:noWrap/>
            <w:vAlign w:val="center"/>
          </w:tcPr>
          <w:p w:rsidR="009C6FDB" w:rsidRDefault="003502CD">
            <w:pPr>
              <w:pStyle w:val="NoSpacing"/>
              <w:rPr>
                <w:sz w:val="20"/>
                <w:szCs w:val="20"/>
                <w:lang w:eastAsia="ko-KR"/>
              </w:rPr>
            </w:pPr>
            <w:r w:rsidRPr="00030DED">
              <w:rPr>
                <w:sz w:val="20"/>
                <w:szCs w:val="20"/>
                <w:lang w:eastAsia="ko-KR"/>
              </w:rPr>
              <w:t>CI</w:t>
            </w:r>
            <w:r w:rsidRPr="00030DED">
              <w:rPr>
                <w:sz w:val="20"/>
                <w:szCs w:val="20"/>
                <w:vertAlign w:val="superscript"/>
              </w:rPr>
              <w:t xml:space="preserve"> a</w:t>
            </w:r>
          </w:p>
        </w:tc>
        <w:tc>
          <w:tcPr>
            <w:tcW w:w="111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5,478.19</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 xml:space="preserve">3,830.00 </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5,759.12</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6,189.34</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 xml:space="preserve">4,292.00 </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5,638.45</w:t>
            </w:r>
          </w:p>
        </w:tc>
      </w:tr>
      <w:tr w:rsidR="003502CD" w:rsidRPr="00030DED" w:rsidTr="00CA2A0B">
        <w:trPr>
          <w:trHeight w:val="243"/>
          <w:jc w:val="center"/>
        </w:trPr>
        <w:tc>
          <w:tcPr>
            <w:tcW w:w="1342" w:type="dxa"/>
            <w:tcBorders>
              <w:top w:val="nil"/>
              <w:left w:val="nil"/>
              <w:bottom w:val="nil"/>
              <w:right w:val="nil"/>
            </w:tcBorders>
            <w:noWrap/>
            <w:vAlign w:val="center"/>
          </w:tcPr>
          <w:p w:rsidR="009C6FDB" w:rsidRDefault="003502CD">
            <w:pPr>
              <w:pStyle w:val="NoSpacing"/>
              <w:rPr>
                <w:sz w:val="20"/>
                <w:szCs w:val="20"/>
                <w:lang w:eastAsia="ko-KR"/>
              </w:rPr>
            </w:pPr>
            <w:r w:rsidRPr="00030DED">
              <w:rPr>
                <w:sz w:val="20"/>
                <w:szCs w:val="20"/>
                <w:lang w:eastAsia="ko-KR"/>
              </w:rPr>
              <w:t>Room</w:t>
            </w:r>
            <w:r w:rsidRPr="00030DED">
              <w:rPr>
                <w:sz w:val="20"/>
                <w:szCs w:val="20"/>
                <w:vertAlign w:val="superscript"/>
              </w:rPr>
              <w:t xml:space="preserve"> </w:t>
            </w:r>
            <w:r w:rsidRPr="00030DED">
              <w:rPr>
                <w:sz w:val="20"/>
                <w:szCs w:val="20"/>
                <w:lang w:eastAsia="ko-KR"/>
              </w:rPr>
              <w:t xml:space="preserve">Comp </w:t>
            </w:r>
            <w:r w:rsidRPr="00030DED">
              <w:rPr>
                <w:sz w:val="20"/>
                <w:szCs w:val="20"/>
                <w:vertAlign w:val="superscript"/>
              </w:rPr>
              <w:t>b</w:t>
            </w:r>
          </w:p>
        </w:tc>
        <w:tc>
          <w:tcPr>
            <w:tcW w:w="111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w:t>
            </w:r>
            <w:r w:rsidRPr="00030DED">
              <w:rPr>
                <w:sz w:val="20"/>
                <w:szCs w:val="20"/>
                <w:lang w:eastAsia="ko-KR"/>
              </w:rPr>
              <w:t xml:space="preserve">280.80 </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 xml:space="preserve">270.00 </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w:t>
            </w:r>
            <w:r w:rsidRPr="00030DED">
              <w:rPr>
                <w:sz w:val="20"/>
                <w:szCs w:val="20"/>
              </w:rPr>
              <w:t>$</w:t>
            </w:r>
            <w:r w:rsidRPr="00030DED">
              <w:rPr>
                <w:sz w:val="20"/>
                <w:szCs w:val="20"/>
                <w:lang w:eastAsia="ko-KR"/>
              </w:rPr>
              <w:t xml:space="preserve">150.16 </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290.85</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 xml:space="preserve">270.00 </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w:t>
            </w:r>
            <w:r w:rsidRPr="00030DED">
              <w:rPr>
                <w:sz w:val="20"/>
                <w:szCs w:val="20"/>
              </w:rPr>
              <w:t>$</w:t>
            </w:r>
            <w:r w:rsidRPr="00030DED">
              <w:rPr>
                <w:sz w:val="20"/>
                <w:szCs w:val="20"/>
                <w:lang w:eastAsia="ko-KR"/>
              </w:rPr>
              <w:t xml:space="preserve">144.63 </w:t>
            </w:r>
          </w:p>
        </w:tc>
      </w:tr>
      <w:tr w:rsidR="003502CD" w:rsidRPr="00030DED" w:rsidTr="00CA2A0B">
        <w:trPr>
          <w:trHeight w:val="171"/>
          <w:jc w:val="center"/>
        </w:trPr>
        <w:tc>
          <w:tcPr>
            <w:tcW w:w="1342" w:type="dxa"/>
            <w:tcBorders>
              <w:top w:val="nil"/>
              <w:left w:val="nil"/>
              <w:bottom w:val="nil"/>
              <w:right w:val="nil"/>
            </w:tcBorders>
            <w:noWrap/>
            <w:vAlign w:val="center"/>
          </w:tcPr>
          <w:p w:rsidR="009C6FDB" w:rsidRDefault="003502CD">
            <w:pPr>
              <w:pStyle w:val="NoSpacing"/>
              <w:rPr>
                <w:sz w:val="20"/>
                <w:szCs w:val="20"/>
                <w:lang w:eastAsia="ko-KR"/>
              </w:rPr>
            </w:pPr>
            <w:r w:rsidRPr="00030DED">
              <w:rPr>
                <w:sz w:val="20"/>
                <w:szCs w:val="20"/>
                <w:lang w:eastAsia="ko-KR"/>
              </w:rPr>
              <w:t>Slot WL</w:t>
            </w:r>
            <w:r w:rsidRPr="00030DED">
              <w:rPr>
                <w:sz w:val="20"/>
                <w:szCs w:val="20"/>
                <w:vertAlign w:val="superscript"/>
              </w:rPr>
              <w:t xml:space="preserve"> c</w:t>
            </w:r>
          </w:p>
        </w:tc>
        <w:tc>
          <w:tcPr>
            <w:tcW w:w="111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w:t>
            </w:r>
            <w:r w:rsidRPr="00030DED">
              <w:rPr>
                <w:sz w:val="20"/>
                <w:szCs w:val="20"/>
              </w:rPr>
              <w:t xml:space="preserve">$ </w:t>
            </w:r>
            <w:r w:rsidRPr="00030DED">
              <w:rPr>
                <w:sz w:val="20"/>
                <w:szCs w:val="20"/>
                <w:lang w:eastAsia="ko-KR"/>
              </w:rPr>
              <w:t>610.99</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w:t>
            </w:r>
            <w:r w:rsidRPr="00030DED">
              <w:rPr>
                <w:sz w:val="20"/>
                <w:szCs w:val="20"/>
                <w:lang w:eastAsia="ko-KR"/>
              </w:rPr>
              <w:t>425.00</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841.60</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626.76</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460.00</w:t>
            </w:r>
          </w:p>
        </w:tc>
        <w:tc>
          <w:tcPr>
            <w:tcW w:w="106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rPr>
              <w:t xml:space="preserve">$ </w:t>
            </w:r>
            <w:r w:rsidRPr="00030DED">
              <w:rPr>
                <w:sz w:val="20"/>
                <w:szCs w:val="20"/>
                <w:lang w:eastAsia="ko-KR"/>
              </w:rPr>
              <w:t>870.74</w:t>
            </w:r>
          </w:p>
        </w:tc>
      </w:tr>
      <w:tr w:rsidR="003502CD" w:rsidRPr="00030DED" w:rsidTr="00CA2A0B">
        <w:trPr>
          <w:trHeight w:val="216"/>
          <w:jc w:val="center"/>
        </w:trPr>
        <w:tc>
          <w:tcPr>
            <w:tcW w:w="1342" w:type="dxa"/>
            <w:tcBorders>
              <w:top w:val="nil"/>
              <w:left w:val="nil"/>
              <w:bottom w:val="nil"/>
              <w:right w:val="nil"/>
            </w:tcBorders>
            <w:noWrap/>
            <w:vAlign w:val="center"/>
          </w:tcPr>
          <w:p w:rsidR="009C6FDB" w:rsidRDefault="003502CD">
            <w:pPr>
              <w:pStyle w:val="NoSpacing"/>
              <w:rPr>
                <w:sz w:val="20"/>
                <w:szCs w:val="20"/>
              </w:rPr>
            </w:pPr>
            <w:r w:rsidRPr="00030DED">
              <w:rPr>
                <w:sz w:val="20"/>
                <w:szCs w:val="20"/>
                <w:lang w:eastAsia="ko-KR"/>
              </w:rPr>
              <w:t>Table WL</w:t>
            </w:r>
            <w:r w:rsidRPr="00030DED">
              <w:rPr>
                <w:sz w:val="20"/>
                <w:szCs w:val="20"/>
                <w:vertAlign w:val="superscript"/>
              </w:rPr>
              <w:t xml:space="preserve"> d</w:t>
            </w:r>
          </w:p>
        </w:tc>
        <w:tc>
          <w:tcPr>
            <w:tcW w:w="111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lang w:eastAsia="ko-KR"/>
              </w:rPr>
              <w:t>$63.08</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$0.00</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$606.38</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$ 92.31</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$0.00</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$886.34</w:t>
            </w:r>
          </w:p>
        </w:tc>
      </w:tr>
      <w:tr w:rsidR="003502CD" w:rsidRPr="00030DED" w:rsidTr="00CA2A0B">
        <w:trPr>
          <w:trHeight w:val="171"/>
          <w:jc w:val="center"/>
        </w:trPr>
        <w:tc>
          <w:tcPr>
            <w:tcW w:w="1342" w:type="dxa"/>
            <w:tcBorders>
              <w:top w:val="nil"/>
              <w:left w:val="nil"/>
              <w:bottom w:val="nil"/>
              <w:right w:val="nil"/>
            </w:tcBorders>
            <w:noWrap/>
            <w:vAlign w:val="center"/>
          </w:tcPr>
          <w:p w:rsidR="009C6FDB" w:rsidRDefault="003502CD">
            <w:pPr>
              <w:pStyle w:val="NoSpacing"/>
              <w:rPr>
                <w:sz w:val="20"/>
                <w:szCs w:val="20"/>
                <w:lang w:eastAsia="ko-KR"/>
              </w:rPr>
            </w:pPr>
            <w:r w:rsidRPr="00030DED">
              <w:rPr>
                <w:sz w:val="20"/>
                <w:szCs w:val="20"/>
                <w:lang w:eastAsia="ko-KR"/>
              </w:rPr>
              <w:t>Other Comp</w:t>
            </w:r>
            <w:r w:rsidRPr="00030DED">
              <w:rPr>
                <w:sz w:val="20"/>
                <w:szCs w:val="20"/>
                <w:vertAlign w:val="superscript"/>
              </w:rPr>
              <w:t xml:space="preserve"> e</w:t>
            </w:r>
          </w:p>
        </w:tc>
        <w:tc>
          <w:tcPr>
            <w:tcW w:w="1116" w:type="dxa"/>
            <w:tcBorders>
              <w:top w:val="nil"/>
              <w:left w:val="nil"/>
              <w:bottom w:val="nil"/>
              <w:right w:val="nil"/>
            </w:tcBorders>
            <w:noWrap/>
            <w:vAlign w:val="center"/>
          </w:tcPr>
          <w:p w:rsidR="009C6FDB" w:rsidRDefault="003502CD">
            <w:pPr>
              <w:pStyle w:val="NoSpacing"/>
              <w:jc w:val="right"/>
              <w:rPr>
                <w:sz w:val="20"/>
                <w:szCs w:val="20"/>
                <w:lang w:eastAsia="ko-KR"/>
              </w:rPr>
            </w:pPr>
            <w:r w:rsidRPr="00030DED">
              <w:rPr>
                <w:sz w:val="20"/>
                <w:szCs w:val="20"/>
                <w:lang w:eastAsia="ko-KR"/>
              </w:rPr>
              <w:t>$30.67</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$26.00</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$57.87</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$28.71</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$26.00</w:t>
            </w:r>
          </w:p>
        </w:tc>
        <w:tc>
          <w:tcPr>
            <w:tcW w:w="1066" w:type="dxa"/>
            <w:tcBorders>
              <w:top w:val="nil"/>
              <w:left w:val="nil"/>
              <w:bottom w:val="nil"/>
              <w:right w:val="nil"/>
            </w:tcBorders>
            <w:noWrap/>
            <w:vAlign w:val="center"/>
          </w:tcPr>
          <w:p w:rsidR="009C6FDB" w:rsidRDefault="003502CD">
            <w:pPr>
              <w:pStyle w:val="NoSpacing"/>
              <w:jc w:val="right"/>
              <w:rPr>
                <w:sz w:val="20"/>
                <w:szCs w:val="20"/>
              </w:rPr>
            </w:pPr>
            <w:r w:rsidRPr="00030DED">
              <w:rPr>
                <w:sz w:val="20"/>
                <w:szCs w:val="20"/>
              </w:rPr>
              <w:t>$46.95</w:t>
            </w:r>
          </w:p>
        </w:tc>
      </w:tr>
      <w:tr w:rsidR="003502CD" w:rsidRPr="00030DED" w:rsidTr="00CA2A0B">
        <w:trPr>
          <w:trHeight w:val="126"/>
          <w:jc w:val="center"/>
        </w:trPr>
        <w:tc>
          <w:tcPr>
            <w:tcW w:w="1342" w:type="dxa"/>
            <w:tcBorders>
              <w:top w:val="nil"/>
              <w:left w:val="nil"/>
              <w:bottom w:val="single" w:sz="4" w:space="0" w:color="auto"/>
              <w:right w:val="nil"/>
            </w:tcBorders>
            <w:noWrap/>
            <w:vAlign w:val="center"/>
          </w:tcPr>
          <w:p w:rsidR="009C6FDB" w:rsidRDefault="003502CD">
            <w:pPr>
              <w:pStyle w:val="NoSpacing"/>
              <w:rPr>
                <w:sz w:val="20"/>
                <w:szCs w:val="20"/>
                <w:lang w:eastAsia="ko-KR"/>
              </w:rPr>
            </w:pPr>
            <w:r w:rsidRPr="00030DED">
              <w:rPr>
                <w:sz w:val="20"/>
                <w:szCs w:val="20"/>
                <w:lang w:eastAsia="ko-KR"/>
              </w:rPr>
              <w:t>Trip Days</w:t>
            </w:r>
            <w:r w:rsidRPr="00030DED">
              <w:rPr>
                <w:sz w:val="20"/>
                <w:szCs w:val="20"/>
                <w:vertAlign w:val="superscript"/>
              </w:rPr>
              <w:t xml:space="preserve"> f</w:t>
            </w:r>
          </w:p>
        </w:tc>
        <w:tc>
          <w:tcPr>
            <w:tcW w:w="1116" w:type="dxa"/>
            <w:tcBorders>
              <w:top w:val="nil"/>
              <w:left w:val="nil"/>
              <w:bottom w:val="single" w:sz="4" w:space="0" w:color="auto"/>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3.73 </w:t>
            </w:r>
          </w:p>
        </w:tc>
        <w:tc>
          <w:tcPr>
            <w:tcW w:w="1066" w:type="dxa"/>
            <w:tcBorders>
              <w:top w:val="nil"/>
              <w:left w:val="nil"/>
              <w:bottom w:val="single" w:sz="4" w:space="0" w:color="auto"/>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4.00 </w:t>
            </w:r>
          </w:p>
        </w:tc>
        <w:tc>
          <w:tcPr>
            <w:tcW w:w="1066" w:type="dxa"/>
            <w:tcBorders>
              <w:top w:val="nil"/>
              <w:left w:val="nil"/>
              <w:bottom w:val="single" w:sz="4" w:space="0" w:color="auto"/>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0.96</w:t>
            </w:r>
          </w:p>
        </w:tc>
        <w:tc>
          <w:tcPr>
            <w:tcW w:w="1066" w:type="dxa"/>
            <w:tcBorders>
              <w:top w:val="nil"/>
              <w:left w:val="nil"/>
              <w:bottom w:val="single" w:sz="4" w:space="0" w:color="auto"/>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3.91 </w:t>
            </w:r>
          </w:p>
        </w:tc>
        <w:tc>
          <w:tcPr>
            <w:tcW w:w="1066" w:type="dxa"/>
            <w:tcBorders>
              <w:top w:val="nil"/>
              <w:left w:val="nil"/>
              <w:bottom w:val="single" w:sz="4" w:space="0" w:color="auto"/>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4.00 </w:t>
            </w:r>
          </w:p>
        </w:tc>
        <w:tc>
          <w:tcPr>
            <w:tcW w:w="1066" w:type="dxa"/>
            <w:tcBorders>
              <w:top w:val="nil"/>
              <w:left w:val="nil"/>
              <w:bottom w:val="single" w:sz="4" w:space="0" w:color="auto"/>
              <w:right w:val="nil"/>
            </w:tcBorders>
            <w:noWrap/>
            <w:vAlign w:val="center"/>
          </w:tcPr>
          <w:p w:rsidR="009C6FDB" w:rsidRDefault="003502CD">
            <w:pPr>
              <w:pStyle w:val="NoSpacing"/>
              <w:jc w:val="right"/>
              <w:rPr>
                <w:sz w:val="20"/>
                <w:szCs w:val="20"/>
                <w:lang w:eastAsia="ko-KR"/>
              </w:rPr>
            </w:pPr>
            <w:r w:rsidRPr="00030DED">
              <w:rPr>
                <w:sz w:val="20"/>
                <w:szCs w:val="20"/>
                <w:lang w:eastAsia="ko-KR"/>
              </w:rPr>
              <w:t xml:space="preserve">  1.27 </w:t>
            </w:r>
          </w:p>
        </w:tc>
      </w:tr>
    </w:tbl>
    <w:p w:rsidR="00000000" w:rsidRDefault="00CC5796">
      <w:pPr>
        <w:pStyle w:val="NormalWeb"/>
        <w:spacing w:before="0" w:beforeAutospacing="0" w:after="0" w:afterAutospacing="0"/>
        <w:ind w:left="720"/>
      </w:pPr>
      <w:r>
        <w:rPr>
          <w:sz w:val="20"/>
          <w:szCs w:val="20"/>
        </w:rPr>
        <w:t xml:space="preserve">Note.  </w:t>
      </w:r>
      <w:r>
        <w:rPr>
          <w:sz w:val="20"/>
          <w:szCs w:val="20"/>
          <w:vertAlign w:val="superscript"/>
        </w:rPr>
        <w:t>a</w:t>
      </w:r>
      <w:r>
        <w:rPr>
          <w:sz w:val="20"/>
          <w:szCs w:val="20"/>
        </w:rPr>
        <w:t xml:space="preserve"> Coin-in. </w:t>
      </w:r>
      <w:r>
        <w:rPr>
          <w:sz w:val="20"/>
          <w:szCs w:val="20"/>
          <w:vertAlign w:val="superscript"/>
        </w:rPr>
        <w:t>b</w:t>
      </w:r>
      <w:r>
        <w:rPr>
          <w:sz w:val="20"/>
          <w:szCs w:val="20"/>
        </w:rPr>
        <w:t xml:space="preserve"> Retail value of complimentary room nights. </w:t>
      </w:r>
      <w:r>
        <w:rPr>
          <w:sz w:val="20"/>
          <w:szCs w:val="20"/>
          <w:vertAlign w:val="superscript"/>
        </w:rPr>
        <w:t>c</w:t>
      </w:r>
      <w:r>
        <w:rPr>
          <w:sz w:val="20"/>
          <w:szCs w:val="20"/>
        </w:rPr>
        <w:t xml:space="preserve"> Actual dollar amount won or lost on slot games. </w:t>
      </w:r>
      <w:r>
        <w:rPr>
          <w:sz w:val="20"/>
          <w:szCs w:val="20"/>
          <w:vertAlign w:val="superscript"/>
        </w:rPr>
        <w:t>d</w:t>
      </w:r>
      <w:r>
        <w:rPr>
          <w:sz w:val="20"/>
          <w:szCs w:val="20"/>
        </w:rPr>
        <w:t xml:space="preserve"> Actual dollar amount won or lost on table games.  </w:t>
      </w:r>
      <w:r w:rsidRPr="00CC5796">
        <w:rPr>
          <w:sz w:val="20"/>
          <w:szCs w:val="20"/>
          <w:vertAlign w:val="superscript"/>
        </w:rPr>
        <w:t>e</w:t>
      </w:r>
      <w:r w:rsidRPr="00CC5796">
        <w:rPr>
          <w:sz w:val="20"/>
          <w:szCs w:val="20"/>
          <w:lang w:eastAsia="ko-KR"/>
        </w:rPr>
        <w:t xml:space="preserve"> Retail value of other complimentary</w:t>
      </w:r>
      <w:r w:rsidRPr="00CC5796">
        <w:rPr>
          <w:sz w:val="20"/>
          <w:szCs w:val="20"/>
        </w:rPr>
        <w:t xml:space="preserve"> awards.  </w:t>
      </w:r>
      <w:r>
        <w:rPr>
          <w:sz w:val="20"/>
          <w:szCs w:val="20"/>
          <w:vertAlign w:val="superscript"/>
        </w:rPr>
        <w:t>f</w:t>
      </w:r>
      <w:r>
        <w:rPr>
          <w:sz w:val="20"/>
          <w:szCs w:val="20"/>
        </w:rPr>
        <w:t xml:space="preserve"> The number of trip days</w:t>
      </w:r>
      <w:r w:rsidR="003502CD" w:rsidRPr="00030DED">
        <w:rPr>
          <w:sz w:val="20"/>
          <w:szCs w:val="20"/>
          <w:lang w:eastAsia="ko-KR"/>
        </w:rPr>
        <w:t xml:space="preserve"> </w:t>
      </w:r>
    </w:p>
    <w:p w:rsidR="009C6FDB" w:rsidRDefault="009C6FDB">
      <w:pPr>
        <w:pStyle w:val="NormalWeb"/>
        <w:spacing w:before="0" w:beforeAutospacing="0" w:after="0" w:afterAutospacing="0"/>
        <w:rPr>
          <w:sz w:val="20"/>
          <w:szCs w:val="20"/>
          <w:lang w:eastAsia="zh-CN"/>
        </w:rPr>
      </w:pPr>
    </w:p>
    <w:p w:rsidR="009C6FDB" w:rsidRDefault="00C226B1">
      <w:pPr>
        <w:jc w:val="center"/>
        <w:rPr>
          <w:b/>
          <w:sz w:val="20"/>
          <w:szCs w:val="20"/>
        </w:rPr>
      </w:pPr>
      <w:r w:rsidRPr="00C226B1">
        <w:rPr>
          <w:b/>
          <w:sz w:val="20"/>
          <w:szCs w:val="20"/>
        </w:rPr>
        <w:t xml:space="preserve">Table 2 </w:t>
      </w:r>
    </w:p>
    <w:p w:rsidR="009C6FDB" w:rsidRDefault="00C226B1">
      <w:pPr>
        <w:jc w:val="center"/>
        <w:rPr>
          <w:b/>
          <w:sz w:val="20"/>
          <w:szCs w:val="20"/>
        </w:rPr>
      </w:pPr>
      <w:r w:rsidRPr="00C226B1">
        <w:rPr>
          <w:b/>
          <w:sz w:val="20"/>
          <w:szCs w:val="20"/>
        </w:rPr>
        <w:t>Intercorrelations between the Model Variables (n = 380)</w:t>
      </w:r>
    </w:p>
    <w:tbl>
      <w:tblPr>
        <w:tblW w:w="0" w:type="auto"/>
        <w:jc w:val="center"/>
        <w:tblLook w:val="04A0"/>
      </w:tblPr>
      <w:tblGrid>
        <w:gridCol w:w="1261"/>
        <w:gridCol w:w="1244"/>
        <w:gridCol w:w="1261"/>
        <w:gridCol w:w="1022"/>
        <w:gridCol w:w="696"/>
        <w:gridCol w:w="900"/>
        <w:gridCol w:w="1033"/>
      </w:tblGrid>
      <w:tr w:rsidR="00DE4EB8" w:rsidRPr="00030DED" w:rsidTr="00840968">
        <w:trPr>
          <w:trHeight w:val="270"/>
          <w:jc w:val="center"/>
        </w:trPr>
        <w:tc>
          <w:tcPr>
            <w:tcW w:w="0" w:type="auto"/>
            <w:tcBorders>
              <w:top w:val="single" w:sz="4" w:space="0" w:color="auto"/>
              <w:left w:val="nil"/>
              <w:bottom w:val="single" w:sz="4" w:space="0" w:color="auto"/>
              <w:right w:val="nil"/>
            </w:tcBorders>
            <w:shd w:val="clear" w:color="auto" w:fill="auto"/>
            <w:hideMark/>
          </w:tcPr>
          <w:p w:rsidR="009C6FDB" w:rsidRDefault="009C6FDB">
            <w:pPr>
              <w:rPr>
                <w:color w:val="000000"/>
                <w:sz w:val="20"/>
                <w:szCs w:val="20"/>
              </w:rPr>
            </w:pPr>
          </w:p>
        </w:tc>
        <w:tc>
          <w:tcPr>
            <w:tcW w:w="0" w:type="auto"/>
            <w:tcBorders>
              <w:top w:val="single" w:sz="4" w:space="0" w:color="auto"/>
              <w:left w:val="nil"/>
              <w:bottom w:val="single" w:sz="4" w:space="0" w:color="auto"/>
              <w:right w:val="nil"/>
            </w:tcBorders>
            <w:shd w:val="clear" w:color="auto" w:fill="auto"/>
            <w:noWrap/>
            <w:vAlign w:val="bottom"/>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Room Comp</w:t>
            </w:r>
          </w:p>
        </w:tc>
        <w:tc>
          <w:tcPr>
            <w:tcW w:w="0" w:type="auto"/>
            <w:tcBorders>
              <w:top w:val="single" w:sz="4" w:space="0" w:color="auto"/>
              <w:left w:val="nil"/>
              <w:bottom w:val="single" w:sz="4" w:space="0" w:color="auto"/>
              <w:right w:val="nil"/>
            </w:tcBorders>
            <w:shd w:val="clear" w:color="auto" w:fill="auto"/>
            <w:noWrap/>
            <w:vAlign w:val="bottom"/>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Other  Comp</w:t>
            </w:r>
          </w:p>
        </w:tc>
        <w:tc>
          <w:tcPr>
            <w:tcW w:w="0" w:type="auto"/>
            <w:tcBorders>
              <w:top w:val="single" w:sz="4" w:space="0" w:color="auto"/>
              <w:left w:val="nil"/>
              <w:bottom w:val="single" w:sz="4" w:space="0" w:color="auto"/>
              <w:right w:val="nil"/>
            </w:tcBorders>
            <w:shd w:val="clear" w:color="auto" w:fill="auto"/>
            <w:noWrap/>
            <w:vAlign w:val="bottom"/>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Trip Days</w:t>
            </w:r>
          </w:p>
        </w:tc>
        <w:tc>
          <w:tcPr>
            <w:tcW w:w="0" w:type="auto"/>
            <w:tcBorders>
              <w:top w:val="single" w:sz="4" w:space="0" w:color="auto"/>
              <w:left w:val="nil"/>
              <w:bottom w:val="single" w:sz="4" w:space="0" w:color="auto"/>
              <w:right w:val="nil"/>
            </w:tcBorders>
            <w:shd w:val="clear" w:color="auto" w:fill="auto"/>
            <w:noWrap/>
            <w:vAlign w:val="bottom"/>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CI</w:t>
            </w:r>
          </w:p>
        </w:tc>
        <w:tc>
          <w:tcPr>
            <w:tcW w:w="0" w:type="auto"/>
            <w:tcBorders>
              <w:top w:val="single" w:sz="4" w:space="0" w:color="auto"/>
              <w:left w:val="nil"/>
              <w:bottom w:val="single" w:sz="4" w:space="0" w:color="auto"/>
              <w:right w:val="nil"/>
            </w:tcBorders>
            <w:shd w:val="clear" w:color="auto" w:fill="auto"/>
            <w:noWrap/>
            <w:vAlign w:val="bottom"/>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Slot WL</w:t>
            </w:r>
          </w:p>
        </w:tc>
        <w:tc>
          <w:tcPr>
            <w:tcW w:w="0" w:type="auto"/>
            <w:tcBorders>
              <w:top w:val="single" w:sz="4" w:space="0" w:color="auto"/>
              <w:left w:val="nil"/>
              <w:bottom w:val="single" w:sz="4" w:space="0" w:color="auto"/>
              <w:right w:val="nil"/>
            </w:tcBorders>
            <w:shd w:val="clear" w:color="auto" w:fill="auto"/>
            <w:noWrap/>
            <w:vAlign w:val="bottom"/>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Table WL</w:t>
            </w:r>
          </w:p>
        </w:tc>
      </w:tr>
      <w:tr w:rsidR="00DE4EB8" w:rsidRPr="00030DED" w:rsidTr="00CA2A0B">
        <w:trPr>
          <w:trHeight w:val="215"/>
          <w:jc w:val="center"/>
        </w:trPr>
        <w:tc>
          <w:tcPr>
            <w:tcW w:w="0" w:type="auto"/>
            <w:tcBorders>
              <w:top w:val="single" w:sz="4" w:space="0" w:color="auto"/>
              <w:left w:val="nil"/>
              <w:bottom w:val="nil"/>
              <w:right w:val="nil"/>
            </w:tcBorders>
            <w:shd w:val="clear" w:color="auto" w:fill="auto"/>
            <w:hideMark/>
          </w:tcPr>
          <w:p w:rsidR="009C6FDB" w:rsidRDefault="003502CD">
            <w:pPr>
              <w:rPr>
                <w:color w:val="000000"/>
                <w:sz w:val="20"/>
                <w:szCs w:val="20"/>
              </w:rPr>
            </w:pPr>
            <w:r w:rsidRPr="00030DED">
              <w:rPr>
                <w:color w:val="000000"/>
                <w:sz w:val="20"/>
                <w:szCs w:val="20"/>
              </w:rPr>
              <w:t>Room Comp</w:t>
            </w:r>
          </w:p>
        </w:tc>
        <w:tc>
          <w:tcPr>
            <w:tcW w:w="0" w:type="auto"/>
            <w:tcBorders>
              <w:top w:val="single" w:sz="4" w:space="0" w:color="auto"/>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single" w:sz="4" w:space="0" w:color="auto"/>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single" w:sz="4" w:space="0" w:color="auto"/>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single" w:sz="4" w:space="0" w:color="auto"/>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single" w:sz="4" w:space="0" w:color="auto"/>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single" w:sz="4" w:space="0" w:color="auto"/>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r>
      <w:tr w:rsidR="00DE4EB8" w:rsidRPr="00030DED" w:rsidTr="00CA2A0B">
        <w:trPr>
          <w:trHeight w:val="171"/>
          <w:jc w:val="center"/>
        </w:trPr>
        <w:tc>
          <w:tcPr>
            <w:tcW w:w="0" w:type="auto"/>
            <w:tcBorders>
              <w:top w:val="nil"/>
              <w:left w:val="nil"/>
              <w:bottom w:val="nil"/>
              <w:right w:val="nil"/>
            </w:tcBorders>
            <w:shd w:val="clear" w:color="auto" w:fill="auto"/>
            <w:hideMark/>
          </w:tcPr>
          <w:p w:rsidR="009C6FDB" w:rsidRDefault="003502CD">
            <w:pPr>
              <w:rPr>
                <w:color w:val="000000"/>
                <w:sz w:val="20"/>
                <w:szCs w:val="20"/>
              </w:rPr>
            </w:pPr>
            <w:r w:rsidRPr="00030DED">
              <w:rPr>
                <w:color w:val="000000"/>
                <w:sz w:val="20"/>
                <w:szCs w:val="20"/>
              </w:rPr>
              <w:t>Other  Comp</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-0.05</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r>
      <w:tr w:rsidR="00DE4EB8" w:rsidRPr="00030DED" w:rsidTr="00CA2A0B">
        <w:trPr>
          <w:trHeight w:val="207"/>
          <w:jc w:val="center"/>
        </w:trPr>
        <w:tc>
          <w:tcPr>
            <w:tcW w:w="0" w:type="auto"/>
            <w:tcBorders>
              <w:top w:val="nil"/>
              <w:left w:val="nil"/>
              <w:bottom w:val="nil"/>
              <w:right w:val="nil"/>
            </w:tcBorders>
            <w:shd w:val="clear" w:color="auto" w:fill="auto"/>
            <w:hideMark/>
          </w:tcPr>
          <w:p w:rsidR="009C6FDB" w:rsidRDefault="003502CD">
            <w:pPr>
              <w:rPr>
                <w:color w:val="000000"/>
                <w:sz w:val="20"/>
                <w:szCs w:val="20"/>
              </w:rPr>
            </w:pPr>
            <w:r w:rsidRPr="00030DED">
              <w:rPr>
                <w:color w:val="000000"/>
                <w:sz w:val="20"/>
                <w:szCs w:val="20"/>
              </w:rPr>
              <w:t>Trip Days</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0.35</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0.25</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r>
      <w:tr w:rsidR="00DE4EB8" w:rsidRPr="00030DED" w:rsidTr="00CA2A0B">
        <w:trPr>
          <w:trHeight w:val="243"/>
          <w:jc w:val="center"/>
        </w:trPr>
        <w:tc>
          <w:tcPr>
            <w:tcW w:w="0" w:type="auto"/>
            <w:tcBorders>
              <w:top w:val="nil"/>
              <w:left w:val="nil"/>
              <w:bottom w:val="nil"/>
              <w:right w:val="nil"/>
            </w:tcBorders>
            <w:shd w:val="clear" w:color="auto" w:fill="auto"/>
            <w:hideMark/>
          </w:tcPr>
          <w:p w:rsidR="009C6FDB" w:rsidRDefault="003502CD">
            <w:pPr>
              <w:rPr>
                <w:color w:val="000000"/>
                <w:sz w:val="20"/>
                <w:szCs w:val="20"/>
              </w:rPr>
            </w:pPr>
            <w:r w:rsidRPr="00030DED">
              <w:rPr>
                <w:color w:val="000000"/>
                <w:sz w:val="20"/>
                <w:szCs w:val="20"/>
              </w:rPr>
              <w:t>CI</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0.19</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0.34</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0.25</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r>
      <w:tr w:rsidR="00DE4EB8" w:rsidRPr="00030DED" w:rsidTr="00CA2A0B">
        <w:trPr>
          <w:trHeight w:val="189"/>
          <w:jc w:val="center"/>
        </w:trPr>
        <w:tc>
          <w:tcPr>
            <w:tcW w:w="0" w:type="auto"/>
            <w:tcBorders>
              <w:top w:val="nil"/>
              <w:left w:val="nil"/>
              <w:bottom w:val="nil"/>
              <w:right w:val="nil"/>
            </w:tcBorders>
            <w:shd w:val="clear" w:color="auto" w:fill="auto"/>
            <w:hideMark/>
          </w:tcPr>
          <w:p w:rsidR="009C6FDB" w:rsidRDefault="003502CD">
            <w:pPr>
              <w:rPr>
                <w:color w:val="000000"/>
                <w:sz w:val="20"/>
                <w:szCs w:val="20"/>
              </w:rPr>
            </w:pPr>
            <w:r w:rsidRPr="00030DED">
              <w:rPr>
                <w:color w:val="000000"/>
                <w:sz w:val="20"/>
                <w:szCs w:val="20"/>
              </w:rPr>
              <w:t>Slot WL</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0.13</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0.30</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0.21</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0.60</w:t>
            </w:r>
            <w:r w:rsidRPr="00030DED">
              <w:rPr>
                <w:rFonts w:eastAsia="Times New Roman"/>
                <w:color w:val="000000"/>
                <w:sz w:val="20"/>
                <w:szCs w:val="20"/>
                <w:vertAlign w:val="superscript"/>
                <w:lang w:eastAsia="ko-KR"/>
              </w:rPr>
              <w:t>**</w:t>
            </w:r>
          </w:p>
        </w:tc>
        <w:tc>
          <w:tcPr>
            <w:tcW w:w="0" w:type="auto"/>
            <w:tcBorders>
              <w:top w:val="nil"/>
              <w:left w:val="nil"/>
              <w:bottom w:val="nil"/>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shd w:val="clear" w:color="auto" w:fill="auto"/>
            <w:noWrap/>
            <w:hideMark/>
          </w:tcPr>
          <w:p w:rsidR="009C6FDB" w:rsidRDefault="009C6FDB">
            <w:pPr>
              <w:rPr>
                <w:rFonts w:eastAsia="Times New Roman"/>
                <w:color w:val="000000"/>
                <w:sz w:val="20"/>
                <w:szCs w:val="20"/>
                <w:lang w:eastAsia="ko-KR"/>
              </w:rPr>
            </w:pPr>
          </w:p>
        </w:tc>
      </w:tr>
      <w:tr w:rsidR="00DE4EB8" w:rsidRPr="00030DED" w:rsidTr="00CA2A0B">
        <w:trPr>
          <w:trHeight w:val="225"/>
          <w:jc w:val="center"/>
        </w:trPr>
        <w:tc>
          <w:tcPr>
            <w:tcW w:w="0" w:type="auto"/>
            <w:tcBorders>
              <w:top w:val="nil"/>
              <w:left w:val="nil"/>
              <w:bottom w:val="single" w:sz="4" w:space="0" w:color="auto"/>
              <w:right w:val="nil"/>
            </w:tcBorders>
            <w:shd w:val="clear" w:color="auto" w:fill="auto"/>
            <w:hideMark/>
          </w:tcPr>
          <w:p w:rsidR="009C6FDB" w:rsidRDefault="003502CD">
            <w:pPr>
              <w:rPr>
                <w:color w:val="000000"/>
                <w:sz w:val="20"/>
                <w:szCs w:val="20"/>
              </w:rPr>
            </w:pPr>
            <w:r w:rsidRPr="00030DED">
              <w:rPr>
                <w:color w:val="000000"/>
                <w:sz w:val="20"/>
                <w:szCs w:val="20"/>
              </w:rPr>
              <w:t>Table WL</w:t>
            </w:r>
          </w:p>
        </w:tc>
        <w:tc>
          <w:tcPr>
            <w:tcW w:w="0" w:type="auto"/>
            <w:tcBorders>
              <w:top w:val="nil"/>
              <w:left w:val="nil"/>
              <w:bottom w:val="single" w:sz="4" w:space="0" w:color="auto"/>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-0.06</w:t>
            </w:r>
          </w:p>
        </w:tc>
        <w:tc>
          <w:tcPr>
            <w:tcW w:w="0" w:type="auto"/>
            <w:tcBorders>
              <w:top w:val="nil"/>
              <w:left w:val="nil"/>
              <w:bottom w:val="single" w:sz="4" w:space="0" w:color="auto"/>
              <w:right w:val="nil"/>
            </w:tcBorders>
            <w:shd w:val="clear" w:color="auto" w:fill="auto"/>
            <w:noWrap/>
            <w:hideMark/>
          </w:tcPr>
          <w:p w:rsidR="009C6FDB" w:rsidRDefault="003502CD">
            <w:pPr>
              <w:ind w:right="120"/>
              <w:rPr>
                <w:rFonts w:eastAsia="Times New Roman"/>
                <w:color w:val="000000"/>
                <w:sz w:val="20"/>
                <w:szCs w:val="20"/>
                <w:lang w:eastAsia="ko-KR"/>
              </w:rPr>
            </w:pPr>
            <w:r w:rsidRPr="00030DED">
              <w:rPr>
                <w:rFonts w:eastAsia="Times New Roman"/>
                <w:color w:val="000000"/>
                <w:sz w:val="20"/>
                <w:szCs w:val="20"/>
                <w:lang w:eastAsia="ko-KR"/>
              </w:rPr>
              <w:t>0.2</w:t>
            </w:r>
            <w:r w:rsidRPr="00030DED">
              <w:rPr>
                <w:rFonts w:eastAsia="Times New Roman"/>
                <w:color w:val="000000"/>
                <w:sz w:val="20"/>
                <w:szCs w:val="20"/>
                <w:vertAlign w:val="superscript"/>
                <w:lang w:eastAsia="ko-KR"/>
              </w:rPr>
              <w:t>**</w:t>
            </w:r>
          </w:p>
        </w:tc>
        <w:tc>
          <w:tcPr>
            <w:tcW w:w="0" w:type="auto"/>
            <w:tcBorders>
              <w:top w:val="nil"/>
              <w:left w:val="nil"/>
              <w:bottom w:val="single" w:sz="4" w:space="0" w:color="auto"/>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0.06</w:t>
            </w:r>
          </w:p>
        </w:tc>
        <w:tc>
          <w:tcPr>
            <w:tcW w:w="0" w:type="auto"/>
            <w:tcBorders>
              <w:top w:val="nil"/>
              <w:left w:val="nil"/>
              <w:bottom w:val="single" w:sz="4" w:space="0" w:color="auto"/>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-0.01</w:t>
            </w:r>
          </w:p>
        </w:tc>
        <w:tc>
          <w:tcPr>
            <w:tcW w:w="0" w:type="auto"/>
            <w:tcBorders>
              <w:top w:val="nil"/>
              <w:left w:val="nil"/>
              <w:bottom w:val="single" w:sz="4" w:space="0" w:color="auto"/>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0.00</w:t>
            </w:r>
          </w:p>
        </w:tc>
        <w:tc>
          <w:tcPr>
            <w:tcW w:w="0" w:type="auto"/>
            <w:tcBorders>
              <w:top w:val="nil"/>
              <w:left w:val="nil"/>
              <w:bottom w:val="single" w:sz="4" w:space="0" w:color="auto"/>
              <w:right w:val="nil"/>
            </w:tcBorders>
            <w:shd w:val="clear" w:color="auto" w:fill="auto"/>
            <w:noWrap/>
            <w:hideMark/>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w:t>
            </w:r>
          </w:p>
        </w:tc>
      </w:tr>
    </w:tbl>
    <w:p w:rsidR="009C6FDB" w:rsidRDefault="003502CD">
      <w:pPr>
        <w:ind w:left="990"/>
        <w:rPr>
          <w:sz w:val="20"/>
          <w:szCs w:val="20"/>
        </w:rPr>
      </w:pPr>
      <w:r w:rsidRPr="00030DED">
        <w:rPr>
          <w:sz w:val="20"/>
          <w:szCs w:val="20"/>
        </w:rPr>
        <w:t xml:space="preserve">** </w:t>
      </w:r>
      <w:r w:rsidRPr="00030DED">
        <w:rPr>
          <w:i/>
          <w:iCs/>
          <w:sz w:val="20"/>
          <w:szCs w:val="20"/>
        </w:rPr>
        <w:t xml:space="preserve">p </w:t>
      </w:r>
      <w:r w:rsidRPr="00030DED">
        <w:rPr>
          <w:sz w:val="20"/>
          <w:szCs w:val="20"/>
        </w:rPr>
        <w:t xml:space="preserve">&lt; .01, two-tailed.  </w:t>
      </w:r>
    </w:p>
    <w:p w:rsidR="009C6FDB" w:rsidRDefault="009C6FDB">
      <w:pPr>
        <w:rPr>
          <w:sz w:val="20"/>
          <w:szCs w:val="20"/>
        </w:rPr>
      </w:pPr>
    </w:p>
    <w:p w:rsidR="009C6FDB" w:rsidRDefault="00C226B1">
      <w:pPr>
        <w:pStyle w:val="NormalWeb"/>
        <w:spacing w:before="0" w:beforeAutospacing="0" w:after="0" w:afterAutospacing="0"/>
        <w:rPr>
          <w:rFonts w:eastAsia="Times New Roman"/>
          <w:sz w:val="20"/>
          <w:szCs w:val="20"/>
        </w:rPr>
      </w:pPr>
      <w:r w:rsidRPr="00C226B1">
        <w:rPr>
          <w:rFonts w:eastAsia="Times New Roman"/>
          <w:sz w:val="20"/>
          <w:szCs w:val="20"/>
        </w:rPr>
        <w:t>Multiple Regression Analysis</w:t>
      </w:r>
      <w:r w:rsidRPr="00C226B1">
        <w:rPr>
          <w:sz w:val="20"/>
          <w:szCs w:val="20"/>
        </w:rPr>
        <w:t xml:space="preserve"> </w:t>
      </w:r>
    </w:p>
    <w:p w:rsidR="00000000" w:rsidRDefault="00C226B1">
      <w:pPr>
        <w:ind w:firstLine="720"/>
        <w:rPr>
          <w:sz w:val="20"/>
          <w:szCs w:val="20"/>
        </w:rPr>
      </w:pPr>
      <w:r w:rsidRPr="00C226B1">
        <w:rPr>
          <w:sz w:val="20"/>
          <w:szCs w:val="20"/>
        </w:rPr>
        <w:t xml:space="preserve">The six-variable regression model explained </w:t>
      </w:r>
      <w:r w:rsidRPr="00C226B1">
        <w:rPr>
          <w:sz w:val="20"/>
          <w:szCs w:val="20"/>
          <w:lang w:eastAsia="ko-KR"/>
        </w:rPr>
        <w:t xml:space="preserve">64% of the variance in coin-in.  </w:t>
      </w:r>
      <w:r w:rsidRPr="00C226B1">
        <w:rPr>
          <w:sz w:val="20"/>
          <w:szCs w:val="20"/>
        </w:rPr>
        <w:t xml:space="preserve">The model </w:t>
      </w:r>
      <w:r w:rsidRPr="00C226B1">
        <w:rPr>
          <w:i/>
          <w:iCs/>
          <w:sz w:val="20"/>
          <w:szCs w:val="20"/>
        </w:rPr>
        <w:t>F</w:t>
      </w:r>
      <w:r w:rsidRPr="00C226B1">
        <w:rPr>
          <w:sz w:val="20"/>
          <w:szCs w:val="20"/>
        </w:rPr>
        <w:t xml:space="preserve"> statistic of </w:t>
      </w:r>
      <w:r w:rsidRPr="00C226B1">
        <w:rPr>
          <w:sz w:val="20"/>
          <w:szCs w:val="20"/>
          <w:lang w:eastAsia="ko-KR"/>
        </w:rPr>
        <w:t>43.15</w:t>
      </w:r>
      <w:r w:rsidRPr="00C226B1">
        <w:rPr>
          <w:sz w:val="20"/>
          <w:szCs w:val="20"/>
        </w:rPr>
        <w:t xml:space="preserve"> was statistically significant (</w:t>
      </w:r>
      <w:r w:rsidRPr="00C226B1">
        <w:rPr>
          <w:i/>
          <w:iCs/>
          <w:sz w:val="20"/>
          <w:szCs w:val="20"/>
        </w:rPr>
        <w:t>df</w:t>
      </w:r>
      <w:r w:rsidRPr="00C226B1">
        <w:rPr>
          <w:sz w:val="20"/>
          <w:szCs w:val="20"/>
        </w:rPr>
        <w:t xml:space="preserve"> = </w:t>
      </w:r>
      <w:r w:rsidRPr="00C226B1">
        <w:rPr>
          <w:sz w:val="20"/>
          <w:szCs w:val="20"/>
          <w:lang w:eastAsia="ko-KR"/>
        </w:rPr>
        <w:t>373, 6</w:t>
      </w:r>
      <w:r w:rsidRPr="00C226B1">
        <w:rPr>
          <w:sz w:val="20"/>
          <w:szCs w:val="20"/>
        </w:rPr>
        <w:t xml:space="preserve">, </w:t>
      </w:r>
      <w:r w:rsidRPr="00C226B1">
        <w:rPr>
          <w:i/>
          <w:iCs/>
          <w:sz w:val="20"/>
          <w:szCs w:val="20"/>
        </w:rPr>
        <w:t>p</w:t>
      </w:r>
      <w:r w:rsidRPr="00C226B1">
        <w:rPr>
          <w:sz w:val="20"/>
          <w:szCs w:val="20"/>
        </w:rPr>
        <w:t xml:space="preserve"> &lt; .0001).  However, the regression coefficient of the Free-Play Coupon Value (FPV) variable was not significant (</w:t>
      </w:r>
      <w:r w:rsidRPr="00C226B1">
        <w:rPr>
          <w:i/>
          <w:iCs/>
          <w:sz w:val="20"/>
          <w:szCs w:val="20"/>
          <w:lang w:eastAsia="ko-KR"/>
        </w:rPr>
        <w:t>B</w:t>
      </w:r>
      <w:r w:rsidRPr="00C226B1">
        <w:rPr>
          <w:sz w:val="20"/>
          <w:szCs w:val="20"/>
          <w:lang w:eastAsia="ko-KR"/>
        </w:rPr>
        <w:t xml:space="preserve"> = 617.25, </w:t>
      </w:r>
      <w:r w:rsidRPr="00C226B1">
        <w:rPr>
          <w:i/>
          <w:iCs/>
          <w:sz w:val="20"/>
          <w:szCs w:val="20"/>
          <w:lang w:eastAsia="ko-KR"/>
        </w:rPr>
        <w:t xml:space="preserve">t </w:t>
      </w:r>
      <w:r w:rsidRPr="00C226B1">
        <w:rPr>
          <w:sz w:val="20"/>
          <w:szCs w:val="20"/>
          <w:lang w:eastAsia="ko-KR"/>
        </w:rPr>
        <w:t xml:space="preserve">= 1.34, </w:t>
      </w:r>
      <w:r w:rsidRPr="00C226B1">
        <w:rPr>
          <w:i/>
          <w:iCs/>
          <w:sz w:val="20"/>
          <w:szCs w:val="20"/>
          <w:lang w:eastAsia="ko-KR"/>
        </w:rPr>
        <w:t xml:space="preserve">df </w:t>
      </w:r>
      <w:r w:rsidRPr="00C226B1">
        <w:rPr>
          <w:sz w:val="20"/>
          <w:szCs w:val="20"/>
          <w:lang w:eastAsia="ko-KR"/>
        </w:rPr>
        <w:t xml:space="preserve">= 373, </w:t>
      </w:r>
      <w:r w:rsidRPr="00C226B1">
        <w:rPr>
          <w:i/>
          <w:iCs/>
          <w:sz w:val="20"/>
          <w:szCs w:val="20"/>
          <w:lang w:eastAsia="ko-KR"/>
        </w:rPr>
        <w:t>p</w:t>
      </w:r>
      <w:r w:rsidRPr="00C226B1">
        <w:rPr>
          <w:sz w:val="20"/>
          <w:szCs w:val="20"/>
          <w:lang w:eastAsia="ko-KR"/>
        </w:rPr>
        <w:t xml:space="preserve"> = 0.182, two-tailed</w:t>
      </w:r>
      <w:r w:rsidRPr="00C226B1">
        <w:rPr>
          <w:sz w:val="20"/>
          <w:szCs w:val="20"/>
        </w:rPr>
        <w:t xml:space="preserve">), failing to support Hypothesis 1.  </w:t>
      </w:r>
    </w:p>
    <w:p w:rsidR="00FB5871" w:rsidRDefault="00FB5871">
      <w:pPr>
        <w:jc w:val="center"/>
        <w:rPr>
          <w:b/>
          <w:sz w:val="20"/>
          <w:szCs w:val="20"/>
        </w:rPr>
      </w:pPr>
    </w:p>
    <w:p w:rsidR="009C6FDB" w:rsidRDefault="00C226B1">
      <w:pPr>
        <w:jc w:val="center"/>
        <w:rPr>
          <w:b/>
          <w:sz w:val="20"/>
          <w:szCs w:val="20"/>
        </w:rPr>
      </w:pPr>
      <w:r w:rsidRPr="00C226B1">
        <w:rPr>
          <w:b/>
          <w:sz w:val="20"/>
          <w:szCs w:val="20"/>
        </w:rPr>
        <w:t xml:space="preserve">Table 3 </w:t>
      </w:r>
    </w:p>
    <w:p w:rsidR="009C6FDB" w:rsidRDefault="00C226B1">
      <w:pPr>
        <w:jc w:val="center"/>
        <w:rPr>
          <w:b/>
          <w:sz w:val="20"/>
          <w:szCs w:val="20"/>
        </w:rPr>
      </w:pPr>
      <w:r w:rsidRPr="00C226B1">
        <w:rPr>
          <w:b/>
          <w:sz w:val="20"/>
          <w:szCs w:val="20"/>
        </w:rPr>
        <w:t>Summary of Regression Analysis (n = 380)</w:t>
      </w:r>
    </w:p>
    <w:tbl>
      <w:tblPr>
        <w:tblW w:w="0" w:type="auto"/>
        <w:jc w:val="center"/>
        <w:tblInd w:w="-106" w:type="dxa"/>
        <w:tblLook w:val="0000"/>
      </w:tblPr>
      <w:tblGrid>
        <w:gridCol w:w="1778"/>
        <w:gridCol w:w="766"/>
        <w:gridCol w:w="332"/>
        <w:gridCol w:w="916"/>
        <w:gridCol w:w="633"/>
      </w:tblGrid>
      <w:tr w:rsidR="003502CD" w:rsidRPr="00030DED" w:rsidTr="00840968">
        <w:trPr>
          <w:trHeight w:val="300"/>
          <w:jc w:val="center"/>
        </w:trPr>
        <w:tc>
          <w:tcPr>
            <w:tcW w:w="0" w:type="auto"/>
            <w:tcBorders>
              <w:top w:val="single" w:sz="4" w:space="0" w:color="auto"/>
              <w:left w:val="nil"/>
              <w:bottom w:val="single" w:sz="4" w:space="0" w:color="auto"/>
              <w:right w:val="nil"/>
            </w:tcBorders>
            <w:noWrap/>
            <w:vAlign w:val="bottom"/>
          </w:tcPr>
          <w:p w:rsidR="009C6FDB" w:rsidRDefault="003502CD">
            <w:pPr>
              <w:rPr>
                <w:rFonts w:eastAsia="Times New Roman"/>
                <w:color w:val="000000"/>
                <w:sz w:val="20"/>
                <w:szCs w:val="20"/>
                <w:lang w:eastAsia="ko-KR"/>
              </w:rPr>
            </w:pPr>
            <w:r w:rsidRPr="00030DED">
              <w:rPr>
                <w:rFonts w:eastAsia="Times New Roman"/>
                <w:color w:val="000000"/>
                <w:sz w:val="20"/>
                <w:szCs w:val="20"/>
                <w:lang w:eastAsia="ko-KR"/>
              </w:rPr>
              <w:t>Variable (VIF</w:t>
            </w:r>
            <w:r w:rsidRPr="00030DED">
              <w:rPr>
                <w:sz w:val="20"/>
                <w:szCs w:val="20"/>
                <w:vertAlign w:val="superscript"/>
              </w:rPr>
              <w:t xml:space="preserve"> a</w:t>
            </w:r>
            <w:r w:rsidRPr="00030DED">
              <w:rPr>
                <w:rFonts w:eastAsia="Times New Roman"/>
                <w:color w:val="000000"/>
                <w:sz w:val="20"/>
                <w:szCs w:val="20"/>
                <w:lang w:eastAsia="ko-KR"/>
              </w:rPr>
              <w:t>)</w:t>
            </w:r>
          </w:p>
        </w:tc>
        <w:tc>
          <w:tcPr>
            <w:tcW w:w="0" w:type="auto"/>
            <w:tcBorders>
              <w:top w:val="single" w:sz="4" w:space="0" w:color="auto"/>
              <w:left w:val="nil"/>
              <w:bottom w:val="single" w:sz="4" w:space="0" w:color="auto"/>
              <w:right w:val="nil"/>
            </w:tcBorders>
            <w:noWrap/>
            <w:vAlign w:val="bottom"/>
          </w:tcPr>
          <w:p w:rsidR="009C6FDB" w:rsidRDefault="003502CD">
            <w:pPr>
              <w:jc w:val="center"/>
              <w:rPr>
                <w:rFonts w:eastAsia="Times New Roman"/>
                <w:i/>
                <w:iCs/>
                <w:color w:val="000000"/>
                <w:sz w:val="20"/>
                <w:szCs w:val="20"/>
                <w:lang w:eastAsia="ko-KR"/>
              </w:rPr>
            </w:pPr>
            <w:r w:rsidRPr="00030DED">
              <w:rPr>
                <w:rFonts w:eastAsia="Times New Roman"/>
                <w:i/>
                <w:iCs/>
                <w:color w:val="000000"/>
                <w:sz w:val="20"/>
                <w:szCs w:val="20"/>
                <w:lang w:eastAsia="ko-KR"/>
              </w:rPr>
              <w:t>B</w:t>
            </w:r>
          </w:p>
        </w:tc>
        <w:tc>
          <w:tcPr>
            <w:tcW w:w="0" w:type="auto"/>
            <w:tcBorders>
              <w:top w:val="single" w:sz="4" w:space="0" w:color="auto"/>
              <w:left w:val="nil"/>
              <w:bottom w:val="single" w:sz="4" w:space="0" w:color="auto"/>
              <w:right w:val="nil"/>
            </w:tcBorders>
            <w:noWrap/>
            <w:vAlign w:val="bottom"/>
          </w:tcPr>
          <w:p w:rsidR="009C6FDB" w:rsidRDefault="009C6FDB">
            <w:pPr>
              <w:jc w:val="center"/>
              <w:rPr>
                <w:rFonts w:eastAsia="Times New Roman"/>
                <w:i/>
                <w:iCs/>
                <w:color w:val="000000"/>
                <w:sz w:val="20"/>
                <w:szCs w:val="20"/>
                <w:lang w:eastAsia="ko-KR"/>
              </w:rPr>
            </w:pPr>
          </w:p>
        </w:tc>
        <w:tc>
          <w:tcPr>
            <w:tcW w:w="0" w:type="auto"/>
            <w:tcBorders>
              <w:top w:val="single" w:sz="4" w:space="0" w:color="auto"/>
              <w:left w:val="nil"/>
              <w:bottom w:val="single" w:sz="4" w:space="0" w:color="auto"/>
              <w:right w:val="nil"/>
            </w:tcBorders>
            <w:noWrap/>
            <w:vAlign w:val="bottom"/>
          </w:tcPr>
          <w:p w:rsidR="009C6FDB" w:rsidRDefault="003502CD">
            <w:pPr>
              <w:jc w:val="center"/>
              <w:rPr>
                <w:rFonts w:eastAsia="Times New Roman"/>
                <w:i/>
                <w:iCs/>
                <w:color w:val="000000"/>
                <w:sz w:val="20"/>
                <w:szCs w:val="20"/>
                <w:lang w:eastAsia="ko-KR"/>
              </w:rPr>
            </w:pPr>
            <w:r w:rsidRPr="00030DED">
              <w:rPr>
                <w:rFonts w:eastAsia="Times New Roman"/>
                <w:i/>
                <w:iCs/>
                <w:color w:val="000000"/>
                <w:sz w:val="20"/>
                <w:szCs w:val="20"/>
                <w:lang w:eastAsia="ko-KR"/>
              </w:rPr>
              <w:t>SE B</w:t>
            </w:r>
          </w:p>
        </w:tc>
        <w:tc>
          <w:tcPr>
            <w:tcW w:w="0" w:type="auto"/>
            <w:tcBorders>
              <w:top w:val="single" w:sz="4" w:space="0" w:color="auto"/>
              <w:left w:val="nil"/>
              <w:bottom w:val="single" w:sz="4" w:space="0" w:color="auto"/>
              <w:right w:val="nil"/>
            </w:tcBorders>
            <w:noWrap/>
            <w:vAlign w:val="bottom"/>
          </w:tcPr>
          <w:p w:rsidR="009C6FDB" w:rsidRDefault="003502CD">
            <w:pPr>
              <w:jc w:val="center"/>
              <w:rPr>
                <w:rFonts w:eastAsia="Times New Roman"/>
                <w:i/>
                <w:iCs/>
                <w:color w:val="000000"/>
                <w:sz w:val="20"/>
                <w:szCs w:val="20"/>
                <w:lang w:eastAsia="ko-KR"/>
              </w:rPr>
            </w:pPr>
            <w:r w:rsidRPr="00030DED">
              <w:rPr>
                <w:i/>
                <w:iCs/>
                <w:color w:val="000000"/>
                <w:sz w:val="20"/>
                <w:szCs w:val="20"/>
                <w:lang w:eastAsia="ko-KR"/>
              </w:rPr>
              <w:t>β</w:t>
            </w:r>
          </w:p>
        </w:tc>
      </w:tr>
      <w:tr w:rsidR="003502CD" w:rsidRPr="00030DED" w:rsidTr="00CA2A0B">
        <w:trPr>
          <w:trHeight w:val="170"/>
          <w:jc w:val="center"/>
        </w:trPr>
        <w:tc>
          <w:tcPr>
            <w:tcW w:w="0" w:type="auto"/>
            <w:tcBorders>
              <w:top w:val="nil"/>
              <w:left w:val="nil"/>
              <w:bottom w:val="nil"/>
              <w:right w:val="nil"/>
            </w:tcBorders>
            <w:noWrap/>
            <w:vAlign w:val="center"/>
          </w:tcPr>
          <w:p w:rsidR="009C6FDB" w:rsidRDefault="003502CD">
            <w:pPr>
              <w:rPr>
                <w:color w:val="000000"/>
                <w:sz w:val="20"/>
                <w:szCs w:val="20"/>
              </w:rPr>
            </w:pPr>
            <w:r w:rsidRPr="00030DED">
              <w:rPr>
                <w:color w:val="000000"/>
                <w:sz w:val="20"/>
                <w:szCs w:val="20"/>
              </w:rPr>
              <w:t>Constant</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59.20</w:t>
            </w:r>
          </w:p>
        </w:tc>
        <w:tc>
          <w:tcPr>
            <w:tcW w:w="0" w:type="auto"/>
            <w:tcBorders>
              <w:top w:val="nil"/>
              <w:left w:val="nil"/>
              <w:bottom w:val="nil"/>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n/s</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1,052.20</w:t>
            </w:r>
          </w:p>
        </w:tc>
        <w:tc>
          <w:tcPr>
            <w:tcW w:w="0" w:type="auto"/>
            <w:tcBorders>
              <w:top w:val="nil"/>
              <w:left w:val="nil"/>
              <w:bottom w:val="nil"/>
              <w:right w:val="nil"/>
            </w:tcBorders>
            <w:noWrap/>
            <w:vAlign w:val="center"/>
          </w:tcPr>
          <w:p w:rsidR="009C6FDB" w:rsidRDefault="003502CD">
            <w:pPr>
              <w:jc w:val="right"/>
              <w:rPr>
                <w:sz w:val="20"/>
                <w:szCs w:val="20"/>
              </w:rPr>
            </w:pPr>
            <w:r w:rsidRPr="00030DED">
              <w:rPr>
                <w:sz w:val="20"/>
                <w:szCs w:val="20"/>
              </w:rPr>
              <w:t> </w:t>
            </w:r>
          </w:p>
        </w:tc>
      </w:tr>
      <w:tr w:rsidR="003502CD" w:rsidRPr="00030DED" w:rsidTr="00CA2A0B">
        <w:trPr>
          <w:trHeight w:val="207"/>
          <w:jc w:val="center"/>
        </w:trPr>
        <w:tc>
          <w:tcPr>
            <w:tcW w:w="0" w:type="auto"/>
            <w:tcBorders>
              <w:top w:val="nil"/>
              <w:left w:val="nil"/>
              <w:bottom w:val="nil"/>
              <w:right w:val="nil"/>
            </w:tcBorders>
            <w:noWrap/>
            <w:vAlign w:val="center"/>
          </w:tcPr>
          <w:p w:rsidR="009C6FDB" w:rsidRDefault="003502CD">
            <w:pPr>
              <w:rPr>
                <w:color w:val="000000"/>
                <w:sz w:val="20"/>
                <w:szCs w:val="20"/>
              </w:rPr>
            </w:pPr>
            <w:r w:rsidRPr="00030DED">
              <w:rPr>
                <w:color w:val="000000"/>
                <w:sz w:val="20"/>
                <w:szCs w:val="20"/>
              </w:rPr>
              <w:t>FPV (1.01)</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617.25</w:t>
            </w:r>
          </w:p>
        </w:tc>
        <w:tc>
          <w:tcPr>
            <w:tcW w:w="0" w:type="auto"/>
            <w:tcBorders>
              <w:top w:val="nil"/>
              <w:left w:val="nil"/>
              <w:bottom w:val="nil"/>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n/s</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461.86</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0.05</w:t>
            </w:r>
          </w:p>
        </w:tc>
      </w:tr>
      <w:tr w:rsidR="003502CD" w:rsidRPr="00030DED" w:rsidTr="00CA2A0B">
        <w:trPr>
          <w:trHeight w:val="243"/>
          <w:jc w:val="center"/>
        </w:trPr>
        <w:tc>
          <w:tcPr>
            <w:tcW w:w="0" w:type="auto"/>
            <w:tcBorders>
              <w:top w:val="nil"/>
              <w:left w:val="nil"/>
              <w:bottom w:val="nil"/>
              <w:right w:val="nil"/>
            </w:tcBorders>
            <w:noWrap/>
            <w:vAlign w:val="center"/>
          </w:tcPr>
          <w:p w:rsidR="009C6FDB" w:rsidRDefault="003502CD">
            <w:pPr>
              <w:rPr>
                <w:color w:val="000000"/>
                <w:sz w:val="20"/>
                <w:szCs w:val="20"/>
              </w:rPr>
            </w:pPr>
            <w:r w:rsidRPr="00030DED">
              <w:rPr>
                <w:color w:val="000000"/>
                <w:sz w:val="20"/>
                <w:szCs w:val="20"/>
              </w:rPr>
              <w:t>Room Comp (1.19)</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3.90</w:t>
            </w:r>
          </w:p>
        </w:tc>
        <w:tc>
          <w:tcPr>
            <w:tcW w:w="0" w:type="auto"/>
            <w:tcBorders>
              <w:top w:val="nil"/>
              <w:left w:val="nil"/>
              <w:bottom w:val="nil"/>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1.68</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0.10</w:t>
            </w:r>
          </w:p>
        </w:tc>
      </w:tr>
      <w:tr w:rsidR="003502CD" w:rsidRPr="00030DED" w:rsidTr="00CA2A0B">
        <w:trPr>
          <w:trHeight w:val="189"/>
          <w:jc w:val="center"/>
        </w:trPr>
        <w:tc>
          <w:tcPr>
            <w:tcW w:w="0" w:type="auto"/>
            <w:tcBorders>
              <w:top w:val="nil"/>
              <w:left w:val="nil"/>
              <w:bottom w:val="nil"/>
              <w:right w:val="nil"/>
            </w:tcBorders>
            <w:noWrap/>
            <w:vAlign w:val="center"/>
          </w:tcPr>
          <w:p w:rsidR="009C6FDB" w:rsidRDefault="003502CD">
            <w:pPr>
              <w:rPr>
                <w:color w:val="000000"/>
                <w:sz w:val="20"/>
                <w:szCs w:val="20"/>
              </w:rPr>
            </w:pPr>
            <w:r w:rsidRPr="00030DED">
              <w:rPr>
                <w:color w:val="000000"/>
                <w:sz w:val="20"/>
                <w:szCs w:val="20"/>
              </w:rPr>
              <w:t>Other Comp (1.23)</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19.57</w:t>
            </w:r>
          </w:p>
        </w:tc>
        <w:tc>
          <w:tcPr>
            <w:tcW w:w="0" w:type="auto"/>
            <w:tcBorders>
              <w:top w:val="nil"/>
              <w:left w:val="nil"/>
              <w:bottom w:val="nil"/>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4.86</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0.18</w:t>
            </w:r>
          </w:p>
        </w:tc>
      </w:tr>
      <w:tr w:rsidR="003502CD" w:rsidRPr="00030DED" w:rsidTr="00CA2A0B">
        <w:trPr>
          <w:trHeight w:val="225"/>
          <w:jc w:val="center"/>
        </w:trPr>
        <w:tc>
          <w:tcPr>
            <w:tcW w:w="0" w:type="auto"/>
            <w:tcBorders>
              <w:top w:val="nil"/>
              <w:left w:val="nil"/>
              <w:bottom w:val="nil"/>
              <w:right w:val="nil"/>
            </w:tcBorders>
            <w:noWrap/>
            <w:vAlign w:val="center"/>
          </w:tcPr>
          <w:p w:rsidR="009C6FDB" w:rsidRDefault="003502CD">
            <w:pPr>
              <w:rPr>
                <w:color w:val="000000"/>
                <w:sz w:val="20"/>
                <w:szCs w:val="20"/>
              </w:rPr>
            </w:pPr>
            <w:r w:rsidRPr="00030DED">
              <w:rPr>
                <w:color w:val="000000"/>
                <w:sz w:val="20"/>
                <w:szCs w:val="20"/>
              </w:rPr>
              <w:t>Trip Days (1.26)</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271.09</w:t>
            </w:r>
          </w:p>
        </w:tc>
        <w:tc>
          <w:tcPr>
            <w:tcW w:w="0" w:type="auto"/>
            <w:tcBorders>
              <w:top w:val="nil"/>
              <w:left w:val="nil"/>
              <w:bottom w:val="nil"/>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n/s</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219.71</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0.06</w:t>
            </w:r>
          </w:p>
        </w:tc>
      </w:tr>
      <w:tr w:rsidR="003502CD" w:rsidRPr="00030DED" w:rsidTr="00CA2A0B">
        <w:trPr>
          <w:trHeight w:val="270"/>
          <w:jc w:val="center"/>
        </w:trPr>
        <w:tc>
          <w:tcPr>
            <w:tcW w:w="0" w:type="auto"/>
            <w:tcBorders>
              <w:top w:val="nil"/>
              <w:left w:val="nil"/>
              <w:bottom w:val="nil"/>
              <w:right w:val="nil"/>
            </w:tcBorders>
            <w:noWrap/>
            <w:vAlign w:val="center"/>
          </w:tcPr>
          <w:p w:rsidR="009C6FDB" w:rsidRDefault="003502CD">
            <w:pPr>
              <w:rPr>
                <w:color w:val="000000"/>
                <w:sz w:val="20"/>
                <w:szCs w:val="20"/>
              </w:rPr>
            </w:pPr>
            <w:r w:rsidRPr="00030DED">
              <w:rPr>
                <w:color w:val="000000"/>
                <w:sz w:val="20"/>
                <w:szCs w:val="20"/>
              </w:rPr>
              <w:t>Slot WL (1.14)</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3.47</w:t>
            </w:r>
          </w:p>
        </w:tc>
        <w:tc>
          <w:tcPr>
            <w:tcW w:w="0" w:type="auto"/>
            <w:tcBorders>
              <w:top w:val="nil"/>
              <w:left w:val="nil"/>
              <w:bottom w:val="nil"/>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0.28</w:t>
            </w:r>
          </w:p>
        </w:tc>
        <w:tc>
          <w:tcPr>
            <w:tcW w:w="0" w:type="auto"/>
            <w:tcBorders>
              <w:top w:val="nil"/>
              <w:left w:val="nil"/>
              <w:bottom w:val="nil"/>
              <w:right w:val="nil"/>
            </w:tcBorders>
            <w:noWrap/>
            <w:vAlign w:val="center"/>
          </w:tcPr>
          <w:p w:rsidR="009C6FDB" w:rsidRDefault="003502CD">
            <w:pPr>
              <w:jc w:val="right"/>
              <w:rPr>
                <w:color w:val="000000"/>
                <w:sz w:val="20"/>
                <w:szCs w:val="20"/>
              </w:rPr>
            </w:pPr>
            <w:r w:rsidRPr="00030DED">
              <w:rPr>
                <w:color w:val="000000"/>
                <w:sz w:val="20"/>
                <w:szCs w:val="20"/>
              </w:rPr>
              <w:t>0.52</w:t>
            </w:r>
          </w:p>
        </w:tc>
      </w:tr>
      <w:tr w:rsidR="003502CD" w:rsidRPr="00030DED" w:rsidTr="00CA2A0B">
        <w:trPr>
          <w:trHeight w:val="180"/>
          <w:jc w:val="center"/>
        </w:trPr>
        <w:tc>
          <w:tcPr>
            <w:tcW w:w="0" w:type="auto"/>
            <w:tcBorders>
              <w:top w:val="nil"/>
              <w:left w:val="nil"/>
              <w:bottom w:val="single" w:sz="4" w:space="0" w:color="auto"/>
              <w:right w:val="nil"/>
            </w:tcBorders>
            <w:noWrap/>
            <w:vAlign w:val="center"/>
          </w:tcPr>
          <w:p w:rsidR="009C6FDB" w:rsidRDefault="003502CD">
            <w:pPr>
              <w:rPr>
                <w:color w:val="000000"/>
                <w:sz w:val="20"/>
                <w:szCs w:val="20"/>
              </w:rPr>
            </w:pPr>
            <w:r w:rsidRPr="00030DED">
              <w:rPr>
                <w:color w:val="000000"/>
                <w:sz w:val="20"/>
                <w:szCs w:val="20"/>
              </w:rPr>
              <w:t>Table WL (1.05)</w:t>
            </w:r>
          </w:p>
        </w:tc>
        <w:tc>
          <w:tcPr>
            <w:tcW w:w="0" w:type="auto"/>
            <w:tcBorders>
              <w:top w:val="nil"/>
              <w:left w:val="nil"/>
              <w:bottom w:val="single" w:sz="4" w:space="0" w:color="auto"/>
              <w:right w:val="nil"/>
            </w:tcBorders>
            <w:noWrap/>
            <w:vAlign w:val="center"/>
          </w:tcPr>
          <w:p w:rsidR="009C6FDB" w:rsidRDefault="003502CD">
            <w:pPr>
              <w:jc w:val="right"/>
              <w:rPr>
                <w:color w:val="000000"/>
                <w:sz w:val="20"/>
                <w:szCs w:val="20"/>
              </w:rPr>
            </w:pPr>
            <w:r w:rsidRPr="00030DED">
              <w:rPr>
                <w:color w:val="000000"/>
                <w:sz w:val="20"/>
                <w:szCs w:val="20"/>
              </w:rPr>
              <w:t>-0.33</w:t>
            </w:r>
          </w:p>
        </w:tc>
        <w:tc>
          <w:tcPr>
            <w:tcW w:w="0" w:type="auto"/>
            <w:tcBorders>
              <w:top w:val="nil"/>
              <w:left w:val="nil"/>
              <w:bottom w:val="single" w:sz="4" w:space="0" w:color="auto"/>
              <w:right w:val="nil"/>
            </w:tcBorders>
            <w:noWrap/>
            <w:vAlign w:val="center"/>
          </w:tcPr>
          <w:p w:rsidR="009C6FDB" w:rsidRDefault="003502CD">
            <w:pPr>
              <w:ind w:left="-118"/>
              <w:rPr>
                <w:rFonts w:eastAsia="Times New Roman"/>
                <w:color w:val="000000"/>
                <w:sz w:val="20"/>
                <w:szCs w:val="20"/>
                <w:lang w:eastAsia="ko-KR"/>
              </w:rPr>
            </w:pPr>
            <w:r w:rsidRPr="00030DED">
              <w:rPr>
                <w:rFonts w:eastAsia="Times New Roman"/>
                <w:color w:val="000000"/>
                <w:sz w:val="20"/>
                <w:szCs w:val="20"/>
                <w:lang w:eastAsia="ko-KR"/>
              </w:rPr>
              <w:t>n/s</w:t>
            </w:r>
          </w:p>
        </w:tc>
        <w:tc>
          <w:tcPr>
            <w:tcW w:w="0" w:type="auto"/>
            <w:tcBorders>
              <w:top w:val="nil"/>
              <w:left w:val="nil"/>
              <w:bottom w:val="single" w:sz="4" w:space="0" w:color="auto"/>
              <w:right w:val="nil"/>
            </w:tcBorders>
            <w:noWrap/>
            <w:vAlign w:val="center"/>
          </w:tcPr>
          <w:p w:rsidR="009C6FDB" w:rsidRDefault="003502CD">
            <w:pPr>
              <w:jc w:val="right"/>
              <w:rPr>
                <w:color w:val="000000"/>
                <w:sz w:val="20"/>
                <w:szCs w:val="20"/>
              </w:rPr>
            </w:pPr>
            <w:r w:rsidRPr="00030DED">
              <w:rPr>
                <w:color w:val="000000"/>
                <w:sz w:val="20"/>
                <w:szCs w:val="20"/>
              </w:rPr>
              <w:t>0.30</w:t>
            </w:r>
          </w:p>
        </w:tc>
        <w:tc>
          <w:tcPr>
            <w:tcW w:w="0" w:type="auto"/>
            <w:tcBorders>
              <w:top w:val="nil"/>
              <w:left w:val="nil"/>
              <w:bottom w:val="single" w:sz="4" w:space="0" w:color="auto"/>
              <w:right w:val="nil"/>
            </w:tcBorders>
            <w:noWrap/>
            <w:vAlign w:val="center"/>
          </w:tcPr>
          <w:p w:rsidR="009C6FDB" w:rsidRDefault="003502CD">
            <w:pPr>
              <w:jc w:val="right"/>
              <w:rPr>
                <w:color w:val="000000"/>
                <w:sz w:val="20"/>
                <w:szCs w:val="20"/>
              </w:rPr>
            </w:pPr>
            <w:r w:rsidRPr="00030DED">
              <w:rPr>
                <w:color w:val="000000"/>
                <w:sz w:val="20"/>
                <w:szCs w:val="20"/>
              </w:rPr>
              <w:t>-0.05</w:t>
            </w:r>
          </w:p>
        </w:tc>
      </w:tr>
    </w:tbl>
    <w:p w:rsidR="009C6FDB" w:rsidRDefault="003502CD">
      <w:pPr>
        <w:pStyle w:val="NormalWeb"/>
        <w:spacing w:before="0" w:beforeAutospacing="0" w:after="0" w:afterAutospacing="0"/>
        <w:ind w:left="1710"/>
        <w:rPr>
          <w:sz w:val="20"/>
          <w:szCs w:val="20"/>
        </w:rPr>
      </w:pPr>
      <w:r w:rsidRPr="00030DED">
        <w:rPr>
          <w:sz w:val="20"/>
          <w:szCs w:val="20"/>
          <w:lang w:eastAsia="zh-CN"/>
        </w:rPr>
        <w:t xml:space="preserve">Note.  </w:t>
      </w:r>
      <w:r w:rsidRPr="00030DED">
        <w:rPr>
          <w:sz w:val="20"/>
          <w:szCs w:val="20"/>
          <w:vertAlign w:val="superscript"/>
        </w:rPr>
        <w:t xml:space="preserve">a </w:t>
      </w:r>
      <w:r w:rsidRPr="00030DED">
        <w:rPr>
          <w:sz w:val="20"/>
          <w:szCs w:val="20"/>
        </w:rPr>
        <w:t>indicates variance inflation factor.</w:t>
      </w:r>
    </w:p>
    <w:p w:rsidR="00000000" w:rsidRDefault="003502CD">
      <w:pPr>
        <w:pStyle w:val="NormalWeb"/>
        <w:spacing w:before="0" w:beforeAutospacing="0" w:after="0" w:afterAutospacing="0"/>
        <w:ind w:left="1710"/>
        <w:rPr>
          <w:sz w:val="20"/>
          <w:szCs w:val="20"/>
          <w:lang w:eastAsia="ko-KR"/>
        </w:rPr>
      </w:pPr>
      <w:r w:rsidRPr="00030DED">
        <w:rPr>
          <w:rFonts w:eastAsia="Times New Roman"/>
          <w:color w:val="000000"/>
          <w:sz w:val="20"/>
          <w:szCs w:val="20"/>
          <w:lang w:eastAsia="ko-KR"/>
        </w:rPr>
        <w:t xml:space="preserve">* </w:t>
      </w:r>
      <w:r w:rsidRPr="00030DED">
        <w:rPr>
          <w:i/>
          <w:iCs/>
          <w:sz w:val="20"/>
          <w:szCs w:val="20"/>
        </w:rPr>
        <w:t xml:space="preserve">p </w:t>
      </w:r>
      <w:r w:rsidRPr="00030DED">
        <w:rPr>
          <w:rFonts w:eastAsia="Times New Roman"/>
          <w:color w:val="000000"/>
          <w:sz w:val="20"/>
          <w:szCs w:val="20"/>
          <w:lang w:eastAsia="ko-KR"/>
        </w:rPr>
        <w:t xml:space="preserve">&lt;.05, </w:t>
      </w:r>
      <w:r w:rsidRPr="00030DED">
        <w:rPr>
          <w:sz w:val="20"/>
          <w:szCs w:val="20"/>
          <w:lang w:eastAsia="ko-KR"/>
        </w:rPr>
        <w:t xml:space="preserve">two-tailed.  </w:t>
      </w:r>
      <w:r w:rsidRPr="00030DED">
        <w:rPr>
          <w:rFonts w:eastAsia="Times New Roman"/>
          <w:color w:val="000000"/>
          <w:sz w:val="20"/>
          <w:szCs w:val="20"/>
          <w:lang w:eastAsia="ko-KR"/>
        </w:rPr>
        <w:t xml:space="preserve">** </w:t>
      </w:r>
      <w:r w:rsidRPr="00030DED">
        <w:rPr>
          <w:i/>
          <w:iCs/>
          <w:sz w:val="20"/>
          <w:szCs w:val="20"/>
        </w:rPr>
        <w:t xml:space="preserve">p </w:t>
      </w:r>
      <w:r w:rsidRPr="00030DED">
        <w:rPr>
          <w:rFonts w:eastAsia="Times New Roman"/>
          <w:color w:val="000000"/>
          <w:sz w:val="20"/>
          <w:szCs w:val="20"/>
          <w:lang w:eastAsia="ko-KR"/>
        </w:rPr>
        <w:t xml:space="preserve">&lt;.01, </w:t>
      </w:r>
      <w:r w:rsidRPr="00030DED">
        <w:rPr>
          <w:sz w:val="20"/>
          <w:szCs w:val="20"/>
          <w:lang w:eastAsia="ko-KR"/>
        </w:rPr>
        <w:t xml:space="preserve">two-tailed.  </w:t>
      </w:r>
      <w:r w:rsidRPr="00030DED">
        <w:rPr>
          <w:rFonts w:eastAsia="Times New Roman"/>
          <w:color w:val="000000"/>
          <w:sz w:val="20"/>
          <w:szCs w:val="20"/>
          <w:lang w:eastAsia="ko-KR"/>
        </w:rPr>
        <w:t xml:space="preserve">n/s </w:t>
      </w:r>
      <w:r w:rsidRPr="00030DED">
        <w:rPr>
          <w:sz w:val="20"/>
          <w:szCs w:val="20"/>
        </w:rPr>
        <w:t>indicates not significant</w:t>
      </w:r>
    </w:p>
    <w:p w:rsidR="00000000" w:rsidRDefault="00A4069B">
      <w:pPr>
        <w:pStyle w:val="Header"/>
        <w:tabs>
          <w:tab w:val="clear" w:pos="4320"/>
          <w:tab w:val="clear" w:pos="8640"/>
        </w:tabs>
        <w:rPr>
          <w:sz w:val="20"/>
          <w:szCs w:val="20"/>
        </w:rPr>
      </w:pPr>
    </w:p>
    <w:p w:rsidR="009C6FDB" w:rsidRDefault="00C226B1">
      <w:pPr>
        <w:pStyle w:val="Header"/>
        <w:tabs>
          <w:tab w:val="clear" w:pos="4320"/>
          <w:tab w:val="clear" w:pos="8640"/>
        </w:tabs>
        <w:rPr>
          <w:sz w:val="20"/>
          <w:szCs w:val="20"/>
        </w:rPr>
      </w:pPr>
      <w:r w:rsidRPr="00C226B1">
        <w:rPr>
          <w:sz w:val="20"/>
          <w:szCs w:val="20"/>
        </w:rPr>
        <w:t xml:space="preserve">Analysis of Free-play Coupon Profitability </w:t>
      </w:r>
    </w:p>
    <w:p w:rsidR="009C6FDB" w:rsidRDefault="00C226B1">
      <w:pPr>
        <w:ind w:firstLine="720"/>
        <w:rPr>
          <w:color w:val="00B050"/>
          <w:sz w:val="20"/>
          <w:szCs w:val="20"/>
        </w:rPr>
      </w:pPr>
      <w:r w:rsidRPr="00C226B1">
        <w:rPr>
          <w:sz w:val="20"/>
          <w:szCs w:val="20"/>
        </w:rPr>
        <w:t xml:space="preserve">Net cash flows associated with each incentive value were estimated on a per-player basis.  First, t-win, or slot revenue, resulting from free-play offers was estimated by multiplying the mean value of coin-in per player for each incentive value by slot win percent.  Next, the related offer costs and expenses were subtracted from the </w:t>
      </w:r>
      <w:r w:rsidRPr="00C226B1">
        <w:rPr>
          <w:sz w:val="20"/>
          <w:szCs w:val="20"/>
        </w:rPr>
        <w:lastRenderedPageBreak/>
        <w:t>estimated t-win.  Table 4 shows the results of coupon profitability analysis.  Contrary to expectation, the amount of net cash flow per player produced by $100 incentives was far less than that produced by $50 incentives.  As shown in Table 4, this is partly because of the incremental costs associated with a high incentive value.  The results of profitability analysis failed to provide support for Hypothesis 2.</w:t>
      </w:r>
      <w:r w:rsidRPr="00C226B1">
        <w:rPr>
          <w:color w:val="7030A0"/>
          <w:sz w:val="20"/>
          <w:szCs w:val="20"/>
        </w:rPr>
        <w:t xml:space="preserve">  </w:t>
      </w:r>
    </w:p>
    <w:p w:rsidR="009C6FDB" w:rsidRDefault="009C6FDB">
      <w:pPr>
        <w:ind w:firstLine="720"/>
        <w:rPr>
          <w:color w:val="00B050"/>
          <w:sz w:val="20"/>
          <w:szCs w:val="20"/>
        </w:rPr>
      </w:pPr>
    </w:p>
    <w:p w:rsidR="00000000" w:rsidRDefault="00C226B1">
      <w:pPr>
        <w:jc w:val="center"/>
        <w:rPr>
          <w:b/>
          <w:sz w:val="20"/>
          <w:szCs w:val="20"/>
        </w:rPr>
      </w:pPr>
      <w:r w:rsidRPr="00C226B1">
        <w:rPr>
          <w:b/>
          <w:sz w:val="20"/>
          <w:szCs w:val="20"/>
        </w:rPr>
        <w:t>Table 4</w:t>
      </w:r>
    </w:p>
    <w:p w:rsidR="00000000" w:rsidRDefault="00C226B1">
      <w:pPr>
        <w:jc w:val="center"/>
        <w:rPr>
          <w:b/>
          <w:sz w:val="20"/>
          <w:szCs w:val="20"/>
        </w:rPr>
      </w:pPr>
      <w:r w:rsidRPr="00C226B1">
        <w:rPr>
          <w:b/>
          <w:sz w:val="20"/>
          <w:szCs w:val="20"/>
        </w:rPr>
        <w:t>Estimated Net Cash Flow per Player by Free-play Offer Value</w:t>
      </w:r>
    </w:p>
    <w:tbl>
      <w:tblPr>
        <w:tblW w:w="0" w:type="auto"/>
        <w:jc w:val="center"/>
        <w:tblInd w:w="90" w:type="dxa"/>
        <w:tblLook w:val="04A0"/>
      </w:tblPr>
      <w:tblGrid>
        <w:gridCol w:w="2831"/>
        <w:gridCol w:w="766"/>
        <w:gridCol w:w="766"/>
      </w:tblGrid>
      <w:tr w:rsidR="003502CD" w:rsidRPr="00030DED" w:rsidTr="00C17E83">
        <w:trPr>
          <w:trHeight w:val="241"/>
          <w:jc w:val="center"/>
        </w:trPr>
        <w:tc>
          <w:tcPr>
            <w:tcW w:w="0" w:type="auto"/>
            <w:tcBorders>
              <w:top w:val="single" w:sz="8" w:space="0" w:color="auto"/>
              <w:left w:val="nil"/>
              <w:bottom w:val="single" w:sz="8" w:space="0" w:color="auto"/>
              <w:right w:val="nil"/>
            </w:tcBorders>
            <w:shd w:val="clear" w:color="auto" w:fill="auto"/>
            <w:noWrap/>
            <w:vAlign w:val="bottom"/>
            <w:hideMark/>
          </w:tcPr>
          <w:p w:rsidR="00000000" w:rsidRDefault="003502CD">
            <w:pPr>
              <w:rPr>
                <w:rFonts w:eastAsia="Times New Roman"/>
                <w:color w:val="000000"/>
                <w:sz w:val="20"/>
                <w:szCs w:val="20"/>
                <w:lang w:eastAsia="ko-KR"/>
              </w:rPr>
            </w:pPr>
            <w:r w:rsidRPr="00030DED">
              <w:rPr>
                <w:rFonts w:eastAsia="Times New Roman"/>
                <w:color w:val="000000"/>
                <w:sz w:val="20"/>
                <w:szCs w:val="20"/>
                <w:lang w:eastAsia="ko-KR"/>
              </w:rPr>
              <w:t> </w:t>
            </w:r>
          </w:p>
        </w:tc>
        <w:tc>
          <w:tcPr>
            <w:tcW w:w="0" w:type="auto"/>
            <w:tcBorders>
              <w:top w:val="single" w:sz="8" w:space="0" w:color="auto"/>
              <w:left w:val="nil"/>
              <w:bottom w:val="single" w:sz="8" w:space="0" w:color="auto"/>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$50</w:t>
            </w:r>
          </w:p>
        </w:tc>
        <w:tc>
          <w:tcPr>
            <w:tcW w:w="0" w:type="auto"/>
            <w:tcBorders>
              <w:top w:val="single" w:sz="8" w:space="0" w:color="auto"/>
              <w:left w:val="nil"/>
              <w:bottom w:val="single" w:sz="8" w:space="0" w:color="auto"/>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$100 </w:t>
            </w:r>
          </w:p>
        </w:tc>
      </w:tr>
      <w:tr w:rsidR="003502CD" w:rsidRPr="00030DED" w:rsidTr="00C17E83">
        <w:trPr>
          <w:trHeight w:val="169"/>
          <w:jc w:val="center"/>
        </w:trPr>
        <w:tc>
          <w:tcPr>
            <w:tcW w:w="0" w:type="auto"/>
            <w:tcBorders>
              <w:top w:val="nil"/>
              <w:left w:val="nil"/>
              <w:bottom w:val="nil"/>
              <w:right w:val="nil"/>
            </w:tcBorders>
            <w:shd w:val="clear" w:color="auto" w:fill="auto"/>
            <w:noWrap/>
            <w:vAlign w:val="bottom"/>
            <w:hideMark/>
          </w:tcPr>
          <w:p w:rsidR="00000000" w:rsidRDefault="003502CD">
            <w:pPr>
              <w:rPr>
                <w:rFonts w:eastAsia="Times New Roman"/>
                <w:color w:val="000000"/>
                <w:sz w:val="20"/>
                <w:szCs w:val="20"/>
                <w:lang w:eastAsia="ko-KR"/>
              </w:rPr>
            </w:pPr>
            <w:r w:rsidRPr="00030DED">
              <w:rPr>
                <w:rFonts w:eastAsia="Times New Roman"/>
                <w:color w:val="000000"/>
                <w:sz w:val="20"/>
                <w:szCs w:val="20"/>
                <w:lang w:eastAsia="ko-KR"/>
              </w:rPr>
              <w:t>Coin-in</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$5,478</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$6,189 </w:t>
            </w:r>
          </w:p>
        </w:tc>
      </w:tr>
      <w:tr w:rsidR="003502CD" w:rsidRPr="00030DED" w:rsidTr="00C17E83">
        <w:trPr>
          <w:trHeight w:val="189"/>
          <w:jc w:val="center"/>
        </w:trPr>
        <w:tc>
          <w:tcPr>
            <w:tcW w:w="0" w:type="auto"/>
            <w:tcBorders>
              <w:top w:val="nil"/>
              <w:left w:val="nil"/>
              <w:bottom w:val="nil"/>
              <w:right w:val="nil"/>
            </w:tcBorders>
            <w:shd w:val="clear" w:color="auto" w:fill="auto"/>
            <w:noWrap/>
            <w:vAlign w:val="bottom"/>
            <w:hideMark/>
          </w:tcPr>
          <w:p w:rsidR="00000000" w:rsidRDefault="003502CD">
            <w:pPr>
              <w:rPr>
                <w:rFonts w:eastAsia="Times New Roman"/>
                <w:color w:val="000000"/>
                <w:sz w:val="20"/>
                <w:szCs w:val="20"/>
                <w:lang w:eastAsia="ko-KR"/>
              </w:rPr>
            </w:pPr>
            <w:r w:rsidRPr="00030DED">
              <w:rPr>
                <w:rFonts w:eastAsia="Times New Roman"/>
                <w:color w:val="000000"/>
                <w:sz w:val="20"/>
                <w:szCs w:val="20"/>
                <w:lang w:eastAsia="ko-KR"/>
              </w:rPr>
              <w:t>Par</w:t>
            </w:r>
            <w:r w:rsidRPr="00030DED">
              <w:rPr>
                <w:sz w:val="20"/>
                <w:szCs w:val="20"/>
                <w:vertAlign w:val="superscript"/>
              </w:rPr>
              <w:t>a</w:t>
            </w:r>
          </w:p>
        </w:tc>
        <w:tc>
          <w:tcPr>
            <w:tcW w:w="0" w:type="auto"/>
            <w:tcBorders>
              <w:top w:val="nil"/>
              <w:left w:val="nil"/>
              <w:bottom w:val="nil"/>
              <w:right w:val="nil"/>
            </w:tcBorders>
            <w:shd w:val="clear" w:color="auto" w:fill="auto"/>
            <w:noWrap/>
            <w:vAlign w:val="bottom"/>
            <w:hideMark/>
          </w:tcPr>
          <w:p w:rsidR="00000000" w:rsidRDefault="003502CD">
            <w:pPr>
              <w:jc w:val="right"/>
              <w:rPr>
                <w:color w:val="000000"/>
                <w:sz w:val="20"/>
                <w:szCs w:val="20"/>
              </w:rPr>
            </w:pPr>
            <w:r w:rsidRPr="00030DED">
              <w:rPr>
                <w:color w:val="000000"/>
                <w:sz w:val="20"/>
                <w:szCs w:val="20"/>
              </w:rPr>
              <w:t>6.80%</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color w:val="000000"/>
                <w:sz w:val="20"/>
                <w:szCs w:val="20"/>
              </w:rPr>
              <w:t>6.80%</w:t>
            </w:r>
          </w:p>
        </w:tc>
      </w:tr>
      <w:tr w:rsidR="003502CD" w:rsidRPr="00030DED" w:rsidTr="00C17E83">
        <w:trPr>
          <w:trHeight w:val="225"/>
          <w:jc w:val="center"/>
        </w:trPr>
        <w:tc>
          <w:tcPr>
            <w:tcW w:w="0" w:type="auto"/>
            <w:tcBorders>
              <w:top w:val="nil"/>
              <w:left w:val="nil"/>
              <w:bottom w:val="nil"/>
              <w:right w:val="nil"/>
            </w:tcBorders>
            <w:shd w:val="clear" w:color="auto" w:fill="auto"/>
            <w:noWrap/>
            <w:vAlign w:val="bottom"/>
            <w:hideMark/>
          </w:tcPr>
          <w:p w:rsidR="00000000" w:rsidRDefault="003502CD">
            <w:pPr>
              <w:rPr>
                <w:rFonts w:eastAsia="Times New Roman"/>
                <w:color w:val="000000"/>
                <w:sz w:val="20"/>
                <w:szCs w:val="20"/>
                <w:lang w:eastAsia="ko-KR"/>
              </w:rPr>
            </w:pPr>
            <w:r w:rsidRPr="00030DED">
              <w:rPr>
                <w:rFonts w:eastAsia="Times New Roman"/>
                <w:color w:val="000000"/>
                <w:sz w:val="20"/>
                <w:szCs w:val="20"/>
                <w:lang w:eastAsia="ko-KR"/>
              </w:rPr>
              <w:t>T-win</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$373</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$421 </w:t>
            </w:r>
          </w:p>
        </w:tc>
      </w:tr>
      <w:tr w:rsidR="003502CD" w:rsidRPr="00030DED" w:rsidTr="00C17E83">
        <w:trPr>
          <w:trHeight w:val="189"/>
          <w:jc w:val="center"/>
        </w:trPr>
        <w:tc>
          <w:tcPr>
            <w:tcW w:w="0" w:type="auto"/>
            <w:tcBorders>
              <w:top w:val="nil"/>
              <w:left w:val="nil"/>
              <w:bottom w:val="nil"/>
              <w:right w:val="nil"/>
            </w:tcBorders>
            <w:shd w:val="clear" w:color="auto" w:fill="auto"/>
            <w:noWrap/>
            <w:vAlign w:val="bottom"/>
            <w:hideMark/>
          </w:tcPr>
          <w:p w:rsidR="00000000" w:rsidRDefault="003502CD">
            <w:pPr>
              <w:rPr>
                <w:rFonts w:eastAsia="Times New Roman"/>
                <w:color w:val="000000"/>
                <w:sz w:val="20"/>
                <w:szCs w:val="20"/>
                <w:lang w:eastAsia="ko-KR"/>
              </w:rPr>
            </w:pPr>
            <w:r w:rsidRPr="00030DED">
              <w:rPr>
                <w:rFonts w:eastAsia="Times New Roman"/>
                <w:color w:val="000000"/>
                <w:sz w:val="20"/>
                <w:szCs w:val="20"/>
                <w:lang w:eastAsia="ko-KR"/>
              </w:rPr>
              <w:t>Less Expenses:</w:t>
            </w:r>
          </w:p>
        </w:tc>
        <w:tc>
          <w:tcPr>
            <w:tcW w:w="0" w:type="auto"/>
            <w:tcBorders>
              <w:top w:val="nil"/>
              <w:left w:val="nil"/>
              <w:bottom w:val="nil"/>
              <w:right w:val="nil"/>
            </w:tcBorders>
            <w:shd w:val="clear" w:color="auto" w:fill="auto"/>
            <w:noWrap/>
            <w:vAlign w:val="bottom"/>
            <w:hideMark/>
          </w:tcPr>
          <w:p w:rsidR="00000000" w:rsidRDefault="00A4069B">
            <w:pPr>
              <w:jc w:val="right"/>
              <w:rPr>
                <w:rFonts w:eastAsia="Times New Roman"/>
                <w:color w:val="000000"/>
                <w:sz w:val="20"/>
                <w:szCs w:val="20"/>
                <w:lang w:eastAsia="ko-KR"/>
              </w:rPr>
            </w:pPr>
          </w:p>
        </w:tc>
        <w:tc>
          <w:tcPr>
            <w:tcW w:w="0" w:type="auto"/>
            <w:tcBorders>
              <w:top w:val="nil"/>
              <w:left w:val="nil"/>
              <w:bottom w:val="nil"/>
              <w:right w:val="nil"/>
            </w:tcBorders>
            <w:shd w:val="clear" w:color="auto" w:fill="auto"/>
            <w:noWrap/>
            <w:vAlign w:val="bottom"/>
            <w:hideMark/>
          </w:tcPr>
          <w:p w:rsidR="00000000" w:rsidRDefault="00A4069B">
            <w:pPr>
              <w:jc w:val="right"/>
              <w:rPr>
                <w:rFonts w:eastAsia="Times New Roman"/>
                <w:color w:val="000000"/>
                <w:sz w:val="20"/>
                <w:szCs w:val="20"/>
                <w:lang w:eastAsia="ko-KR"/>
              </w:rPr>
            </w:pPr>
          </w:p>
        </w:tc>
      </w:tr>
      <w:tr w:rsidR="003502CD" w:rsidRPr="00030DED" w:rsidTr="001203B0">
        <w:trPr>
          <w:trHeight w:val="216"/>
          <w:jc w:val="center"/>
        </w:trPr>
        <w:tc>
          <w:tcPr>
            <w:tcW w:w="0" w:type="auto"/>
            <w:tcBorders>
              <w:top w:val="nil"/>
              <w:left w:val="nil"/>
              <w:bottom w:val="nil"/>
              <w:right w:val="nil"/>
            </w:tcBorders>
            <w:shd w:val="clear" w:color="auto" w:fill="auto"/>
            <w:noWrap/>
            <w:vAlign w:val="bottom"/>
            <w:hideMark/>
          </w:tcPr>
          <w:p w:rsidR="00000000" w:rsidRDefault="003502CD">
            <w:pPr>
              <w:ind w:left="450"/>
              <w:rPr>
                <w:rFonts w:eastAsia="Times New Roman"/>
                <w:color w:val="000000"/>
                <w:sz w:val="20"/>
                <w:szCs w:val="20"/>
                <w:lang w:eastAsia="ko-KR"/>
              </w:rPr>
            </w:pPr>
            <w:r w:rsidRPr="00030DED">
              <w:rPr>
                <w:rFonts w:eastAsia="Times New Roman"/>
                <w:color w:val="000000"/>
                <w:sz w:val="20"/>
                <w:szCs w:val="20"/>
                <w:lang w:eastAsia="ko-KR"/>
              </w:rPr>
              <w:t>Complimentary room cost</w:t>
            </w:r>
            <w:r w:rsidRPr="00030DED">
              <w:rPr>
                <w:sz w:val="20"/>
                <w:szCs w:val="20"/>
                <w:vertAlign w:val="superscript"/>
              </w:rPr>
              <w:t>b</w:t>
            </w:r>
            <w:r w:rsidRPr="00030DED">
              <w:rPr>
                <w:rFonts w:eastAsia="Times New Roman"/>
                <w:color w:val="000000"/>
                <w:sz w:val="20"/>
                <w:szCs w:val="20"/>
                <w:lang w:eastAsia="ko-KR"/>
              </w:rPr>
              <w:t xml:space="preserve"> </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$160 </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$160 </w:t>
            </w:r>
          </w:p>
        </w:tc>
      </w:tr>
      <w:tr w:rsidR="003502CD" w:rsidRPr="00030DED" w:rsidTr="00C17E83">
        <w:trPr>
          <w:trHeight w:val="180"/>
          <w:jc w:val="center"/>
        </w:trPr>
        <w:tc>
          <w:tcPr>
            <w:tcW w:w="0" w:type="auto"/>
            <w:tcBorders>
              <w:top w:val="nil"/>
              <w:left w:val="nil"/>
              <w:bottom w:val="nil"/>
              <w:right w:val="nil"/>
            </w:tcBorders>
            <w:shd w:val="clear" w:color="auto" w:fill="auto"/>
            <w:noWrap/>
            <w:vAlign w:val="bottom"/>
            <w:hideMark/>
          </w:tcPr>
          <w:p w:rsidR="00000000" w:rsidRDefault="003502CD">
            <w:pPr>
              <w:ind w:left="450"/>
              <w:rPr>
                <w:rFonts w:eastAsia="Times New Roman"/>
                <w:color w:val="000000"/>
                <w:sz w:val="20"/>
                <w:szCs w:val="20"/>
                <w:lang w:eastAsia="ko-KR"/>
              </w:rPr>
            </w:pPr>
            <w:r w:rsidRPr="00030DED">
              <w:rPr>
                <w:rFonts w:eastAsia="Times New Roman"/>
                <w:color w:val="000000"/>
                <w:sz w:val="20"/>
                <w:szCs w:val="20"/>
                <w:lang w:eastAsia="ko-KR"/>
              </w:rPr>
              <w:t>Incentive cost</w:t>
            </w:r>
            <w:r w:rsidRPr="00030DED">
              <w:rPr>
                <w:sz w:val="20"/>
                <w:szCs w:val="20"/>
                <w:vertAlign w:val="superscript"/>
              </w:rPr>
              <w:t xml:space="preserve"> c</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$47 </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$93</w:t>
            </w:r>
          </w:p>
        </w:tc>
      </w:tr>
      <w:tr w:rsidR="003502CD" w:rsidRPr="00030DED" w:rsidTr="00C17E83">
        <w:trPr>
          <w:trHeight w:val="216"/>
          <w:jc w:val="center"/>
        </w:trPr>
        <w:tc>
          <w:tcPr>
            <w:tcW w:w="0" w:type="auto"/>
            <w:tcBorders>
              <w:top w:val="nil"/>
              <w:left w:val="nil"/>
              <w:bottom w:val="nil"/>
              <w:right w:val="nil"/>
            </w:tcBorders>
            <w:shd w:val="clear" w:color="auto" w:fill="auto"/>
            <w:noWrap/>
            <w:vAlign w:val="bottom"/>
            <w:hideMark/>
          </w:tcPr>
          <w:p w:rsidR="00000000" w:rsidRDefault="003502CD">
            <w:pPr>
              <w:ind w:left="450"/>
              <w:rPr>
                <w:rFonts w:eastAsia="Times New Roman"/>
                <w:color w:val="000000"/>
                <w:sz w:val="20"/>
                <w:szCs w:val="20"/>
                <w:lang w:eastAsia="ko-KR"/>
              </w:rPr>
            </w:pPr>
            <w:r w:rsidRPr="00030DED">
              <w:rPr>
                <w:rFonts w:eastAsia="Times New Roman"/>
                <w:color w:val="000000"/>
                <w:sz w:val="20"/>
                <w:szCs w:val="20"/>
                <w:lang w:eastAsia="ko-KR"/>
              </w:rPr>
              <w:t xml:space="preserve">Tax </w:t>
            </w:r>
            <w:r w:rsidRPr="00030DED">
              <w:rPr>
                <w:sz w:val="20"/>
                <w:szCs w:val="20"/>
                <w:vertAlign w:val="superscript"/>
              </w:rPr>
              <w:t>d</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$25 </w:t>
            </w:r>
          </w:p>
        </w:tc>
        <w:tc>
          <w:tcPr>
            <w:tcW w:w="0" w:type="auto"/>
            <w:tcBorders>
              <w:top w:val="nil"/>
              <w:left w:val="nil"/>
              <w:bottom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$28</w:t>
            </w:r>
          </w:p>
        </w:tc>
      </w:tr>
      <w:tr w:rsidR="003502CD" w:rsidRPr="00030DED" w:rsidTr="001203B0">
        <w:trPr>
          <w:trHeight w:val="171"/>
          <w:jc w:val="center"/>
        </w:trPr>
        <w:tc>
          <w:tcPr>
            <w:tcW w:w="0" w:type="auto"/>
            <w:tcBorders>
              <w:top w:val="nil"/>
              <w:left w:val="nil"/>
              <w:right w:val="nil"/>
            </w:tcBorders>
            <w:shd w:val="clear" w:color="auto" w:fill="auto"/>
            <w:noWrap/>
            <w:vAlign w:val="bottom"/>
            <w:hideMark/>
          </w:tcPr>
          <w:p w:rsidR="00000000" w:rsidRDefault="003502CD">
            <w:pPr>
              <w:ind w:left="450"/>
              <w:rPr>
                <w:rFonts w:eastAsia="Times New Roman"/>
                <w:color w:val="000000"/>
                <w:sz w:val="20"/>
                <w:szCs w:val="20"/>
                <w:lang w:eastAsia="ko-KR"/>
              </w:rPr>
            </w:pPr>
            <w:r w:rsidRPr="00030DED">
              <w:rPr>
                <w:rFonts w:eastAsia="Times New Roman"/>
                <w:color w:val="000000"/>
                <w:sz w:val="20"/>
                <w:szCs w:val="20"/>
                <w:lang w:eastAsia="ko-KR"/>
              </w:rPr>
              <w:t xml:space="preserve">Cash-back liability </w:t>
            </w:r>
            <w:r w:rsidRPr="00030DED">
              <w:rPr>
                <w:sz w:val="20"/>
                <w:szCs w:val="20"/>
                <w:vertAlign w:val="superscript"/>
              </w:rPr>
              <w:t>e</w:t>
            </w:r>
          </w:p>
        </w:tc>
        <w:tc>
          <w:tcPr>
            <w:tcW w:w="0" w:type="auto"/>
            <w:tcBorders>
              <w:top w:val="nil"/>
              <w:left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$34 </w:t>
            </w:r>
          </w:p>
        </w:tc>
        <w:tc>
          <w:tcPr>
            <w:tcW w:w="0" w:type="auto"/>
            <w:tcBorders>
              <w:top w:val="nil"/>
              <w:left w:val="nil"/>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$38 </w:t>
            </w:r>
          </w:p>
        </w:tc>
      </w:tr>
      <w:tr w:rsidR="003502CD" w:rsidRPr="00030DED" w:rsidTr="00C17E83">
        <w:trPr>
          <w:trHeight w:val="207"/>
          <w:jc w:val="center"/>
        </w:trPr>
        <w:tc>
          <w:tcPr>
            <w:tcW w:w="0" w:type="auto"/>
            <w:shd w:val="clear" w:color="auto" w:fill="auto"/>
            <w:noWrap/>
            <w:vAlign w:val="bottom"/>
            <w:hideMark/>
          </w:tcPr>
          <w:p w:rsidR="00000000" w:rsidRDefault="003502CD">
            <w:pPr>
              <w:ind w:left="450"/>
              <w:rPr>
                <w:rFonts w:eastAsia="Times New Roman"/>
                <w:color w:val="000000"/>
                <w:sz w:val="20"/>
                <w:szCs w:val="20"/>
                <w:lang w:eastAsia="ko-KR"/>
              </w:rPr>
            </w:pPr>
            <w:r w:rsidRPr="00030DED">
              <w:rPr>
                <w:rFonts w:eastAsia="Times New Roman"/>
                <w:color w:val="000000"/>
                <w:sz w:val="20"/>
                <w:szCs w:val="20"/>
                <w:lang w:eastAsia="ko-KR"/>
              </w:rPr>
              <w:t>Other awards costs</w:t>
            </w:r>
            <w:r w:rsidRPr="00030DED">
              <w:rPr>
                <w:sz w:val="20"/>
                <w:szCs w:val="20"/>
                <w:vertAlign w:val="superscript"/>
              </w:rPr>
              <w:t xml:space="preserve"> f</w:t>
            </w:r>
          </w:p>
        </w:tc>
        <w:tc>
          <w:tcPr>
            <w:tcW w:w="0" w:type="auto"/>
            <w:shd w:val="clear" w:color="auto" w:fill="auto"/>
            <w:vAlign w:val="bottom"/>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$15 </w:t>
            </w:r>
          </w:p>
        </w:tc>
        <w:tc>
          <w:tcPr>
            <w:tcW w:w="0" w:type="auto"/>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$16 </w:t>
            </w:r>
          </w:p>
        </w:tc>
      </w:tr>
      <w:tr w:rsidR="003502CD" w:rsidRPr="00030DED" w:rsidTr="001203B0">
        <w:trPr>
          <w:trHeight w:val="90"/>
          <w:jc w:val="center"/>
        </w:trPr>
        <w:tc>
          <w:tcPr>
            <w:tcW w:w="0" w:type="auto"/>
            <w:shd w:val="clear" w:color="auto" w:fill="auto"/>
            <w:noWrap/>
            <w:vAlign w:val="bottom"/>
            <w:hideMark/>
          </w:tcPr>
          <w:p w:rsidR="00000000" w:rsidRDefault="003502CD">
            <w:pPr>
              <w:ind w:left="450"/>
              <w:rPr>
                <w:rFonts w:eastAsia="Times New Roman"/>
                <w:color w:val="000000"/>
                <w:sz w:val="20"/>
                <w:szCs w:val="20"/>
                <w:lang w:eastAsia="ko-KR"/>
              </w:rPr>
            </w:pPr>
            <w:r w:rsidRPr="00030DED">
              <w:rPr>
                <w:rFonts w:eastAsia="Times New Roman"/>
                <w:color w:val="000000"/>
                <w:sz w:val="20"/>
                <w:szCs w:val="20"/>
                <w:lang w:eastAsia="ko-KR"/>
              </w:rPr>
              <w:t xml:space="preserve">Slot Dept. variable costs </w:t>
            </w:r>
            <w:r w:rsidRPr="00030DED">
              <w:rPr>
                <w:sz w:val="20"/>
                <w:szCs w:val="20"/>
                <w:vertAlign w:val="superscript"/>
              </w:rPr>
              <w:t>g</w:t>
            </w:r>
          </w:p>
        </w:tc>
        <w:tc>
          <w:tcPr>
            <w:tcW w:w="0" w:type="auto"/>
            <w:shd w:val="clear" w:color="auto" w:fill="auto"/>
            <w:vAlign w:val="bottom"/>
          </w:tcPr>
          <w:p w:rsidR="00000000" w:rsidRDefault="003502CD">
            <w:pPr>
              <w:jc w:val="right"/>
              <w:rPr>
                <w:rFonts w:eastAsia="Times New Roman"/>
                <w:color w:val="000000"/>
                <w:sz w:val="20"/>
                <w:szCs w:val="20"/>
                <w:u w:val="single"/>
                <w:lang w:eastAsia="ko-KR"/>
              </w:rPr>
            </w:pPr>
            <w:r w:rsidRPr="00030DED">
              <w:rPr>
                <w:rFonts w:eastAsia="Times New Roman"/>
                <w:color w:val="000000"/>
                <w:sz w:val="20"/>
                <w:szCs w:val="20"/>
                <w:u w:val="single"/>
                <w:lang w:eastAsia="ko-KR"/>
              </w:rPr>
              <w:t xml:space="preserve">$75 </w:t>
            </w:r>
          </w:p>
        </w:tc>
        <w:tc>
          <w:tcPr>
            <w:tcW w:w="0" w:type="auto"/>
            <w:shd w:val="clear" w:color="auto" w:fill="auto"/>
            <w:noWrap/>
            <w:vAlign w:val="bottom"/>
            <w:hideMark/>
          </w:tcPr>
          <w:p w:rsidR="00000000" w:rsidRDefault="003502CD">
            <w:pPr>
              <w:jc w:val="right"/>
              <w:rPr>
                <w:rFonts w:eastAsia="Times New Roman"/>
                <w:color w:val="000000"/>
                <w:sz w:val="20"/>
                <w:szCs w:val="20"/>
                <w:u w:val="single"/>
                <w:lang w:eastAsia="ko-KR"/>
              </w:rPr>
            </w:pPr>
            <w:r w:rsidRPr="00030DED">
              <w:rPr>
                <w:rFonts w:eastAsia="Times New Roman"/>
                <w:color w:val="000000"/>
                <w:sz w:val="20"/>
                <w:szCs w:val="20"/>
                <w:u w:val="single"/>
                <w:lang w:eastAsia="ko-KR"/>
              </w:rPr>
              <w:t xml:space="preserve">$84 </w:t>
            </w:r>
          </w:p>
        </w:tc>
      </w:tr>
      <w:tr w:rsidR="003502CD" w:rsidRPr="00030DED" w:rsidTr="001203B0">
        <w:trPr>
          <w:trHeight w:val="135"/>
          <w:jc w:val="center"/>
        </w:trPr>
        <w:tc>
          <w:tcPr>
            <w:tcW w:w="0" w:type="auto"/>
            <w:tcBorders>
              <w:left w:val="nil"/>
              <w:bottom w:val="single" w:sz="8" w:space="0" w:color="auto"/>
              <w:right w:val="nil"/>
            </w:tcBorders>
            <w:shd w:val="clear" w:color="auto" w:fill="auto"/>
            <w:noWrap/>
            <w:vAlign w:val="bottom"/>
            <w:hideMark/>
          </w:tcPr>
          <w:p w:rsidR="00000000" w:rsidRDefault="003502CD">
            <w:pPr>
              <w:rPr>
                <w:rFonts w:eastAsia="Times New Roman"/>
                <w:color w:val="000000"/>
                <w:sz w:val="20"/>
                <w:szCs w:val="20"/>
                <w:lang w:eastAsia="ko-KR"/>
              </w:rPr>
            </w:pPr>
            <w:r w:rsidRPr="00030DED">
              <w:rPr>
                <w:rFonts w:eastAsia="Times New Roman"/>
                <w:color w:val="000000"/>
                <w:sz w:val="20"/>
                <w:szCs w:val="20"/>
                <w:lang w:eastAsia="ko-KR"/>
              </w:rPr>
              <w:t>Net Cash Flow</w:t>
            </w:r>
          </w:p>
        </w:tc>
        <w:tc>
          <w:tcPr>
            <w:tcW w:w="0" w:type="auto"/>
            <w:tcBorders>
              <w:left w:val="nil"/>
              <w:bottom w:val="single" w:sz="8" w:space="0" w:color="auto"/>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$18 </w:t>
            </w:r>
          </w:p>
        </w:tc>
        <w:tc>
          <w:tcPr>
            <w:tcW w:w="0" w:type="auto"/>
            <w:tcBorders>
              <w:left w:val="nil"/>
              <w:bottom w:val="single" w:sz="8" w:space="0" w:color="auto"/>
              <w:right w:val="nil"/>
            </w:tcBorders>
            <w:shd w:val="clear" w:color="auto" w:fill="auto"/>
            <w:noWrap/>
            <w:vAlign w:val="bottom"/>
            <w:hideMark/>
          </w:tcPr>
          <w:p w:rsidR="00000000" w:rsidRDefault="003502CD">
            <w:pPr>
              <w:jc w:val="right"/>
              <w:rPr>
                <w:rFonts w:eastAsia="Times New Roman"/>
                <w:color w:val="000000"/>
                <w:sz w:val="20"/>
                <w:szCs w:val="20"/>
                <w:lang w:eastAsia="ko-KR"/>
              </w:rPr>
            </w:pPr>
            <w:r w:rsidRPr="00030DED">
              <w:rPr>
                <w:rFonts w:eastAsia="Times New Roman"/>
                <w:color w:val="000000"/>
                <w:sz w:val="20"/>
                <w:szCs w:val="20"/>
                <w:lang w:eastAsia="ko-KR"/>
              </w:rPr>
              <w:t xml:space="preserve">$2 </w:t>
            </w:r>
          </w:p>
        </w:tc>
      </w:tr>
    </w:tbl>
    <w:p w:rsidR="00000000" w:rsidRDefault="003502CD">
      <w:pPr>
        <w:pStyle w:val="NoSpacing"/>
        <w:rPr>
          <w:sz w:val="20"/>
          <w:szCs w:val="20"/>
        </w:rPr>
      </w:pPr>
      <w:r w:rsidRPr="00030DED">
        <w:rPr>
          <w:sz w:val="20"/>
          <w:szCs w:val="20"/>
          <w:lang w:eastAsia="ko-KR"/>
        </w:rPr>
        <w:t xml:space="preserve">Notes. </w:t>
      </w:r>
      <w:r w:rsidRPr="00030DED">
        <w:rPr>
          <w:sz w:val="20"/>
          <w:szCs w:val="20"/>
          <w:vertAlign w:val="superscript"/>
        </w:rPr>
        <w:t>a</w:t>
      </w:r>
      <w:r w:rsidRPr="00030DED">
        <w:rPr>
          <w:sz w:val="20"/>
          <w:szCs w:val="20"/>
        </w:rPr>
        <w:t xml:space="preserve"> The average house advantage for slots</w:t>
      </w:r>
      <w:r w:rsidRPr="00030DED">
        <w:rPr>
          <w:sz w:val="20"/>
          <w:szCs w:val="20"/>
          <w:lang w:eastAsia="ko-KR"/>
        </w:rPr>
        <w:t xml:space="preserve">, </w:t>
      </w:r>
      <w:r w:rsidRPr="00030DED">
        <w:rPr>
          <w:sz w:val="20"/>
          <w:szCs w:val="20"/>
        </w:rPr>
        <w:t>or t</w:t>
      </w:r>
      <w:r w:rsidRPr="00030DED">
        <w:rPr>
          <w:sz w:val="20"/>
          <w:szCs w:val="20"/>
          <w:lang w:eastAsia="ko-KR"/>
        </w:rPr>
        <w:t>he average floor par,</w:t>
      </w:r>
      <w:r w:rsidRPr="00030DED">
        <w:rPr>
          <w:sz w:val="20"/>
          <w:szCs w:val="20"/>
        </w:rPr>
        <w:t xml:space="preserve"> </w:t>
      </w:r>
      <w:r w:rsidRPr="00030DED">
        <w:rPr>
          <w:sz w:val="20"/>
          <w:szCs w:val="20"/>
          <w:lang w:eastAsia="ko-KR"/>
        </w:rPr>
        <w:t xml:space="preserve">for the subject property was not available for analysis.  Hence, the slot win percent of </w:t>
      </w:r>
      <w:r w:rsidRPr="00030DED">
        <w:rPr>
          <w:color w:val="000000"/>
          <w:sz w:val="20"/>
          <w:szCs w:val="20"/>
        </w:rPr>
        <w:t xml:space="preserve">6.80% obtained from the </w:t>
      </w:r>
      <w:r w:rsidRPr="00030DED">
        <w:rPr>
          <w:sz w:val="20"/>
          <w:szCs w:val="20"/>
        </w:rPr>
        <w:t xml:space="preserve">2007 Gaming Revenue Report published by Nevada Gaming Control Board </w:t>
      </w:r>
      <w:r w:rsidRPr="00030DED">
        <w:rPr>
          <w:color w:val="000000"/>
          <w:sz w:val="20"/>
          <w:szCs w:val="20"/>
        </w:rPr>
        <w:t>was used as a proxy for the average floor par</w:t>
      </w:r>
      <w:r w:rsidRPr="00030DED">
        <w:rPr>
          <w:sz w:val="20"/>
          <w:szCs w:val="20"/>
          <w:lang w:eastAsia="ko-KR"/>
        </w:rPr>
        <w:t xml:space="preserve">.  The slot win percent of </w:t>
      </w:r>
      <w:r w:rsidRPr="00030DED">
        <w:rPr>
          <w:color w:val="000000"/>
          <w:sz w:val="20"/>
          <w:szCs w:val="20"/>
        </w:rPr>
        <w:t xml:space="preserve">6.80% </w:t>
      </w:r>
      <w:r w:rsidRPr="00030DED">
        <w:rPr>
          <w:sz w:val="20"/>
          <w:szCs w:val="20"/>
          <w:lang w:eastAsia="ko-KR"/>
        </w:rPr>
        <w:t xml:space="preserve">represents the average hold percentage for slots in Las Vegas Strip properties with revenues of $72M and over in 2007 </w:t>
      </w:r>
      <w:r w:rsidRPr="00030DED">
        <w:rPr>
          <w:color w:val="000000"/>
          <w:sz w:val="20"/>
          <w:szCs w:val="20"/>
        </w:rPr>
        <w:t>(see NGCB, 2007)</w:t>
      </w:r>
      <w:r w:rsidRPr="00030DED">
        <w:rPr>
          <w:sz w:val="20"/>
          <w:szCs w:val="20"/>
          <w:lang w:eastAsia="ko-KR"/>
        </w:rPr>
        <w:t>.</w:t>
      </w:r>
    </w:p>
    <w:p w:rsidR="009C6FDB" w:rsidRDefault="003502CD">
      <w:pPr>
        <w:pStyle w:val="NoSpacing"/>
        <w:rPr>
          <w:sz w:val="20"/>
          <w:szCs w:val="20"/>
        </w:rPr>
      </w:pPr>
      <w:r w:rsidRPr="00030DED">
        <w:rPr>
          <w:sz w:val="20"/>
          <w:szCs w:val="20"/>
          <w:vertAlign w:val="superscript"/>
        </w:rPr>
        <w:t>b</w:t>
      </w:r>
      <w:r w:rsidRPr="00030DED">
        <w:rPr>
          <w:sz w:val="20"/>
          <w:szCs w:val="20"/>
        </w:rPr>
        <w:t>denotes the product of the variable costs (i.e., housekeeping labor and hotel room amenities) per room night and the number of trip days. The management of the property estimated the variable costs at $40 per room night. The number of trip days was obtained from the descriptive statistics in Table 1.</w:t>
      </w:r>
    </w:p>
    <w:p w:rsidR="009C6FDB" w:rsidRDefault="003502CD">
      <w:pPr>
        <w:pStyle w:val="NoSpacing"/>
        <w:rPr>
          <w:rFonts w:eastAsia="Times New Roman"/>
          <w:color w:val="000000"/>
          <w:sz w:val="20"/>
          <w:szCs w:val="20"/>
          <w:lang w:eastAsia="ko-KR"/>
        </w:rPr>
      </w:pPr>
      <w:r w:rsidRPr="00030DED">
        <w:rPr>
          <w:sz w:val="20"/>
          <w:szCs w:val="20"/>
          <w:vertAlign w:val="superscript"/>
        </w:rPr>
        <w:t xml:space="preserve">c </w:t>
      </w:r>
      <w:r w:rsidRPr="00030DED">
        <w:rPr>
          <w:sz w:val="20"/>
          <w:szCs w:val="20"/>
        </w:rPr>
        <w:t xml:space="preserve">The casino’s free-play coupon cost is reduced by the product of the coupon face value and the house advantage for slots, or </w:t>
      </w:r>
      <w:r w:rsidRPr="00030DED">
        <w:rPr>
          <w:sz w:val="20"/>
          <w:szCs w:val="20"/>
          <w:lang w:eastAsia="ko-KR"/>
        </w:rPr>
        <w:t xml:space="preserve">($50.00)(0.068) for a $50 incentive and ($100.00)(0.068) for a $100 incentive.  </w:t>
      </w:r>
    </w:p>
    <w:p w:rsidR="009C6FDB" w:rsidRDefault="003502CD">
      <w:pPr>
        <w:pStyle w:val="NoSpacing"/>
        <w:rPr>
          <w:sz w:val="20"/>
          <w:szCs w:val="20"/>
          <w:lang w:eastAsia="ko-KR"/>
        </w:rPr>
      </w:pPr>
      <w:r w:rsidRPr="00030DED">
        <w:rPr>
          <w:sz w:val="20"/>
          <w:szCs w:val="20"/>
          <w:vertAlign w:val="superscript"/>
        </w:rPr>
        <w:t>d</w:t>
      </w:r>
      <w:r w:rsidRPr="00030DED">
        <w:rPr>
          <w:sz w:val="20"/>
          <w:szCs w:val="20"/>
        </w:rPr>
        <w:t xml:space="preserve"> assumes a 6.75% gaming tax rate </w:t>
      </w:r>
      <w:r w:rsidRPr="00030DED">
        <w:rPr>
          <w:sz w:val="20"/>
          <w:szCs w:val="20"/>
          <w:lang w:eastAsia="ko-KR"/>
        </w:rPr>
        <w:t>paid on t-win.</w:t>
      </w:r>
    </w:p>
    <w:p w:rsidR="009C6FDB" w:rsidRDefault="003502CD">
      <w:pPr>
        <w:pStyle w:val="NoSpacing"/>
        <w:rPr>
          <w:sz w:val="20"/>
          <w:szCs w:val="20"/>
        </w:rPr>
      </w:pPr>
      <w:r w:rsidRPr="00030DED">
        <w:rPr>
          <w:sz w:val="20"/>
          <w:szCs w:val="20"/>
          <w:vertAlign w:val="superscript"/>
        </w:rPr>
        <w:t>e</w:t>
      </w:r>
      <w:r w:rsidRPr="00030DED">
        <w:rPr>
          <w:sz w:val="20"/>
          <w:szCs w:val="20"/>
        </w:rPr>
        <w:t xml:space="preserve"> represents the casino’s slot club point liability. According to the management of the property, slot club points are refunded in the form of cash awards at the average cash-back rate of 9% of t-win.</w:t>
      </w:r>
    </w:p>
    <w:p w:rsidR="009C6FDB" w:rsidRDefault="003502CD">
      <w:pPr>
        <w:pStyle w:val="NoSpacing"/>
        <w:rPr>
          <w:sz w:val="20"/>
          <w:szCs w:val="20"/>
        </w:rPr>
      </w:pPr>
      <w:r w:rsidRPr="00030DED">
        <w:rPr>
          <w:sz w:val="20"/>
          <w:szCs w:val="20"/>
          <w:vertAlign w:val="superscript"/>
        </w:rPr>
        <w:t xml:space="preserve">f </w:t>
      </w:r>
      <w:r w:rsidRPr="00030DED">
        <w:rPr>
          <w:sz w:val="20"/>
          <w:szCs w:val="20"/>
        </w:rPr>
        <w:t xml:space="preserve">refers to the costs of other complimentary awards (i.e., food and beverage).  These costs were estimated at 50% of the retail values of other complimentary awards by the management of the property. The retail values of other awards were obtained from Table 1. </w:t>
      </w:r>
    </w:p>
    <w:p w:rsidR="009C6FDB" w:rsidRDefault="003502CD">
      <w:pPr>
        <w:rPr>
          <w:sz w:val="20"/>
          <w:szCs w:val="20"/>
        </w:rPr>
      </w:pPr>
      <w:r w:rsidRPr="00030DED">
        <w:rPr>
          <w:sz w:val="20"/>
          <w:szCs w:val="20"/>
          <w:vertAlign w:val="superscript"/>
        </w:rPr>
        <w:t>g</w:t>
      </w:r>
      <w:r w:rsidRPr="00030DED">
        <w:rPr>
          <w:sz w:val="20"/>
          <w:szCs w:val="20"/>
        </w:rPr>
        <w:t xml:space="preserve"> Information regarding the slot department variable costs (i.e., labor for processing coupon redemption) associated with t-win was not available for analysis.  Hence, 20% of t-win used in Lucas et al. (2005), which appears to be a realistic, yet conservative, estimate of slot department variable costs was applied to the current analysis. </w:t>
      </w:r>
    </w:p>
    <w:p w:rsidR="009C6FDB" w:rsidRDefault="009C6FDB">
      <w:pPr>
        <w:pStyle w:val="NoSpacing"/>
        <w:rPr>
          <w:sz w:val="20"/>
          <w:szCs w:val="20"/>
        </w:rPr>
      </w:pPr>
    </w:p>
    <w:p w:rsidR="009C6FDB" w:rsidRDefault="00C226B1">
      <w:pPr>
        <w:jc w:val="center"/>
        <w:rPr>
          <w:b/>
          <w:sz w:val="20"/>
          <w:szCs w:val="20"/>
        </w:rPr>
      </w:pPr>
      <w:r w:rsidRPr="00C226B1">
        <w:rPr>
          <w:b/>
          <w:sz w:val="20"/>
          <w:szCs w:val="20"/>
        </w:rPr>
        <w:t>DISCUSSION</w:t>
      </w:r>
    </w:p>
    <w:p w:rsidR="009C6FDB" w:rsidRDefault="009C6FDB">
      <w:pPr>
        <w:rPr>
          <w:sz w:val="20"/>
          <w:szCs w:val="20"/>
        </w:rPr>
      </w:pPr>
    </w:p>
    <w:p w:rsidR="009C6FDB" w:rsidRDefault="00C226B1">
      <w:pPr>
        <w:ind w:firstLine="720"/>
        <w:rPr>
          <w:sz w:val="20"/>
          <w:szCs w:val="20"/>
        </w:rPr>
      </w:pPr>
      <w:r w:rsidRPr="00C226B1">
        <w:rPr>
          <w:sz w:val="20"/>
          <w:szCs w:val="20"/>
        </w:rPr>
        <w:t>The results of the current investigation show that a high-value free-play coupon failed to produce a positive and statistically significant model effect on a player’s slot gaming volume.  Further analysis on coupon profitability indicated that profitability did not increase with coupon face value.</w:t>
      </w:r>
      <w:r w:rsidRPr="00C226B1">
        <w:rPr>
          <w:color w:val="00B050"/>
          <w:sz w:val="20"/>
          <w:szCs w:val="20"/>
        </w:rPr>
        <w:t xml:space="preserve">  </w:t>
      </w:r>
      <w:r w:rsidRPr="00C226B1">
        <w:rPr>
          <w:sz w:val="20"/>
          <w:szCs w:val="20"/>
        </w:rPr>
        <w:t xml:space="preserve">In fact, a lower incentive value generated higher cash flows per player than a higher incentive value.  These results are in line with the findings of Krishna and Shoemaker (1992), Neslin and Clarke (1987), and Shoemaker and Tibrewala (1985).  Krishna and Shoemaker (1992) and Neslin and Clarke (1987) discovered little effect of coupon face value on incremental sales and redemption rates, respectively.  Similarly, Shoemaker and Tibrewala (1985) found that high-value coupons were not necessarily associated with more profits.  The results of the current study, however, are not consistent with the findings of Lucas </w:t>
      </w:r>
      <w:r w:rsidRPr="00C226B1">
        <w:rPr>
          <w:sz w:val="20"/>
          <w:szCs w:val="20"/>
        </w:rPr>
        <w:lastRenderedPageBreak/>
        <w:t xml:space="preserve">and Bowen (2002) which produced a positive association between cash prize awards and slot volumes.  The inconsistent findings between the current investigation and Lucas and Bowen (2002) might be related to the type of promotion examined in each study (drawing vs. direct mail) and the type of data used for analysis (aggregate daily coin-in vs. coin-in from individual players who redeemed free-play offers).    </w:t>
      </w:r>
    </w:p>
    <w:p w:rsidR="009C6FDB" w:rsidRDefault="009C6FDB">
      <w:pPr>
        <w:ind w:firstLine="720"/>
        <w:rPr>
          <w:sz w:val="20"/>
          <w:szCs w:val="20"/>
        </w:rPr>
      </w:pPr>
    </w:p>
    <w:p w:rsidR="009C6FDB" w:rsidRDefault="00C226B1">
      <w:pPr>
        <w:ind w:firstLine="720"/>
        <w:rPr>
          <w:sz w:val="20"/>
          <w:szCs w:val="20"/>
        </w:rPr>
      </w:pPr>
      <w:r w:rsidRPr="00C226B1">
        <w:rPr>
          <w:sz w:val="20"/>
          <w:szCs w:val="20"/>
        </w:rPr>
        <w:t xml:space="preserve">The lack of a significant and positive relationship between free-play coupon value and a player’s slot gaming volume observed in the current investigation might be an indication of the presence of bankroll cannibalization.  Lucas et al. (2005) pointed out that players might use free-play incentives as a substitute for their bankroll, thereby reducing/replacing their original gaming budgets.  Likewise, some players in the current investigation might have taken advantage of the increased free-play credits.  This further could have damaged the profitability of high-value coupons.  On the other hand, the results might be an indication that a $50-increase in incentive value might not be sufficient to lead to a significant increase in a player’s slot gaming volume.  Due to intense competition, casino customers are inundated with monetary play incentives from multiple casinos (Lucas and Kilby, 2008).  Hence, without a noticeable increase in incentive value, it might be difficult for a casino to differentiate itself from competition.  However, raising incentive values over those of competitors may not </w:t>
      </w:r>
      <w:r>
        <w:rPr>
          <w:sz w:val="20"/>
          <w:szCs w:val="20"/>
        </w:rPr>
        <w:t>necessarily increase</w:t>
      </w:r>
      <w:r w:rsidRPr="00C226B1">
        <w:rPr>
          <w:sz w:val="20"/>
          <w:szCs w:val="20"/>
        </w:rPr>
        <w:t xml:space="preserve"> coupon profits due to incremental offer costs.  Furthermore, such offers could mainly draw deal-prone customers with little or no brand loyalty.  </w:t>
      </w:r>
    </w:p>
    <w:p w:rsidR="00000000" w:rsidRDefault="00A4069B">
      <w:pPr>
        <w:rPr>
          <w:color w:val="00B050"/>
          <w:sz w:val="20"/>
          <w:szCs w:val="20"/>
        </w:rPr>
      </w:pPr>
    </w:p>
    <w:p w:rsidR="009C6FDB" w:rsidRDefault="00C226B1">
      <w:pPr>
        <w:rPr>
          <w:sz w:val="20"/>
          <w:szCs w:val="20"/>
        </w:rPr>
      </w:pPr>
      <w:r w:rsidRPr="00C226B1">
        <w:rPr>
          <w:sz w:val="20"/>
          <w:szCs w:val="20"/>
        </w:rPr>
        <w:t>Managerial Implications</w:t>
      </w:r>
    </w:p>
    <w:p w:rsidR="009C6FDB" w:rsidRDefault="00C226B1">
      <w:pPr>
        <w:ind w:firstLine="720"/>
        <w:rPr>
          <w:sz w:val="20"/>
          <w:szCs w:val="20"/>
        </w:rPr>
      </w:pPr>
      <w:r w:rsidRPr="00C226B1">
        <w:rPr>
          <w:sz w:val="20"/>
          <w:szCs w:val="20"/>
        </w:rPr>
        <w:t>The results of the current investigation imply that a higher-value free-play offer may not necessarily generate greater slot volumes/net cash flows per player than a comparable lower-value free-play offer.  However, this does not necessarily mean that casino marketers should not offer high-value coupons.  It is difficult to know the extent to which free-play coupons influence the casino patronage decisions of coupon recipients.  High incentive values might be a compelling reason for some players to make a trip to the coupon-offering casino that they would not otherwise visit.  Additionally, as several researchers have pointed out, it is possible that play incentives have become the casino’s cost of doing business. This is because</w:t>
      </w:r>
      <w:r w:rsidRPr="00C226B1">
        <w:rPr>
          <w:rFonts w:eastAsia="Malgun Gothic"/>
          <w:sz w:val="20"/>
          <w:szCs w:val="20"/>
          <w:lang w:eastAsia="ko-KR"/>
        </w:rPr>
        <w:t xml:space="preserve"> some players tend to perceive </w:t>
      </w:r>
      <w:r w:rsidRPr="00C226B1">
        <w:rPr>
          <w:sz w:val="20"/>
          <w:szCs w:val="20"/>
        </w:rPr>
        <w:t xml:space="preserve">play incentives </w:t>
      </w:r>
      <w:r w:rsidRPr="00C226B1">
        <w:rPr>
          <w:rFonts w:eastAsia="Malgun Gothic"/>
          <w:sz w:val="20"/>
          <w:szCs w:val="20"/>
          <w:lang w:eastAsia="ko-KR"/>
        </w:rPr>
        <w:t xml:space="preserve">as an entitlement </w:t>
      </w:r>
      <w:r w:rsidRPr="00C226B1">
        <w:rPr>
          <w:sz w:val="20"/>
          <w:szCs w:val="20"/>
        </w:rPr>
        <w:t xml:space="preserve">(i.e., Lucas et al. </w:t>
      </w:r>
      <w:r w:rsidRPr="00C226B1">
        <w:rPr>
          <w:rFonts w:eastAsia="Times New Roman"/>
          <w:sz w:val="20"/>
          <w:szCs w:val="20"/>
        </w:rPr>
        <w:t>2005; Lucas and Kilby, 2008</w:t>
      </w:r>
      <w:r w:rsidRPr="00C226B1">
        <w:rPr>
          <w:sz w:val="20"/>
          <w:szCs w:val="20"/>
        </w:rPr>
        <w:t>).  However, considering high costs and low profitability associated with high-value coupons, casino managers would be wise to attract customers in a cost-efficient manner.</w:t>
      </w:r>
    </w:p>
    <w:p w:rsidR="009C6FDB" w:rsidRDefault="009C6FDB">
      <w:pPr>
        <w:ind w:firstLine="720"/>
        <w:rPr>
          <w:sz w:val="20"/>
          <w:szCs w:val="20"/>
        </w:rPr>
      </w:pPr>
    </w:p>
    <w:p w:rsidR="009C6FDB" w:rsidRDefault="00C226B1">
      <w:pPr>
        <w:ind w:firstLine="720"/>
        <w:rPr>
          <w:sz w:val="20"/>
          <w:szCs w:val="20"/>
        </w:rPr>
      </w:pPr>
      <w:r w:rsidRPr="00C226B1">
        <w:rPr>
          <w:sz w:val="20"/>
          <w:szCs w:val="20"/>
        </w:rPr>
        <w:t xml:space="preserve">For direct mailing purposes, casino marketers should consider segmenting customers based on propensity to increase slot gaming volumes in response to increase in play incentive value. </w:t>
      </w:r>
      <w:r w:rsidRPr="00C226B1">
        <w:rPr>
          <w:sz w:val="20"/>
          <w:szCs w:val="20"/>
          <w:lang w:eastAsia="zh-TW"/>
        </w:rPr>
        <w:t xml:space="preserve"> </w:t>
      </w:r>
      <w:r w:rsidRPr="00C226B1">
        <w:rPr>
          <w:sz w:val="20"/>
          <w:szCs w:val="20"/>
        </w:rPr>
        <w:t xml:space="preserve">To identify players who are likely to produce incremental slot volumes, a predictive modeling at the individual player level is recommended.  In comparison to customer segmentation based solely on a player’s observed, historical play, customer segmentation based on a player’s potential value would help casino marketers target the most profitable customers.  Additionally, </w:t>
      </w:r>
      <w:r w:rsidR="000013A8">
        <w:rPr>
          <w:sz w:val="20"/>
          <w:szCs w:val="20"/>
        </w:rPr>
        <w:t>a</w:t>
      </w:r>
      <w:r w:rsidRPr="00C226B1">
        <w:rPr>
          <w:sz w:val="20"/>
          <w:szCs w:val="20"/>
        </w:rPr>
        <w:t>djusting free-play coupon values based on a player’s potential worth could help casino marketers improve coupon profitability.  For instance, higher-value coupons can be offered only to players who are likely to produce significant increases in their gaming volumes while lower-value coupons can be offered to those who are less likely to increase their gaming volumes.  Despite the possibility of decrease in response rates due to lower incentive values, the lower-value offers could be more profitable than higher-value offers.</w:t>
      </w:r>
      <w:r w:rsidRPr="00C226B1">
        <w:rPr>
          <w:color w:val="00B050"/>
          <w:sz w:val="20"/>
          <w:szCs w:val="20"/>
        </w:rPr>
        <w:t xml:space="preserve"> </w:t>
      </w:r>
    </w:p>
    <w:p w:rsidR="009C6FDB" w:rsidRDefault="009C6FDB">
      <w:pPr>
        <w:ind w:firstLine="720"/>
        <w:rPr>
          <w:sz w:val="20"/>
          <w:szCs w:val="20"/>
        </w:rPr>
      </w:pPr>
    </w:p>
    <w:p w:rsidR="009C6FDB" w:rsidRDefault="00C226B1">
      <w:pPr>
        <w:ind w:firstLine="720"/>
        <w:rPr>
          <w:sz w:val="20"/>
          <w:szCs w:val="20"/>
        </w:rPr>
      </w:pPr>
      <w:r w:rsidRPr="00C226B1">
        <w:rPr>
          <w:sz w:val="20"/>
          <w:szCs w:val="20"/>
        </w:rPr>
        <w:t xml:space="preserve">Offering non-monetary awards could be an alternative to monetary incentives especially for players who are less deal-prone or loyal to the casino brand.  Nonmonetary </w:t>
      </w:r>
      <w:r>
        <w:rPr>
          <w:sz w:val="20"/>
          <w:szCs w:val="20"/>
        </w:rPr>
        <w:t>awards</w:t>
      </w:r>
      <w:r w:rsidRPr="00C226B1">
        <w:rPr>
          <w:sz w:val="20"/>
          <w:szCs w:val="20"/>
        </w:rPr>
        <w:t xml:space="preserve"> such as value added services and benefits that are unique to the casino brand might enhance customers’ emotional attachment to the brand and help the casino gain competitive advantages.  Furthermore, non-monetary awards could deliver higher return on investment than monetary awards.  Finally, developing loyalty strategies based upon non-monetary benefits could help casino marketers avoid price-based competition. </w:t>
      </w:r>
    </w:p>
    <w:p w:rsidR="007E43BC" w:rsidRDefault="007E43BC">
      <w:pPr>
        <w:ind w:firstLine="720"/>
        <w:rPr>
          <w:sz w:val="20"/>
          <w:szCs w:val="20"/>
        </w:rPr>
      </w:pPr>
    </w:p>
    <w:p w:rsidR="00000000" w:rsidRDefault="00C226B1">
      <w:pPr>
        <w:rPr>
          <w:sz w:val="20"/>
          <w:szCs w:val="20"/>
        </w:rPr>
      </w:pPr>
      <w:r w:rsidRPr="00C226B1">
        <w:rPr>
          <w:sz w:val="20"/>
          <w:szCs w:val="20"/>
        </w:rPr>
        <w:t>Limitations</w:t>
      </w:r>
      <w:r w:rsidR="00FE443C" w:rsidRPr="00FE443C">
        <w:rPr>
          <w:sz w:val="20"/>
          <w:szCs w:val="20"/>
          <w:lang w:eastAsia="zh-TW"/>
        </w:rPr>
        <w:t xml:space="preserve"> </w:t>
      </w:r>
      <w:r w:rsidR="00FE443C">
        <w:rPr>
          <w:sz w:val="20"/>
          <w:szCs w:val="20"/>
          <w:lang w:eastAsia="zh-TW"/>
        </w:rPr>
        <w:t xml:space="preserve">and </w:t>
      </w:r>
      <w:r w:rsidR="00FE443C" w:rsidRPr="00C226B1">
        <w:rPr>
          <w:sz w:val="20"/>
          <w:szCs w:val="20"/>
          <w:lang w:eastAsia="zh-TW"/>
        </w:rPr>
        <w:t>Future Research</w:t>
      </w:r>
    </w:p>
    <w:p w:rsidR="00000000" w:rsidRDefault="00C226B1">
      <w:pPr>
        <w:ind w:firstLine="720"/>
        <w:rPr>
          <w:color w:val="FF0000"/>
          <w:sz w:val="20"/>
          <w:szCs w:val="20"/>
        </w:rPr>
      </w:pPr>
      <w:r w:rsidRPr="00C226B1">
        <w:rPr>
          <w:sz w:val="20"/>
          <w:szCs w:val="20"/>
        </w:rPr>
        <w:t xml:space="preserve">The sample examined in the current study is based on only one hotel casino.  Results might vary by player segment, target market and casino market condition. Hence, any effort to replicate this study with different samples </w:t>
      </w:r>
      <w:r w:rsidRPr="00C226B1">
        <w:rPr>
          <w:sz w:val="20"/>
          <w:szCs w:val="20"/>
        </w:rPr>
        <w:lastRenderedPageBreak/>
        <w:t xml:space="preserve">would enhance our understanding of players’ coupon redemption behavior.  Additionally, future research may expand the model to see how additional variables, such as monetary play incentives from competing casinos, would affect a player’s trip slot volume.  Future study could test different levels of free-play coupon values in an effort to measure players’ sensitivity to different coupon values and to identify the incentive value that generates the highest profit.  As increase in response rates resulting from high-value play incentives may not necessarily yield the highest coupon profit due to substantial costs associated with high-value coupons, findings from such investigation would help casino managers maximize coupon profitability.  Additionally, researchers should consider conducting a longitudinal study on whether a player’s casino trip frequency and gaming volume gradually changes with free-play coupon value.  Such investigation would help casino marketers gain a better understanding of the long-term effect of free-play coupons on player behavior.  Finally, research on the effects of different types of play incentives on a player’s gaming and coupon redeeming behavior would provide helpful information for identifying the type of coupon that is most likely to generate desirable player profiles.     </w:t>
      </w:r>
    </w:p>
    <w:p w:rsidR="009C6FDB" w:rsidRDefault="009C6FDB">
      <w:pPr>
        <w:spacing w:after="200"/>
        <w:jc w:val="both"/>
        <w:rPr>
          <w:color w:val="00B050"/>
          <w:sz w:val="20"/>
          <w:szCs w:val="20"/>
        </w:rPr>
      </w:pPr>
    </w:p>
    <w:p w:rsidR="009C6FDB" w:rsidRDefault="00C226B1">
      <w:pPr>
        <w:jc w:val="center"/>
        <w:rPr>
          <w:b/>
          <w:sz w:val="20"/>
          <w:szCs w:val="20"/>
        </w:rPr>
      </w:pPr>
      <w:r w:rsidRPr="00C226B1">
        <w:rPr>
          <w:b/>
          <w:sz w:val="20"/>
          <w:szCs w:val="20"/>
        </w:rPr>
        <w:t>REFERENCES</w:t>
      </w:r>
    </w:p>
    <w:p w:rsidR="009C6FDB" w:rsidRDefault="009C6FDB">
      <w:pPr>
        <w:pStyle w:val="NoSpacing"/>
        <w:ind w:left="540" w:hanging="540"/>
        <w:rPr>
          <w:sz w:val="20"/>
          <w:szCs w:val="20"/>
        </w:rPr>
      </w:pPr>
    </w:p>
    <w:p w:rsidR="004479CD" w:rsidRPr="0009291A" w:rsidRDefault="00C226B1" w:rsidP="004479CD">
      <w:pPr>
        <w:pStyle w:val="Bibliography"/>
        <w:spacing w:line="0" w:lineRule="atLeast"/>
        <w:ind w:left="540" w:hanging="540"/>
        <w:rPr>
          <w:noProof/>
          <w:sz w:val="20"/>
          <w:szCs w:val="20"/>
        </w:rPr>
      </w:pPr>
      <w:r w:rsidRPr="00C226B1">
        <w:rPr>
          <w:noProof/>
          <w:sz w:val="20"/>
          <w:szCs w:val="20"/>
        </w:rPr>
        <w:t xml:space="preserve">Bawa, K. and Shoemaker, R. W.(1989). Analyzing incremental sales from a direct-mail coupon promotion. </w:t>
      </w:r>
      <w:r w:rsidRPr="00C226B1">
        <w:rPr>
          <w:i/>
          <w:iCs/>
          <w:noProof/>
          <w:sz w:val="20"/>
          <w:szCs w:val="20"/>
        </w:rPr>
        <w:t>Journal of Marketing</w:t>
      </w:r>
      <w:r w:rsidRPr="00C226B1">
        <w:rPr>
          <w:iCs/>
          <w:noProof/>
          <w:sz w:val="20"/>
          <w:szCs w:val="20"/>
        </w:rPr>
        <w:t>.</w:t>
      </w:r>
      <w:r w:rsidRPr="00C226B1">
        <w:rPr>
          <w:noProof/>
          <w:sz w:val="20"/>
          <w:szCs w:val="20"/>
        </w:rPr>
        <w:t xml:space="preserve"> 53(3): 66-78.</w:t>
      </w:r>
    </w:p>
    <w:p w:rsidR="004479CD" w:rsidRPr="0009291A" w:rsidRDefault="00C226B1" w:rsidP="004479CD">
      <w:pPr>
        <w:pStyle w:val="Bibliography"/>
        <w:spacing w:line="0" w:lineRule="atLeast"/>
        <w:ind w:left="540" w:hanging="540"/>
        <w:rPr>
          <w:noProof/>
          <w:sz w:val="20"/>
          <w:szCs w:val="20"/>
        </w:rPr>
      </w:pPr>
      <w:r w:rsidRPr="00C226B1">
        <w:rPr>
          <w:noProof/>
          <w:sz w:val="20"/>
          <w:szCs w:val="20"/>
        </w:rPr>
        <w:t xml:space="preserve">Barat, S. and Paswan, A. K.(2005). Do higher face-value coupons cost more than they are worth in increased sales? </w:t>
      </w:r>
      <w:r w:rsidRPr="00C226B1">
        <w:rPr>
          <w:i/>
          <w:iCs/>
          <w:noProof/>
          <w:sz w:val="20"/>
          <w:szCs w:val="20"/>
        </w:rPr>
        <w:t>Journal of Product &amp; Brand Management</w:t>
      </w:r>
      <w:r w:rsidRPr="00C226B1">
        <w:rPr>
          <w:iCs/>
          <w:noProof/>
          <w:sz w:val="20"/>
          <w:szCs w:val="20"/>
        </w:rPr>
        <w:t>.</w:t>
      </w:r>
      <w:r w:rsidRPr="00C226B1">
        <w:rPr>
          <w:noProof/>
          <w:sz w:val="20"/>
          <w:szCs w:val="20"/>
        </w:rPr>
        <w:t xml:space="preserve"> 14(6): 379-386.</w:t>
      </w:r>
    </w:p>
    <w:p w:rsidR="004479CD" w:rsidRPr="0009291A" w:rsidRDefault="00C226B1" w:rsidP="004479CD">
      <w:pPr>
        <w:pStyle w:val="Bibliography"/>
        <w:spacing w:line="0" w:lineRule="atLeast"/>
        <w:ind w:left="540" w:hanging="540"/>
        <w:rPr>
          <w:noProof/>
          <w:sz w:val="20"/>
          <w:szCs w:val="20"/>
        </w:rPr>
      </w:pPr>
      <w:r w:rsidRPr="00C226B1">
        <w:rPr>
          <w:noProof/>
          <w:sz w:val="20"/>
          <w:szCs w:val="20"/>
        </w:rPr>
        <w:t xml:space="preserve">Chakraborty, G. and Cole, C. (1991). Coupon characteristics and brand choice. </w:t>
      </w:r>
      <w:r w:rsidRPr="00C226B1">
        <w:rPr>
          <w:i/>
          <w:iCs/>
          <w:noProof/>
          <w:sz w:val="20"/>
          <w:szCs w:val="20"/>
        </w:rPr>
        <w:t>Psychology &amp; Marketing</w:t>
      </w:r>
      <w:r w:rsidRPr="00C226B1">
        <w:rPr>
          <w:iCs/>
          <w:noProof/>
          <w:sz w:val="20"/>
          <w:szCs w:val="20"/>
        </w:rPr>
        <w:t>.</w:t>
      </w:r>
      <w:r w:rsidRPr="00C226B1">
        <w:rPr>
          <w:noProof/>
          <w:sz w:val="20"/>
          <w:szCs w:val="20"/>
        </w:rPr>
        <w:t xml:space="preserve"> 8(3): 145-160.</w:t>
      </w:r>
    </w:p>
    <w:p w:rsidR="004479CD" w:rsidRPr="0009291A" w:rsidRDefault="00C226B1" w:rsidP="004479CD">
      <w:pPr>
        <w:pStyle w:val="Bibliography"/>
        <w:spacing w:line="0" w:lineRule="atLeast"/>
        <w:ind w:left="540" w:hanging="540"/>
        <w:rPr>
          <w:noProof/>
          <w:sz w:val="20"/>
          <w:szCs w:val="20"/>
        </w:rPr>
      </w:pPr>
      <w:r w:rsidRPr="00C226B1">
        <w:rPr>
          <w:noProof/>
          <w:sz w:val="20"/>
          <w:szCs w:val="20"/>
        </w:rPr>
        <w:t xml:space="preserve">Gu, Z. (2002). Performance gaps between U.S. and European casinos: A comparative study. </w:t>
      </w:r>
      <w:r w:rsidRPr="00C226B1">
        <w:rPr>
          <w:i/>
          <w:iCs/>
          <w:noProof/>
          <w:sz w:val="20"/>
          <w:szCs w:val="20"/>
        </w:rPr>
        <w:t>UNLV Gaming Research &amp; Review Journal</w:t>
      </w:r>
      <w:r w:rsidRPr="00C226B1">
        <w:rPr>
          <w:iCs/>
          <w:noProof/>
          <w:sz w:val="20"/>
          <w:szCs w:val="20"/>
        </w:rPr>
        <w:t>.</w:t>
      </w:r>
      <w:r w:rsidRPr="00C226B1">
        <w:rPr>
          <w:noProof/>
          <w:sz w:val="20"/>
          <w:szCs w:val="20"/>
        </w:rPr>
        <w:t xml:space="preserve"> 6(2): 53-62.</w:t>
      </w:r>
    </w:p>
    <w:p w:rsidR="004479CD" w:rsidRPr="0009291A" w:rsidRDefault="00C226B1" w:rsidP="004479CD">
      <w:pPr>
        <w:pStyle w:val="NoSpacing"/>
        <w:ind w:left="540" w:hanging="540"/>
        <w:rPr>
          <w:sz w:val="20"/>
          <w:szCs w:val="20"/>
        </w:rPr>
      </w:pPr>
      <w:r w:rsidRPr="00C226B1">
        <w:rPr>
          <w:sz w:val="20"/>
          <w:szCs w:val="20"/>
        </w:rPr>
        <w:t xml:space="preserve">Kilby, J., Fox, J. and Lucas, A.F. (2004). </w:t>
      </w:r>
      <w:r w:rsidRPr="00C226B1">
        <w:rPr>
          <w:i/>
          <w:sz w:val="20"/>
          <w:szCs w:val="20"/>
        </w:rPr>
        <w:t>Casino operations management second ed</w:t>
      </w:r>
      <w:r w:rsidRPr="00C226B1">
        <w:rPr>
          <w:sz w:val="20"/>
          <w:szCs w:val="20"/>
        </w:rPr>
        <w:t>. Wiley, New York.</w:t>
      </w:r>
    </w:p>
    <w:p w:rsidR="004479CD" w:rsidRPr="0009291A" w:rsidRDefault="00C226B1" w:rsidP="004479CD">
      <w:pPr>
        <w:pStyle w:val="Bibliography"/>
        <w:spacing w:line="0" w:lineRule="atLeast"/>
        <w:ind w:left="540" w:hanging="540"/>
        <w:rPr>
          <w:noProof/>
          <w:sz w:val="20"/>
          <w:szCs w:val="20"/>
        </w:rPr>
      </w:pPr>
      <w:r w:rsidRPr="00C226B1">
        <w:rPr>
          <w:noProof/>
          <w:sz w:val="20"/>
          <w:szCs w:val="20"/>
        </w:rPr>
        <w:t xml:space="preserve">Krishna, A. and </w:t>
      </w:r>
      <w:r w:rsidRPr="00C226B1">
        <w:rPr>
          <w:sz w:val="20"/>
          <w:szCs w:val="20"/>
        </w:rPr>
        <w:t xml:space="preserve">Shoemaker, R. W. (1992). </w:t>
      </w:r>
      <w:r w:rsidRPr="00C226B1">
        <w:rPr>
          <w:noProof/>
          <w:sz w:val="20"/>
          <w:szCs w:val="20"/>
        </w:rPr>
        <w:t xml:space="preserve">Estimating the effects of higher coupon face values on the timing of redemptions, the mix of coupon redeemers, and purchase quantity. </w:t>
      </w:r>
      <w:r w:rsidRPr="00C226B1">
        <w:rPr>
          <w:i/>
          <w:iCs/>
          <w:noProof/>
          <w:sz w:val="20"/>
          <w:szCs w:val="20"/>
        </w:rPr>
        <w:t>Psychology and Marketing</w:t>
      </w:r>
      <w:r w:rsidRPr="00C226B1">
        <w:rPr>
          <w:iCs/>
          <w:noProof/>
          <w:sz w:val="20"/>
          <w:szCs w:val="20"/>
        </w:rPr>
        <w:t>.</w:t>
      </w:r>
      <w:r w:rsidRPr="00C226B1">
        <w:rPr>
          <w:noProof/>
          <w:sz w:val="20"/>
          <w:szCs w:val="20"/>
        </w:rPr>
        <w:t xml:space="preserve"> 9(6): 453-467.</w:t>
      </w:r>
    </w:p>
    <w:p w:rsidR="004479CD" w:rsidRPr="0009291A" w:rsidRDefault="00C226B1" w:rsidP="004479CD">
      <w:pPr>
        <w:pStyle w:val="NoSpacing"/>
        <w:ind w:left="540" w:hanging="540"/>
        <w:rPr>
          <w:sz w:val="20"/>
          <w:szCs w:val="20"/>
        </w:rPr>
      </w:pPr>
      <w:r w:rsidRPr="00C226B1">
        <w:rPr>
          <w:sz w:val="20"/>
          <w:szCs w:val="20"/>
        </w:rPr>
        <w:t xml:space="preserve">Lucas, A.F. (2004). Estimating the impact of match-play promotional offers on the blackjack business volume of a Las Vegas hotel casino. </w:t>
      </w:r>
      <w:r w:rsidRPr="00C226B1">
        <w:rPr>
          <w:i/>
          <w:iCs/>
          <w:sz w:val="20"/>
          <w:szCs w:val="20"/>
        </w:rPr>
        <w:t>Journal of Travel &amp; Tourism Marketing</w:t>
      </w:r>
      <w:r w:rsidRPr="00C226B1">
        <w:rPr>
          <w:iCs/>
          <w:sz w:val="20"/>
          <w:szCs w:val="20"/>
        </w:rPr>
        <w:t>, 17</w:t>
      </w:r>
      <w:r w:rsidRPr="00C226B1">
        <w:rPr>
          <w:sz w:val="20"/>
          <w:szCs w:val="20"/>
        </w:rPr>
        <w:t>(4): 23-33.</w:t>
      </w:r>
    </w:p>
    <w:p w:rsidR="004479CD" w:rsidRPr="0009291A" w:rsidRDefault="00C226B1" w:rsidP="004479CD">
      <w:pPr>
        <w:pStyle w:val="NoSpacing"/>
        <w:ind w:left="540" w:hanging="540"/>
        <w:rPr>
          <w:sz w:val="20"/>
          <w:szCs w:val="20"/>
        </w:rPr>
      </w:pPr>
      <w:r w:rsidRPr="00C226B1">
        <w:rPr>
          <w:sz w:val="20"/>
          <w:szCs w:val="20"/>
        </w:rPr>
        <w:t xml:space="preserve">Lucas, A. F. and Kilby, J. (2008). </w:t>
      </w:r>
      <w:r w:rsidRPr="00C226B1">
        <w:rPr>
          <w:i/>
          <w:iCs/>
          <w:sz w:val="20"/>
          <w:szCs w:val="20"/>
        </w:rPr>
        <w:t>Principles of Casino Marketing</w:t>
      </w:r>
      <w:r w:rsidRPr="00C226B1">
        <w:rPr>
          <w:sz w:val="20"/>
          <w:szCs w:val="20"/>
        </w:rPr>
        <w:t>. Okie International Inc, Norman, OK.</w:t>
      </w:r>
    </w:p>
    <w:p w:rsidR="004479CD" w:rsidRPr="0009291A" w:rsidRDefault="00C226B1" w:rsidP="004479CD">
      <w:pPr>
        <w:pStyle w:val="NoSpacing"/>
        <w:ind w:left="540" w:hanging="540"/>
        <w:rPr>
          <w:sz w:val="20"/>
          <w:szCs w:val="20"/>
        </w:rPr>
      </w:pPr>
      <w:r w:rsidRPr="00C226B1">
        <w:rPr>
          <w:sz w:val="20"/>
          <w:szCs w:val="20"/>
        </w:rPr>
        <w:t xml:space="preserve">Lucas, A.F. and Santos, J. (2003). Measuring the effect of casino-operated restaurant volume on slot machine business volume:  An exploratory study.  </w:t>
      </w:r>
      <w:r w:rsidRPr="00C226B1">
        <w:rPr>
          <w:i/>
          <w:iCs/>
          <w:sz w:val="20"/>
          <w:szCs w:val="20"/>
        </w:rPr>
        <w:t>Journal of Hospitality &amp; Tourism Research</w:t>
      </w:r>
      <w:r w:rsidRPr="00C226B1">
        <w:rPr>
          <w:iCs/>
          <w:sz w:val="20"/>
          <w:szCs w:val="20"/>
        </w:rPr>
        <w:t>. 27</w:t>
      </w:r>
      <w:r w:rsidRPr="00C226B1">
        <w:rPr>
          <w:sz w:val="20"/>
          <w:szCs w:val="20"/>
        </w:rPr>
        <w:t>(1): 101-17.</w:t>
      </w:r>
    </w:p>
    <w:p w:rsidR="004479CD" w:rsidRPr="0009291A" w:rsidRDefault="00C226B1" w:rsidP="004479CD">
      <w:pPr>
        <w:pStyle w:val="NoSpacing"/>
        <w:ind w:left="540" w:hanging="540"/>
        <w:rPr>
          <w:sz w:val="20"/>
          <w:szCs w:val="20"/>
        </w:rPr>
      </w:pPr>
      <w:r w:rsidRPr="00C226B1">
        <w:rPr>
          <w:sz w:val="20"/>
          <w:szCs w:val="20"/>
        </w:rPr>
        <w:t xml:space="preserve">Lucas, A.F. and Bowen, J.T. (2002). Measuring the effectiveness of casino promotions. </w:t>
      </w:r>
      <w:r w:rsidRPr="00C226B1">
        <w:rPr>
          <w:i/>
          <w:iCs/>
          <w:sz w:val="20"/>
          <w:szCs w:val="20"/>
        </w:rPr>
        <w:t>International Journal of Hospitality Management</w:t>
      </w:r>
      <w:r w:rsidRPr="00C226B1">
        <w:rPr>
          <w:iCs/>
          <w:sz w:val="20"/>
          <w:szCs w:val="20"/>
        </w:rPr>
        <w:t>. 21</w:t>
      </w:r>
      <w:r w:rsidRPr="00C226B1">
        <w:rPr>
          <w:sz w:val="20"/>
          <w:szCs w:val="20"/>
        </w:rPr>
        <w:t>(2): 189-202.</w:t>
      </w:r>
    </w:p>
    <w:p w:rsidR="009C6FDB" w:rsidRDefault="00C226B1">
      <w:pPr>
        <w:pStyle w:val="NoSpacing"/>
        <w:ind w:left="540" w:hanging="540"/>
        <w:rPr>
          <w:sz w:val="20"/>
          <w:szCs w:val="20"/>
        </w:rPr>
      </w:pPr>
      <w:r w:rsidRPr="00C226B1">
        <w:rPr>
          <w:sz w:val="20"/>
          <w:szCs w:val="20"/>
        </w:rPr>
        <w:t xml:space="preserve">Lucas, A.F. and Brewer, K.P. (2001).  Managing the slot operations of a hotel casino in the Las Vegas locals’ market.  </w:t>
      </w:r>
      <w:r w:rsidRPr="00C226B1">
        <w:rPr>
          <w:i/>
          <w:iCs/>
          <w:sz w:val="20"/>
          <w:szCs w:val="20"/>
        </w:rPr>
        <w:t>Journal of Hospitality and Tourism Research</w:t>
      </w:r>
      <w:r w:rsidRPr="00C226B1">
        <w:rPr>
          <w:iCs/>
          <w:sz w:val="20"/>
          <w:szCs w:val="20"/>
        </w:rPr>
        <w:t>, 25</w:t>
      </w:r>
      <w:r w:rsidRPr="00C226B1">
        <w:rPr>
          <w:sz w:val="20"/>
          <w:szCs w:val="20"/>
        </w:rPr>
        <w:t>(3): 289-301.</w:t>
      </w:r>
    </w:p>
    <w:p w:rsidR="004479CD" w:rsidRPr="0009291A" w:rsidRDefault="00C226B1" w:rsidP="004479CD">
      <w:pPr>
        <w:pStyle w:val="Bibliography"/>
        <w:spacing w:line="0" w:lineRule="atLeast"/>
        <w:ind w:left="540" w:hanging="540"/>
        <w:rPr>
          <w:noProof/>
          <w:sz w:val="20"/>
          <w:szCs w:val="20"/>
        </w:rPr>
      </w:pPr>
      <w:r w:rsidRPr="00C226B1">
        <w:rPr>
          <w:noProof/>
          <w:sz w:val="20"/>
          <w:szCs w:val="20"/>
        </w:rPr>
        <w:t xml:space="preserve">Lucas, </w:t>
      </w:r>
      <w:r w:rsidRPr="00C226B1">
        <w:rPr>
          <w:rFonts w:eastAsia="Malgun Gothic"/>
          <w:sz w:val="20"/>
          <w:szCs w:val="20"/>
        </w:rPr>
        <w:t>A. F.</w:t>
      </w:r>
      <w:r w:rsidRPr="00C226B1">
        <w:rPr>
          <w:noProof/>
          <w:sz w:val="20"/>
          <w:szCs w:val="20"/>
        </w:rPr>
        <w:t xml:space="preserve">, Dunn, W. T. and Singh, A. K. (2005). Estimating the short-term effect of free-play offers in a Las Vegas hotel casino. </w:t>
      </w:r>
      <w:r w:rsidRPr="00C226B1">
        <w:rPr>
          <w:i/>
          <w:iCs/>
          <w:noProof/>
          <w:sz w:val="20"/>
          <w:szCs w:val="20"/>
        </w:rPr>
        <w:t>Journal of Travel and Tourism Marketing</w:t>
      </w:r>
      <w:r w:rsidRPr="00C226B1">
        <w:rPr>
          <w:iCs/>
          <w:noProof/>
          <w:sz w:val="20"/>
          <w:szCs w:val="20"/>
        </w:rPr>
        <w:t>.</w:t>
      </w:r>
      <w:r w:rsidRPr="00C226B1">
        <w:rPr>
          <w:noProof/>
          <w:sz w:val="20"/>
          <w:szCs w:val="20"/>
        </w:rPr>
        <w:t xml:space="preserve"> 18(2): 53 - 68.</w:t>
      </w:r>
    </w:p>
    <w:p w:rsidR="004479CD" w:rsidRPr="0009291A" w:rsidRDefault="00C226B1" w:rsidP="004479CD">
      <w:pPr>
        <w:ind w:left="540" w:hanging="540"/>
        <w:rPr>
          <w:sz w:val="20"/>
          <w:szCs w:val="20"/>
        </w:rPr>
      </w:pPr>
      <w:r w:rsidRPr="00C226B1">
        <w:rPr>
          <w:sz w:val="20"/>
          <w:szCs w:val="20"/>
        </w:rPr>
        <w:t xml:space="preserve">Neslin, S. A. and </w:t>
      </w:r>
      <w:r w:rsidR="00E2543A">
        <w:rPr>
          <w:sz w:val="20"/>
          <w:szCs w:val="20"/>
        </w:rPr>
        <w:t>Clark</w:t>
      </w:r>
      <w:r w:rsidR="007E43BC">
        <w:rPr>
          <w:sz w:val="20"/>
          <w:szCs w:val="20"/>
        </w:rPr>
        <w:t>e</w:t>
      </w:r>
      <w:r w:rsidR="00E2543A">
        <w:rPr>
          <w:sz w:val="20"/>
          <w:szCs w:val="20"/>
        </w:rPr>
        <w:t xml:space="preserve">, </w:t>
      </w:r>
      <w:r w:rsidR="00E2543A" w:rsidRPr="00C226B1">
        <w:rPr>
          <w:sz w:val="20"/>
          <w:szCs w:val="20"/>
        </w:rPr>
        <w:t xml:space="preserve">G. </w:t>
      </w:r>
      <w:r w:rsidRPr="00C226B1">
        <w:rPr>
          <w:sz w:val="20"/>
          <w:szCs w:val="20"/>
        </w:rPr>
        <w:t xml:space="preserve">D. (1987). Relating the brand use profile of coupon redeemers to brand and coupon characteristics. </w:t>
      </w:r>
      <w:r w:rsidRPr="00C226B1">
        <w:rPr>
          <w:i/>
          <w:sz w:val="20"/>
          <w:szCs w:val="20"/>
        </w:rPr>
        <w:t>Journal of Advertising Research</w:t>
      </w:r>
      <w:r w:rsidRPr="00C226B1">
        <w:rPr>
          <w:sz w:val="20"/>
          <w:szCs w:val="20"/>
        </w:rPr>
        <w:t>, 27 (February/March,): 23-32.</w:t>
      </w:r>
    </w:p>
    <w:p w:rsidR="004479CD" w:rsidRPr="004674FE" w:rsidRDefault="00C226B1" w:rsidP="004479CD">
      <w:pPr>
        <w:tabs>
          <w:tab w:val="left" w:pos="1170"/>
        </w:tabs>
        <w:ind w:left="709" w:hanging="709"/>
        <w:rPr>
          <w:sz w:val="20"/>
          <w:szCs w:val="20"/>
        </w:rPr>
      </w:pPr>
      <w:r w:rsidRPr="00C226B1">
        <w:rPr>
          <w:sz w:val="20"/>
          <w:szCs w:val="20"/>
        </w:rPr>
        <w:t xml:space="preserve">Nevada Gaming Control Board. (2007). Gaming Revenue Report. Las Vegas, NV:  Gaming Control Board. </w:t>
      </w:r>
      <w:hyperlink r:id="rId8" w:history="1">
        <w:r w:rsidR="00CC5796" w:rsidRPr="00CC5796">
          <w:rPr>
            <w:rStyle w:val="Hyperlink"/>
            <w:color w:val="auto"/>
            <w:sz w:val="20"/>
            <w:szCs w:val="20"/>
          </w:rPr>
          <w:t>http://gaming.nv.gov/documents/pdf/1g_07dec.pdf</w:t>
        </w:r>
      </w:hyperlink>
      <w:r w:rsidR="00CC5796" w:rsidRPr="00CC5796">
        <w:rPr>
          <w:sz w:val="20"/>
          <w:szCs w:val="20"/>
        </w:rPr>
        <w:t xml:space="preserve"> [Accessed the</w:t>
      </w:r>
      <w:r w:rsidR="00CC5796" w:rsidRPr="00CC5796">
        <w:rPr>
          <w:sz w:val="20"/>
          <w:szCs w:val="20"/>
          <w:lang w:val="el-GR"/>
        </w:rPr>
        <w:t xml:space="preserve"> </w:t>
      </w:r>
      <w:r w:rsidR="00CC5796" w:rsidRPr="00CC5796">
        <w:rPr>
          <w:sz w:val="20"/>
          <w:szCs w:val="20"/>
        </w:rPr>
        <w:t>1</w:t>
      </w:r>
      <w:r w:rsidR="00CC5796" w:rsidRPr="00CC5796">
        <w:rPr>
          <w:sz w:val="20"/>
          <w:szCs w:val="20"/>
          <w:vertAlign w:val="superscript"/>
        </w:rPr>
        <w:t>st</w:t>
      </w:r>
      <w:r w:rsidR="00CC5796" w:rsidRPr="00CC5796">
        <w:rPr>
          <w:sz w:val="20"/>
          <w:szCs w:val="20"/>
        </w:rPr>
        <w:t xml:space="preserve"> of June 2009]</w:t>
      </w:r>
    </w:p>
    <w:p w:rsidR="004479CD" w:rsidRPr="0009291A" w:rsidRDefault="00C226B1" w:rsidP="004479CD">
      <w:pPr>
        <w:pStyle w:val="NoSpacing"/>
        <w:ind w:left="540" w:hanging="540"/>
        <w:rPr>
          <w:sz w:val="20"/>
          <w:szCs w:val="20"/>
        </w:rPr>
      </w:pPr>
      <w:r w:rsidRPr="00C226B1">
        <w:rPr>
          <w:sz w:val="20"/>
          <w:szCs w:val="20"/>
        </w:rPr>
        <w:t>Reibstein, D. J. and Traver, P. A. (1982). Factors affecting coupon redemption rates. </w:t>
      </w:r>
      <w:r w:rsidRPr="00C226B1">
        <w:rPr>
          <w:rStyle w:val="italic"/>
          <w:sz w:val="20"/>
          <w:szCs w:val="20"/>
        </w:rPr>
        <w:t>Journal of Marketing.</w:t>
      </w:r>
      <w:r w:rsidRPr="00C226B1">
        <w:rPr>
          <w:sz w:val="20"/>
          <w:szCs w:val="20"/>
        </w:rPr>
        <w:t> 46(4): 102 - 113. </w:t>
      </w:r>
    </w:p>
    <w:p w:rsidR="00A4069B" w:rsidRDefault="00C226B1">
      <w:pPr>
        <w:ind w:left="540" w:hanging="540"/>
      </w:pPr>
      <w:r w:rsidRPr="00C226B1">
        <w:rPr>
          <w:sz w:val="20"/>
          <w:szCs w:val="20"/>
        </w:rPr>
        <w:t xml:space="preserve">Shoemaker, R. W. and Tibrewala, V. (1985). Relating coupon redemption rates to past purchasing of the brand. </w:t>
      </w:r>
      <w:r w:rsidRPr="00C226B1">
        <w:rPr>
          <w:i/>
          <w:sz w:val="20"/>
          <w:szCs w:val="20"/>
        </w:rPr>
        <w:t>Journal of Advertising Research</w:t>
      </w:r>
      <w:r w:rsidRPr="00C226B1">
        <w:rPr>
          <w:sz w:val="20"/>
          <w:szCs w:val="20"/>
        </w:rPr>
        <w:t xml:space="preserve">, 25(5): 40-47. </w:t>
      </w:r>
    </w:p>
    <w:sectPr w:rsidR="00A4069B" w:rsidSect="00030DED">
      <w:footerReference w:type="default" r:id="rId9"/>
      <w:pgSz w:w="12240" w:h="15840"/>
      <w:pgMar w:top="2160" w:right="1440" w:bottom="216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069B" w:rsidRDefault="00A4069B" w:rsidP="008C29E9">
      <w:r>
        <w:separator/>
      </w:r>
    </w:p>
  </w:endnote>
  <w:endnote w:type="continuationSeparator" w:id="0">
    <w:p w:rsidR="00A4069B" w:rsidRDefault="00A4069B" w:rsidP="008C29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Malgun Gothic">
    <w:panose1 w:val="020B0503020000020004"/>
    <w:charset w:val="81"/>
    <w:family w:val="swiss"/>
    <w:pitch w:val="variable"/>
    <w:sig w:usb0="900002AF" w:usb1="09D77CFB" w:usb2="00000012" w:usb3="00000000" w:csb0="00080001"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414040"/>
      <w:docPartObj>
        <w:docPartGallery w:val="Page Numbers (Bottom of Page)"/>
        <w:docPartUnique/>
      </w:docPartObj>
    </w:sdtPr>
    <w:sdtEndPr>
      <w:rPr>
        <w:sz w:val="20"/>
        <w:szCs w:val="20"/>
      </w:rPr>
    </w:sdtEndPr>
    <w:sdtContent>
      <w:p w:rsidR="00F46403" w:rsidRPr="00F46403" w:rsidRDefault="00CC5796">
        <w:pPr>
          <w:pStyle w:val="Footer"/>
          <w:jc w:val="right"/>
          <w:rPr>
            <w:sz w:val="20"/>
            <w:szCs w:val="20"/>
          </w:rPr>
        </w:pPr>
        <w:r w:rsidRPr="00CC5796">
          <w:rPr>
            <w:sz w:val="20"/>
            <w:szCs w:val="20"/>
          </w:rPr>
          <w:fldChar w:fldCharType="begin"/>
        </w:r>
        <w:r w:rsidRPr="00CC5796">
          <w:rPr>
            <w:sz w:val="20"/>
            <w:szCs w:val="20"/>
          </w:rPr>
          <w:instrText xml:space="preserve"> PAGE   \* MERGEFORMAT </w:instrText>
        </w:r>
        <w:r w:rsidRPr="00CC5796">
          <w:rPr>
            <w:sz w:val="20"/>
            <w:szCs w:val="20"/>
          </w:rPr>
          <w:fldChar w:fldCharType="separate"/>
        </w:r>
        <w:r w:rsidR="00373139">
          <w:rPr>
            <w:noProof/>
            <w:sz w:val="20"/>
            <w:szCs w:val="20"/>
          </w:rPr>
          <w:t>1</w:t>
        </w:r>
        <w:r w:rsidRPr="00CC5796">
          <w:rPr>
            <w:sz w:val="20"/>
            <w:szCs w:val="20"/>
          </w:rPr>
          <w:fldChar w:fldCharType="end"/>
        </w:r>
      </w:p>
    </w:sdtContent>
  </w:sdt>
  <w:p w:rsidR="008F2EDA" w:rsidRDefault="008F2ED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069B" w:rsidRDefault="00A4069B" w:rsidP="008C29E9">
      <w:r>
        <w:separator/>
      </w:r>
    </w:p>
  </w:footnote>
  <w:footnote w:type="continuationSeparator" w:id="0">
    <w:p w:rsidR="00A4069B" w:rsidRDefault="00A4069B" w:rsidP="008C29E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2D1353"/>
    <w:multiLevelType w:val="hybridMultilevel"/>
    <w:tmpl w:val="05C6FC34"/>
    <w:lvl w:ilvl="0" w:tplc="7AE2C1BC">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trackRevisions/>
  <w:defaultTabStop w:val="720"/>
  <w:characterSpacingControl w:val="doNotCompress"/>
  <w:footnotePr>
    <w:footnote w:id="-1"/>
    <w:footnote w:id="0"/>
  </w:footnotePr>
  <w:endnotePr>
    <w:endnote w:id="-1"/>
    <w:endnote w:id="0"/>
  </w:endnotePr>
  <w:compat>
    <w:useFELayout/>
  </w:compat>
  <w:rsids>
    <w:rsidRoot w:val="004B01D1"/>
    <w:rsid w:val="000004ED"/>
    <w:rsid w:val="000013A8"/>
    <w:rsid w:val="00003C48"/>
    <w:rsid w:val="000076C2"/>
    <w:rsid w:val="00015260"/>
    <w:rsid w:val="00022D8E"/>
    <w:rsid w:val="00023FCD"/>
    <w:rsid w:val="00025CA7"/>
    <w:rsid w:val="00027212"/>
    <w:rsid w:val="00027DE9"/>
    <w:rsid w:val="00027E23"/>
    <w:rsid w:val="00030DED"/>
    <w:rsid w:val="000322CC"/>
    <w:rsid w:val="000377F7"/>
    <w:rsid w:val="000405E4"/>
    <w:rsid w:val="00043F5A"/>
    <w:rsid w:val="0004566E"/>
    <w:rsid w:val="0005117C"/>
    <w:rsid w:val="000511D4"/>
    <w:rsid w:val="00055FB0"/>
    <w:rsid w:val="000573B9"/>
    <w:rsid w:val="00060E19"/>
    <w:rsid w:val="0006192F"/>
    <w:rsid w:val="0006292E"/>
    <w:rsid w:val="000631E1"/>
    <w:rsid w:val="00067775"/>
    <w:rsid w:val="00067BFC"/>
    <w:rsid w:val="00072113"/>
    <w:rsid w:val="00072FD4"/>
    <w:rsid w:val="0007541F"/>
    <w:rsid w:val="00075C66"/>
    <w:rsid w:val="00082E28"/>
    <w:rsid w:val="00085132"/>
    <w:rsid w:val="000871C1"/>
    <w:rsid w:val="00087511"/>
    <w:rsid w:val="0009291A"/>
    <w:rsid w:val="00095132"/>
    <w:rsid w:val="0009748E"/>
    <w:rsid w:val="00097F54"/>
    <w:rsid w:val="000A016C"/>
    <w:rsid w:val="000A078B"/>
    <w:rsid w:val="000A1AC4"/>
    <w:rsid w:val="000A3379"/>
    <w:rsid w:val="000A3F32"/>
    <w:rsid w:val="000A49AA"/>
    <w:rsid w:val="000A6D8F"/>
    <w:rsid w:val="000B1A03"/>
    <w:rsid w:val="000B217F"/>
    <w:rsid w:val="000B4A71"/>
    <w:rsid w:val="000B50DE"/>
    <w:rsid w:val="000C02A2"/>
    <w:rsid w:val="000C0537"/>
    <w:rsid w:val="000C0F0D"/>
    <w:rsid w:val="000C0FCA"/>
    <w:rsid w:val="000C3AE0"/>
    <w:rsid w:val="000D49E0"/>
    <w:rsid w:val="000D6D15"/>
    <w:rsid w:val="000E14B5"/>
    <w:rsid w:val="000E2A44"/>
    <w:rsid w:val="000E2C81"/>
    <w:rsid w:val="000E4157"/>
    <w:rsid w:val="000F1C39"/>
    <w:rsid w:val="000F3275"/>
    <w:rsid w:val="000F4873"/>
    <w:rsid w:val="000F62EA"/>
    <w:rsid w:val="001055BF"/>
    <w:rsid w:val="00106AAE"/>
    <w:rsid w:val="00107C4D"/>
    <w:rsid w:val="00111BDE"/>
    <w:rsid w:val="001121EA"/>
    <w:rsid w:val="001153FE"/>
    <w:rsid w:val="001203B0"/>
    <w:rsid w:val="00121C7D"/>
    <w:rsid w:val="00122669"/>
    <w:rsid w:val="00123441"/>
    <w:rsid w:val="0012603D"/>
    <w:rsid w:val="00127228"/>
    <w:rsid w:val="001300D5"/>
    <w:rsid w:val="0013271A"/>
    <w:rsid w:val="0013334C"/>
    <w:rsid w:val="00133970"/>
    <w:rsid w:val="00133B4A"/>
    <w:rsid w:val="00135565"/>
    <w:rsid w:val="00141AEA"/>
    <w:rsid w:val="00142551"/>
    <w:rsid w:val="001428C1"/>
    <w:rsid w:val="00142DBB"/>
    <w:rsid w:val="001436B9"/>
    <w:rsid w:val="00143FAC"/>
    <w:rsid w:val="0014429E"/>
    <w:rsid w:val="0014448B"/>
    <w:rsid w:val="00150BF1"/>
    <w:rsid w:val="001511BB"/>
    <w:rsid w:val="00151D64"/>
    <w:rsid w:val="001570AA"/>
    <w:rsid w:val="00157E57"/>
    <w:rsid w:val="00157F13"/>
    <w:rsid w:val="00163212"/>
    <w:rsid w:val="00164057"/>
    <w:rsid w:val="00172F51"/>
    <w:rsid w:val="00174A8A"/>
    <w:rsid w:val="001779E1"/>
    <w:rsid w:val="00180C3B"/>
    <w:rsid w:val="00182447"/>
    <w:rsid w:val="00185C68"/>
    <w:rsid w:val="00191C9C"/>
    <w:rsid w:val="0019235D"/>
    <w:rsid w:val="00194AD5"/>
    <w:rsid w:val="00196B68"/>
    <w:rsid w:val="0019776E"/>
    <w:rsid w:val="001A678D"/>
    <w:rsid w:val="001B35BB"/>
    <w:rsid w:val="001B3D65"/>
    <w:rsid w:val="001B414B"/>
    <w:rsid w:val="001B4CEC"/>
    <w:rsid w:val="001B7F40"/>
    <w:rsid w:val="001C04BD"/>
    <w:rsid w:val="001C271B"/>
    <w:rsid w:val="001C722C"/>
    <w:rsid w:val="001D026C"/>
    <w:rsid w:val="001D3E96"/>
    <w:rsid w:val="001D5EED"/>
    <w:rsid w:val="001D79D8"/>
    <w:rsid w:val="001E1236"/>
    <w:rsid w:val="001E23F5"/>
    <w:rsid w:val="001E3F70"/>
    <w:rsid w:val="001E4724"/>
    <w:rsid w:val="001F0E19"/>
    <w:rsid w:val="001F1089"/>
    <w:rsid w:val="001F4196"/>
    <w:rsid w:val="001F6489"/>
    <w:rsid w:val="00200BF4"/>
    <w:rsid w:val="00204C7B"/>
    <w:rsid w:val="002073F4"/>
    <w:rsid w:val="0020790F"/>
    <w:rsid w:val="00207AB7"/>
    <w:rsid w:val="00210942"/>
    <w:rsid w:val="00212F8A"/>
    <w:rsid w:val="00215D74"/>
    <w:rsid w:val="002163D3"/>
    <w:rsid w:val="00217183"/>
    <w:rsid w:val="00222D68"/>
    <w:rsid w:val="00225750"/>
    <w:rsid w:val="00226954"/>
    <w:rsid w:val="002328A1"/>
    <w:rsid w:val="00233630"/>
    <w:rsid w:val="00240C79"/>
    <w:rsid w:val="0024224C"/>
    <w:rsid w:val="00243F3F"/>
    <w:rsid w:val="002454A7"/>
    <w:rsid w:val="00250205"/>
    <w:rsid w:val="002503AB"/>
    <w:rsid w:val="00250C19"/>
    <w:rsid w:val="00251358"/>
    <w:rsid w:val="002521E2"/>
    <w:rsid w:val="002523DD"/>
    <w:rsid w:val="00252D28"/>
    <w:rsid w:val="002530A8"/>
    <w:rsid w:val="00253EC3"/>
    <w:rsid w:val="0025475E"/>
    <w:rsid w:val="00255516"/>
    <w:rsid w:val="00260671"/>
    <w:rsid w:val="00262319"/>
    <w:rsid w:val="0026328C"/>
    <w:rsid w:val="00271A89"/>
    <w:rsid w:val="00272060"/>
    <w:rsid w:val="00273F64"/>
    <w:rsid w:val="002743FB"/>
    <w:rsid w:val="00283F56"/>
    <w:rsid w:val="00284589"/>
    <w:rsid w:val="0029078F"/>
    <w:rsid w:val="002917B9"/>
    <w:rsid w:val="00295705"/>
    <w:rsid w:val="00295B20"/>
    <w:rsid w:val="002A071B"/>
    <w:rsid w:val="002A461E"/>
    <w:rsid w:val="002A46D3"/>
    <w:rsid w:val="002A78A5"/>
    <w:rsid w:val="002B06B9"/>
    <w:rsid w:val="002B0CBC"/>
    <w:rsid w:val="002B3052"/>
    <w:rsid w:val="002B5DC5"/>
    <w:rsid w:val="002B623A"/>
    <w:rsid w:val="002C10E6"/>
    <w:rsid w:val="002C2D75"/>
    <w:rsid w:val="002C2E76"/>
    <w:rsid w:val="002C3963"/>
    <w:rsid w:val="002C3DE8"/>
    <w:rsid w:val="002C4496"/>
    <w:rsid w:val="002C616D"/>
    <w:rsid w:val="002C7133"/>
    <w:rsid w:val="002D1E5E"/>
    <w:rsid w:val="002D23B7"/>
    <w:rsid w:val="002D2E4C"/>
    <w:rsid w:val="002D3041"/>
    <w:rsid w:val="002D4009"/>
    <w:rsid w:val="002D7609"/>
    <w:rsid w:val="002E1FC5"/>
    <w:rsid w:val="002E33C2"/>
    <w:rsid w:val="002E5609"/>
    <w:rsid w:val="002F0E4E"/>
    <w:rsid w:val="002F13F2"/>
    <w:rsid w:val="002F3156"/>
    <w:rsid w:val="002F6F04"/>
    <w:rsid w:val="002F7262"/>
    <w:rsid w:val="003010AA"/>
    <w:rsid w:val="003026AD"/>
    <w:rsid w:val="00312473"/>
    <w:rsid w:val="00312DC1"/>
    <w:rsid w:val="00314402"/>
    <w:rsid w:val="00314746"/>
    <w:rsid w:val="003153EB"/>
    <w:rsid w:val="00317B77"/>
    <w:rsid w:val="00321874"/>
    <w:rsid w:val="003239ED"/>
    <w:rsid w:val="003257FB"/>
    <w:rsid w:val="00327548"/>
    <w:rsid w:val="0033039E"/>
    <w:rsid w:val="00331518"/>
    <w:rsid w:val="00331569"/>
    <w:rsid w:val="00333E36"/>
    <w:rsid w:val="00337E9F"/>
    <w:rsid w:val="00343ED7"/>
    <w:rsid w:val="0034521B"/>
    <w:rsid w:val="003502CD"/>
    <w:rsid w:val="00353A1C"/>
    <w:rsid w:val="003570E8"/>
    <w:rsid w:val="00360C21"/>
    <w:rsid w:val="003617AB"/>
    <w:rsid w:val="003625E1"/>
    <w:rsid w:val="00362AF1"/>
    <w:rsid w:val="003705C4"/>
    <w:rsid w:val="00372A37"/>
    <w:rsid w:val="00372D0F"/>
    <w:rsid w:val="00373139"/>
    <w:rsid w:val="00374627"/>
    <w:rsid w:val="00375689"/>
    <w:rsid w:val="00377C68"/>
    <w:rsid w:val="0038224A"/>
    <w:rsid w:val="00382887"/>
    <w:rsid w:val="00383C44"/>
    <w:rsid w:val="00385B42"/>
    <w:rsid w:val="00385E51"/>
    <w:rsid w:val="00387063"/>
    <w:rsid w:val="00390FED"/>
    <w:rsid w:val="00391DAD"/>
    <w:rsid w:val="00396AD4"/>
    <w:rsid w:val="00396C01"/>
    <w:rsid w:val="0039709D"/>
    <w:rsid w:val="0039716C"/>
    <w:rsid w:val="003A102E"/>
    <w:rsid w:val="003A2343"/>
    <w:rsid w:val="003A24F0"/>
    <w:rsid w:val="003A4909"/>
    <w:rsid w:val="003A614B"/>
    <w:rsid w:val="003A76E9"/>
    <w:rsid w:val="003B0712"/>
    <w:rsid w:val="003B25A6"/>
    <w:rsid w:val="003B2AD0"/>
    <w:rsid w:val="003B337E"/>
    <w:rsid w:val="003B6B2E"/>
    <w:rsid w:val="003B7CEA"/>
    <w:rsid w:val="003B7E5D"/>
    <w:rsid w:val="003C08AF"/>
    <w:rsid w:val="003C2720"/>
    <w:rsid w:val="003C30DA"/>
    <w:rsid w:val="003C71BA"/>
    <w:rsid w:val="003C73FC"/>
    <w:rsid w:val="003D01AE"/>
    <w:rsid w:val="003D48CF"/>
    <w:rsid w:val="003D4F9B"/>
    <w:rsid w:val="003E184E"/>
    <w:rsid w:val="003E1B80"/>
    <w:rsid w:val="003E33D2"/>
    <w:rsid w:val="003E40C5"/>
    <w:rsid w:val="003E700A"/>
    <w:rsid w:val="003F2A6F"/>
    <w:rsid w:val="003F3454"/>
    <w:rsid w:val="00402221"/>
    <w:rsid w:val="004025DB"/>
    <w:rsid w:val="00405154"/>
    <w:rsid w:val="00405643"/>
    <w:rsid w:val="00405F8A"/>
    <w:rsid w:val="0040603C"/>
    <w:rsid w:val="004129A7"/>
    <w:rsid w:val="00412F58"/>
    <w:rsid w:val="0041303B"/>
    <w:rsid w:val="004136FB"/>
    <w:rsid w:val="00413791"/>
    <w:rsid w:val="00417A24"/>
    <w:rsid w:val="004213FD"/>
    <w:rsid w:val="0042318A"/>
    <w:rsid w:val="0042360B"/>
    <w:rsid w:val="004243C7"/>
    <w:rsid w:val="00424512"/>
    <w:rsid w:val="004253D6"/>
    <w:rsid w:val="004274B9"/>
    <w:rsid w:val="004342CB"/>
    <w:rsid w:val="004346E6"/>
    <w:rsid w:val="0043647F"/>
    <w:rsid w:val="00441516"/>
    <w:rsid w:val="00443E7A"/>
    <w:rsid w:val="00444E13"/>
    <w:rsid w:val="004479CD"/>
    <w:rsid w:val="00450AF3"/>
    <w:rsid w:val="0045326F"/>
    <w:rsid w:val="00453A11"/>
    <w:rsid w:val="00453DEE"/>
    <w:rsid w:val="00455CC2"/>
    <w:rsid w:val="00455FDA"/>
    <w:rsid w:val="0046090B"/>
    <w:rsid w:val="0046447C"/>
    <w:rsid w:val="0046506C"/>
    <w:rsid w:val="004651EA"/>
    <w:rsid w:val="0046625B"/>
    <w:rsid w:val="0046626B"/>
    <w:rsid w:val="0046709E"/>
    <w:rsid w:val="004674FE"/>
    <w:rsid w:val="00471161"/>
    <w:rsid w:val="00472095"/>
    <w:rsid w:val="00473CE6"/>
    <w:rsid w:val="00476E42"/>
    <w:rsid w:val="004779CB"/>
    <w:rsid w:val="004905E8"/>
    <w:rsid w:val="00493CF9"/>
    <w:rsid w:val="0049556F"/>
    <w:rsid w:val="004A3466"/>
    <w:rsid w:val="004B01D1"/>
    <w:rsid w:val="004B152B"/>
    <w:rsid w:val="004B2395"/>
    <w:rsid w:val="004B3315"/>
    <w:rsid w:val="004B45C6"/>
    <w:rsid w:val="004B4CC4"/>
    <w:rsid w:val="004B55D2"/>
    <w:rsid w:val="004C50E1"/>
    <w:rsid w:val="004C621E"/>
    <w:rsid w:val="004C69DA"/>
    <w:rsid w:val="004D46FD"/>
    <w:rsid w:val="004E0FD8"/>
    <w:rsid w:val="004E14AC"/>
    <w:rsid w:val="004E3128"/>
    <w:rsid w:val="004E3851"/>
    <w:rsid w:val="004E4279"/>
    <w:rsid w:val="004F0A74"/>
    <w:rsid w:val="004F5275"/>
    <w:rsid w:val="004F6889"/>
    <w:rsid w:val="005041BF"/>
    <w:rsid w:val="00505E91"/>
    <w:rsid w:val="00505EBC"/>
    <w:rsid w:val="0050634B"/>
    <w:rsid w:val="00513B5C"/>
    <w:rsid w:val="0051530A"/>
    <w:rsid w:val="00516C24"/>
    <w:rsid w:val="00520D8A"/>
    <w:rsid w:val="005237E3"/>
    <w:rsid w:val="00527AC7"/>
    <w:rsid w:val="00530B04"/>
    <w:rsid w:val="00530FAB"/>
    <w:rsid w:val="00532A10"/>
    <w:rsid w:val="00533780"/>
    <w:rsid w:val="005348EE"/>
    <w:rsid w:val="00536A1A"/>
    <w:rsid w:val="00541316"/>
    <w:rsid w:val="00541A78"/>
    <w:rsid w:val="005420F1"/>
    <w:rsid w:val="00545F31"/>
    <w:rsid w:val="00547823"/>
    <w:rsid w:val="0055011A"/>
    <w:rsid w:val="00552F02"/>
    <w:rsid w:val="005535C3"/>
    <w:rsid w:val="00555E04"/>
    <w:rsid w:val="00560328"/>
    <w:rsid w:val="00561BC5"/>
    <w:rsid w:val="00563B85"/>
    <w:rsid w:val="005647F5"/>
    <w:rsid w:val="00566314"/>
    <w:rsid w:val="005679B2"/>
    <w:rsid w:val="00570CC5"/>
    <w:rsid w:val="00570DC7"/>
    <w:rsid w:val="005727B5"/>
    <w:rsid w:val="00573C0D"/>
    <w:rsid w:val="00574FFB"/>
    <w:rsid w:val="00575E1D"/>
    <w:rsid w:val="00580D3A"/>
    <w:rsid w:val="005814C8"/>
    <w:rsid w:val="005878EA"/>
    <w:rsid w:val="005878EB"/>
    <w:rsid w:val="00592142"/>
    <w:rsid w:val="0059377E"/>
    <w:rsid w:val="005946D3"/>
    <w:rsid w:val="005974BA"/>
    <w:rsid w:val="005A568F"/>
    <w:rsid w:val="005A5BA8"/>
    <w:rsid w:val="005A70B3"/>
    <w:rsid w:val="005A74B6"/>
    <w:rsid w:val="005B0446"/>
    <w:rsid w:val="005B10DE"/>
    <w:rsid w:val="005B3CB4"/>
    <w:rsid w:val="005B5C13"/>
    <w:rsid w:val="005B625C"/>
    <w:rsid w:val="005B725F"/>
    <w:rsid w:val="005C0970"/>
    <w:rsid w:val="005C1B07"/>
    <w:rsid w:val="005C3800"/>
    <w:rsid w:val="005C4190"/>
    <w:rsid w:val="005C4963"/>
    <w:rsid w:val="005C77D6"/>
    <w:rsid w:val="005C7990"/>
    <w:rsid w:val="005D5012"/>
    <w:rsid w:val="005D5ED7"/>
    <w:rsid w:val="005E0687"/>
    <w:rsid w:val="005E0C72"/>
    <w:rsid w:val="005E3B4F"/>
    <w:rsid w:val="005E5E70"/>
    <w:rsid w:val="005F0358"/>
    <w:rsid w:val="005F05C9"/>
    <w:rsid w:val="005F498A"/>
    <w:rsid w:val="005F5899"/>
    <w:rsid w:val="00601C46"/>
    <w:rsid w:val="00602EFC"/>
    <w:rsid w:val="00605F99"/>
    <w:rsid w:val="00606210"/>
    <w:rsid w:val="00606631"/>
    <w:rsid w:val="00607789"/>
    <w:rsid w:val="00611617"/>
    <w:rsid w:val="00612D76"/>
    <w:rsid w:val="00613319"/>
    <w:rsid w:val="006154AB"/>
    <w:rsid w:val="0061624A"/>
    <w:rsid w:val="00616A89"/>
    <w:rsid w:val="00624624"/>
    <w:rsid w:val="00624E4E"/>
    <w:rsid w:val="00626F92"/>
    <w:rsid w:val="006278A4"/>
    <w:rsid w:val="00632551"/>
    <w:rsid w:val="006341A1"/>
    <w:rsid w:val="00635B9E"/>
    <w:rsid w:val="0064185E"/>
    <w:rsid w:val="00641C0C"/>
    <w:rsid w:val="006475F8"/>
    <w:rsid w:val="0065117A"/>
    <w:rsid w:val="00651797"/>
    <w:rsid w:val="006540AF"/>
    <w:rsid w:val="00660E18"/>
    <w:rsid w:val="00662511"/>
    <w:rsid w:val="0066278B"/>
    <w:rsid w:val="00664D6F"/>
    <w:rsid w:val="006652C4"/>
    <w:rsid w:val="0066537B"/>
    <w:rsid w:val="00672C15"/>
    <w:rsid w:val="0067307C"/>
    <w:rsid w:val="006751B4"/>
    <w:rsid w:val="00675C4F"/>
    <w:rsid w:val="00675F85"/>
    <w:rsid w:val="006829AF"/>
    <w:rsid w:val="00684570"/>
    <w:rsid w:val="00686523"/>
    <w:rsid w:val="00693CAD"/>
    <w:rsid w:val="00694F52"/>
    <w:rsid w:val="00695765"/>
    <w:rsid w:val="006969AE"/>
    <w:rsid w:val="006A03AF"/>
    <w:rsid w:val="006A0F3B"/>
    <w:rsid w:val="006A1ADC"/>
    <w:rsid w:val="006A2321"/>
    <w:rsid w:val="006A30BF"/>
    <w:rsid w:val="006A6078"/>
    <w:rsid w:val="006A7B90"/>
    <w:rsid w:val="006B072E"/>
    <w:rsid w:val="006B1693"/>
    <w:rsid w:val="006B1805"/>
    <w:rsid w:val="006B2F4D"/>
    <w:rsid w:val="006B5452"/>
    <w:rsid w:val="006B5A1A"/>
    <w:rsid w:val="006B5C04"/>
    <w:rsid w:val="006B70BB"/>
    <w:rsid w:val="006B73E2"/>
    <w:rsid w:val="006C4250"/>
    <w:rsid w:val="006C49A5"/>
    <w:rsid w:val="006C6B2C"/>
    <w:rsid w:val="006D1D14"/>
    <w:rsid w:val="006D2368"/>
    <w:rsid w:val="006D27EE"/>
    <w:rsid w:val="006D418F"/>
    <w:rsid w:val="006D5A77"/>
    <w:rsid w:val="006D7438"/>
    <w:rsid w:val="006E141F"/>
    <w:rsid w:val="006E3004"/>
    <w:rsid w:val="006E4929"/>
    <w:rsid w:val="006E7D33"/>
    <w:rsid w:val="006F2F41"/>
    <w:rsid w:val="006F6746"/>
    <w:rsid w:val="00702244"/>
    <w:rsid w:val="00702E24"/>
    <w:rsid w:val="00703B92"/>
    <w:rsid w:val="00704F2B"/>
    <w:rsid w:val="00706666"/>
    <w:rsid w:val="007200B0"/>
    <w:rsid w:val="00721005"/>
    <w:rsid w:val="00721E02"/>
    <w:rsid w:val="007253BE"/>
    <w:rsid w:val="007269EC"/>
    <w:rsid w:val="00727A6B"/>
    <w:rsid w:val="00730C52"/>
    <w:rsid w:val="0073216C"/>
    <w:rsid w:val="0073416C"/>
    <w:rsid w:val="00736BBB"/>
    <w:rsid w:val="00736E05"/>
    <w:rsid w:val="0073738E"/>
    <w:rsid w:val="00742B76"/>
    <w:rsid w:val="00744944"/>
    <w:rsid w:val="00747043"/>
    <w:rsid w:val="00750D67"/>
    <w:rsid w:val="00752402"/>
    <w:rsid w:val="0075251C"/>
    <w:rsid w:val="007533C4"/>
    <w:rsid w:val="007570F6"/>
    <w:rsid w:val="00757774"/>
    <w:rsid w:val="00760289"/>
    <w:rsid w:val="00760B79"/>
    <w:rsid w:val="00762FA0"/>
    <w:rsid w:val="00763615"/>
    <w:rsid w:val="00772CE4"/>
    <w:rsid w:val="007806B5"/>
    <w:rsid w:val="00781FA3"/>
    <w:rsid w:val="00786285"/>
    <w:rsid w:val="00786D42"/>
    <w:rsid w:val="00791B69"/>
    <w:rsid w:val="00791BEE"/>
    <w:rsid w:val="00792133"/>
    <w:rsid w:val="007922AC"/>
    <w:rsid w:val="00792EF5"/>
    <w:rsid w:val="00793026"/>
    <w:rsid w:val="007A1625"/>
    <w:rsid w:val="007A5497"/>
    <w:rsid w:val="007A5B84"/>
    <w:rsid w:val="007A5CF9"/>
    <w:rsid w:val="007A6CD9"/>
    <w:rsid w:val="007B1A40"/>
    <w:rsid w:val="007B264C"/>
    <w:rsid w:val="007B2FE3"/>
    <w:rsid w:val="007B5509"/>
    <w:rsid w:val="007B7B25"/>
    <w:rsid w:val="007C0B59"/>
    <w:rsid w:val="007C22B8"/>
    <w:rsid w:val="007C3463"/>
    <w:rsid w:val="007C75F7"/>
    <w:rsid w:val="007C787E"/>
    <w:rsid w:val="007D23B9"/>
    <w:rsid w:val="007D626A"/>
    <w:rsid w:val="007D7C89"/>
    <w:rsid w:val="007E3E2E"/>
    <w:rsid w:val="007E43BC"/>
    <w:rsid w:val="007E4BC1"/>
    <w:rsid w:val="007E4C80"/>
    <w:rsid w:val="007E5A16"/>
    <w:rsid w:val="007F0B15"/>
    <w:rsid w:val="007F102D"/>
    <w:rsid w:val="007F1419"/>
    <w:rsid w:val="007F2E0A"/>
    <w:rsid w:val="007F3AB4"/>
    <w:rsid w:val="0080328F"/>
    <w:rsid w:val="00804718"/>
    <w:rsid w:val="00806140"/>
    <w:rsid w:val="00814DA1"/>
    <w:rsid w:val="0081717A"/>
    <w:rsid w:val="00817754"/>
    <w:rsid w:val="00820445"/>
    <w:rsid w:val="00820B4D"/>
    <w:rsid w:val="00823202"/>
    <w:rsid w:val="00827917"/>
    <w:rsid w:val="008312F4"/>
    <w:rsid w:val="00833023"/>
    <w:rsid w:val="008342B2"/>
    <w:rsid w:val="00840337"/>
    <w:rsid w:val="00840968"/>
    <w:rsid w:val="00840F7E"/>
    <w:rsid w:val="008448DE"/>
    <w:rsid w:val="00844BF3"/>
    <w:rsid w:val="00846996"/>
    <w:rsid w:val="00847545"/>
    <w:rsid w:val="00847B0D"/>
    <w:rsid w:val="008506D9"/>
    <w:rsid w:val="00851B17"/>
    <w:rsid w:val="00855D69"/>
    <w:rsid w:val="00862C2A"/>
    <w:rsid w:val="008630A7"/>
    <w:rsid w:val="008638BB"/>
    <w:rsid w:val="00865025"/>
    <w:rsid w:val="0086688B"/>
    <w:rsid w:val="00866D21"/>
    <w:rsid w:val="00867001"/>
    <w:rsid w:val="00867AF4"/>
    <w:rsid w:val="00871042"/>
    <w:rsid w:val="00874BE6"/>
    <w:rsid w:val="00875E7F"/>
    <w:rsid w:val="00876917"/>
    <w:rsid w:val="00876C03"/>
    <w:rsid w:val="00876F58"/>
    <w:rsid w:val="00880ED7"/>
    <w:rsid w:val="0088189C"/>
    <w:rsid w:val="00882116"/>
    <w:rsid w:val="00882C15"/>
    <w:rsid w:val="008837C3"/>
    <w:rsid w:val="00891EFA"/>
    <w:rsid w:val="008A36EA"/>
    <w:rsid w:val="008A3E2E"/>
    <w:rsid w:val="008A4D2A"/>
    <w:rsid w:val="008A4EEE"/>
    <w:rsid w:val="008A52DD"/>
    <w:rsid w:val="008A5D08"/>
    <w:rsid w:val="008B1327"/>
    <w:rsid w:val="008B326B"/>
    <w:rsid w:val="008B3C64"/>
    <w:rsid w:val="008B5746"/>
    <w:rsid w:val="008B6073"/>
    <w:rsid w:val="008B7786"/>
    <w:rsid w:val="008C29E9"/>
    <w:rsid w:val="008C54A5"/>
    <w:rsid w:val="008C6320"/>
    <w:rsid w:val="008C75F8"/>
    <w:rsid w:val="008D03F4"/>
    <w:rsid w:val="008D0D53"/>
    <w:rsid w:val="008D2CD3"/>
    <w:rsid w:val="008D38CA"/>
    <w:rsid w:val="008D71FF"/>
    <w:rsid w:val="008D7FFB"/>
    <w:rsid w:val="008E0235"/>
    <w:rsid w:val="008E2CE9"/>
    <w:rsid w:val="008E37BE"/>
    <w:rsid w:val="008E7AB4"/>
    <w:rsid w:val="008F206F"/>
    <w:rsid w:val="008F2EDA"/>
    <w:rsid w:val="008F2FEB"/>
    <w:rsid w:val="008F3764"/>
    <w:rsid w:val="008F3C30"/>
    <w:rsid w:val="008F6206"/>
    <w:rsid w:val="008F7AA9"/>
    <w:rsid w:val="009032C4"/>
    <w:rsid w:val="00904604"/>
    <w:rsid w:val="00906F9E"/>
    <w:rsid w:val="00913A15"/>
    <w:rsid w:val="00913E9B"/>
    <w:rsid w:val="00914986"/>
    <w:rsid w:val="00914CA4"/>
    <w:rsid w:val="00917A63"/>
    <w:rsid w:val="009207F6"/>
    <w:rsid w:val="0092235C"/>
    <w:rsid w:val="0093003A"/>
    <w:rsid w:val="009306BE"/>
    <w:rsid w:val="00930CD9"/>
    <w:rsid w:val="00931631"/>
    <w:rsid w:val="00932F9D"/>
    <w:rsid w:val="009346F8"/>
    <w:rsid w:val="009433F6"/>
    <w:rsid w:val="00943B69"/>
    <w:rsid w:val="00943C74"/>
    <w:rsid w:val="009448C2"/>
    <w:rsid w:val="00945108"/>
    <w:rsid w:val="00945F4F"/>
    <w:rsid w:val="00947A2E"/>
    <w:rsid w:val="0095067D"/>
    <w:rsid w:val="00952835"/>
    <w:rsid w:val="0095759D"/>
    <w:rsid w:val="009611DD"/>
    <w:rsid w:val="00961388"/>
    <w:rsid w:val="0096220F"/>
    <w:rsid w:val="009634C7"/>
    <w:rsid w:val="00964540"/>
    <w:rsid w:val="00966667"/>
    <w:rsid w:val="0096712D"/>
    <w:rsid w:val="009677D4"/>
    <w:rsid w:val="00970739"/>
    <w:rsid w:val="009711E2"/>
    <w:rsid w:val="009725CB"/>
    <w:rsid w:val="009731AA"/>
    <w:rsid w:val="009751C1"/>
    <w:rsid w:val="00980F47"/>
    <w:rsid w:val="00982FF0"/>
    <w:rsid w:val="009841F9"/>
    <w:rsid w:val="00984E3F"/>
    <w:rsid w:val="00990C56"/>
    <w:rsid w:val="00992E41"/>
    <w:rsid w:val="009942E7"/>
    <w:rsid w:val="0099619B"/>
    <w:rsid w:val="009A0F6D"/>
    <w:rsid w:val="009A2E12"/>
    <w:rsid w:val="009A62C7"/>
    <w:rsid w:val="009B0524"/>
    <w:rsid w:val="009B4816"/>
    <w:rsid w:val="009B550B"/>
    <w:rsid w:val="009B5712"/>
    <w:rsid w:val="009B6419"/>
    <w:rsid w:val="009C35CC"/>
    <w:rsid w:val="009C49C9"/>
    <w:rsid w:val="009C6FDB"/>
    <w:rsid w:val="009C71A7"/>
    <w:rsid w:val="009D0CED"/>
    <w:rsid w:val="009E1C78"/>
    <w:rsid w:val="009E4614"/>
    <w:rsid w:val="009E5F24"/>
    <w:rsid w:val="009E6B81"/>
    <w:rsid w:val="009F172F"/>
    <w:rsid w:val="009F7486"/>
    <w:rsid w:val="00A000C6"/>
    <w:rsid w:val="00A07CE8"/>
    <w:rsid w:val="00A135C1"/>
    <w:rsid w:val="00A168AC"/>
    <w:rsid w:val="00A17B49"/>
    <w:rsid w:val="00A21B02"/>
    <w:rsid w:val="00A226D8"/>
    <w:rsid w:val="00A22D9A"/>
    <w:rsid w:val="00A25A7E"/>
    <w:rsid w:val="00A27058"/>
    <w:rsid w:val="00A36438"/>
    <w:rsid w:val="00A4069B"/>
    <w:rsid w:val="00A41773"/>
    <w:rsid w:val="00A4214F"/>
    <w:rsid w:val="00A43F00"/>
    <w:rsid w:val="00A45AB4"/>
    <w:rsid w:val="00A52E30"/>
    <w:rsid w:val="00A54BC4"/>
    <w:rsid w:val="00A6346E"/>
    <w:rsid w:val="00A63A61"/>
    <w:rsid w:val="00A63A6C"/>
    <w:rsid w:val="00A63D91"/>
    <w:rsid w:val="00A71131"/>
    <w:rsid w:val="00A7229C"/>
    <w:rsid w:val="00A731EC"/>
    <w:rsid w:val="00A7465E"/>
    <w:rsid w:val="00A7740D"/>
    <w:rsid w:val="00A813DE"/>
    <w:rsid w:val="00A8156F"/>
    <w:rsid w:val="00A835E7"/>
    <w:rsid w:val="00A8553C"/>
    <w:rsid w:val="00A8602F"/>
    <w:rsid w:val="00A861C2"/>
    <w:rsid w:val="00A871BA"/>
    <w:rsid w:val="00A87532"/>
    <w:rsid w:val="00A9130E"/>
    <w:rsid w:val="00A92546"/>
    <w:rsid w:val="00A928B6"/>
    <w:rsid w:val="00A9743B"/>
    <w:rsid w:val="00A978FE"/>
    <w:rsid w:val="00AA28E2"/>
    <w:rsid w:val="00AA3C4E"/>
    <w:rsid w:val="00AB0574"/>
    <w:rsid w:val="00AB3E68"/>
    <w:rsid w:val="00AB4493"/>
    <w:rsid w:val="00AB6E7F"/>
    <w:rsid w:val="00AC00B1"/>
    <w:rsid w:val="00AC14FB"/>
    <w:rsid w:val="00AC3236"/>
    <w:rsid w:val="00AC5446"/>
    <w:rsid w:val="00AC67C3"/>
    <w:rsid w:val="00AD02FB"/>
    <w:rsid w:val="00AD2298"/>
    <w:rsid w:val="00AD3716"/>
    <w:rsid w:val="00AD69BE"/>
    <w:rsid w:val="00AE00A0"/>
    <w:rsid w:val="00AE2465"/>
    <w:rsid w:val="00AE4036"/>
    <w:rsid w:val="00AE44AE"/>
    <w:rsid w:val="00AE739F"/>
    <w:rsid w:val="00AF4938"/>
    <w:rsid w:val="00AF53E3"/>
    <w:rsid w:val="00B03F30"/>
    <w:rsid w:val="00B046CD"/>
    <w:rsid w:val="00B13A06"/>
    <w:rsid w:val="00B144F7"/>
    <w:rsid w:val="00B156DC"/>
    <w:rsid w:val="00B15B85"/>
    <w:rsid w:val="00B15F41"/>
    <w:rsid w:val="00B16759"/>
    <w:rsid w:val="00B17F78"/>
    <w:rsid w:val="00B23D47"/>
    <w:rsid w:val="00B2420E"/>
    <w:rsid w:val="00B27656"/>
    <w:rsid w:val="00B30700"/>
    <w:rsid w:val="00B336D8"/>
    <w:rsid w:val="00B34F45"/>
    <w:rsid w:val="00B40AE2"/>
    <w:rsid w:val="00B42EB4"/>
    <w:rsid w:val="00B44A6A"/>
    <w:rsid w:val="00B45142"/>
    <w:rsid w:val="00B4539A"/>
    <w:rsid w:val="00B45575"/>
    <w:rsid w:val="00B45939"/>
    <w:rsid w:val="00B45E23"/>
    <w:rsid w:val="00B4769A"/>
    <w:rsid w:val="00B47DF6"/>
    <w:rsid w:val="00B5074B"/>
    <w:rsid w:val="00B50B07"/>
    <w:rsid w:val="00B50E95"/>
    <w:rsid w:val="00B5468A"/>
    <w:rsid w:val="00B55433"/>
    <w:rsid w:val="00B55B14"/>
    <w:rsid w:val="00B55D98"/>
    <w:rsid w:val="00B610AE"/>
    <w:rsid w:val="00B6118E"/>
    <w:rsid w:val="00B65F94"/>
    <w:rsid w:val="00B720B7"/>
    <w:rsid w:val="00B73B5E"/>
    <w:rsid w:val="00B74F49"/>
    <w:rsid w:val="00B80735"/>
    <w:rsid w:val="00B8081B"/>
    <w:rsid w:val="00B830CB"/>
    <w:rsid w:val="00B8351C"/>
    <w:rsid w:val="00B86747"/>
    <w:rsid w:val="00B907E1"/>
    <w:rsid w:val="00B92982"/>
    <w:rsid w:val="00B92D1B"/>
    <w:rsid w:val="00B93E4A"/>
    <w:rsid w:val="00B9523D"/>
    <w:rsid w:val="00B97E5B"/>
    <w:rsid w:val="00BA1C55"/>
    <w:rsid w:val="00BA29F2"/>
    <w:rsid w:val="00BA51EA"/>
    <w:rsid w:val="00BA6C09"/>
    <w:rsid w:val="00BB105C"/>
    <w:rsid w:val="00BB48D5"/>
    <w:rsid w:val="00BB62AC"/>
    <w:rsid w:val="00BB6CBD"/>
    <w:rsid w:val="00BC18DA"/>
    <w:rsid w:val="00BC365F"/>
    <w:rsid w:val="00BD7E89"/>
    <w:rsid w:val="00BE0780"/>
    <w:rsid w:val="00BE1155"/>
    <w:rsid w:val="00BE4D89"/>
    <w:rsid w:val="00BE5EA2"/>
    <w:rsid w:val="00BE6E2F"/>
    <w:rsid w:val="00BE6EFF"/>
    <w:rsid w:val="00BE7755"/>
    <w:rsid w:val="00BF5686"/>
    <w:rsid w:val="00BF5ECE"/>
    <w:rsid w:val="00BF7C67"/>
    <w:rsid w:val="00C053DE"/>
    <w:rsid w:val="00C064C4"/>
    <w:rsid w:val="00C11FD2"/>
    <w:rsid w:val="00C121E2"/>
    <w:rsid w:val="00C17E83"/>
    <w:rsid w:val="00C21A69"/>
    <w:rsid w:val="00C226B1"/>
    <w:rsid w:val="00C22C52"/>
    <w:rsid w:val="00C22E34"/>
    <w:rsid w:val="00C239AE"/>
    <w:rsid w:val="00C24FD3"/>
    <w:rsid w:val="00C25352"/>
    <w:rsid w:val="00C257ED"/>
    <w:rsid w:val="00C26D5E"/>
    <w:rsid w:val="00C26DE9"/>
    <w:rsid w:val="00C2740C"/>
    <w:rsid w:val="00C3078E"/>
    <w:rsid w:val="00C31FC7"/>
    <w:rsid w:val="00C32626"/>
    <w:rsid w:val="00C34AEF"/>
    <w:rsid w:val="00C40A01"/>
    <w:rsid w:val="00C41385"/>
    <w:rsid w:val="00C42539"/>
    <w:rsid w:val="00C43091"/>
    <w:rsid w:val="00C456E6"/>
    <w:rsid w:val="00C64B96"/>
    <w:rsid w:val="00C66E55"/>
    <w:rsid w:val="00C670F7"/>
    <w:rsid w:val="00C72455"/>
    <w:rsid w:val="00C733F0"/>
    <w:rsid w:val="00C83AC2"/>
    <w:rsid w:val="00C83F2D"/>
    <w:rsid w:val="00C85BEE"/>
    <w:rsid w:val="00C86EB6"/>
    <w:rsid w:val="00C87590"/>
    <w:rsid w:val="00C87C3A"/>
    <w:rsid w:val="00C91FFF"/>
    <w:rsid w:val="00C9303A"/>
    <w:rsid w:val="00C97B16"/>
    <w:rsid w:val="00C97FDD"/>
    <w:rsid w:val="00CA2A0B"/>
    <w:rsid w:val="00CA38E0"/>
    <w:rsid w:val="00CA42E5"/>
    <w:rsid w:val="00CA42EF"/>
    <w:rsid w:val="00CA7E08"/>
    <w:rsid w:val="00CB2272"/>
    <w:rsid w:val="00CB30BA"/>
    <w:rsid w:val="00CB6C2C"/>
    <w:rsid w:val="00CB7A5E"/>
    <w:rsid w:val="00CC1A0E"/>
    <w:rsid w:val="00CC3FB9"/>
    <w:rsid w:val="00CC429D"/>
    <w:rsid w:val="00CC5796"/>
    <w:rsid w:val="00CC6DE1"/>
    <w:rsid w:val="00CD0812"/>
    <w:rsid w:val="00CD13FF"/>
    <w:rsid w:val="00CD19A8"/>
    <w:rsid w:val="00CD2914"/>
    <w:rsid w:val="00CD3C38"/>
    <w:rsid w:val="00CD3E01"/>
    <w:rsid w:val="00CD6942"/>
    <w:rsid w:val="00CE0D48"/>
    <w:rsid w:val="00CE18FF"/>
    <w:rsid w:val="00CE4FCD"/>
    <w:rsid w:val="00CE6F75"/>
    <w:rsid w:val="00CE78C4"/>
    <w:rsid w:val="00CF0376"/>
    <w:rsid w:val="00CF406C"/>
    <w:rsid w:val="00CF4587"/>
    <w:rsid w:val="00D04CB1"/>
    <w:rsid w:val="00D07221"/>
    <w:rsid w:val="00D07B1F"/>
    <w:rsid w:val="00D2026A"/>
    <w:rsid w:val="00D202D6"/>
    <w:rsid w:val="00D233FB"/>
    <w:rsid w:val="00D23F95"/>
    <w:rsid w:val="00D252A1"/>
    <w:rsid w:val="00D32CD9"/>
    <w:rsid w:val="00D3319B"/>
    <w:rsid w:val="00D37ECA"/>
    <w:rsid w:val="00D40B43"/>
    <w:rsid w:val="00D41A8B"/>
    <w:rsid w:val="00D425B8"/>
    <w:rsid w:val="00D429EC"/>
    <w:rsid w:val="00D440D1"/>
    <w:rsid w:val="00D4424C"/>
    <w:rsid w:val="00D44DA4"/>
    <w:rsid w:val="00D465C7"/>
    <w:rsid w:val="00D53CFC"/>
    <w:rsid w:val="00D5429E"/>
    <w:rsid w:val="00D54D38"/>
    <w:rsid w:val="00D57F2E"/>
    <w:rsid w:val="00D606E4"/>
    <w:rsid w:val="00D62BF1"/>
    <w:rsid w:val="00D653F5"/>
    <w:rsid w:val="00D66CD3"/>
    <w:rsid w:val="00D70E36"/>
    <w:rsid w:val="00D71692"/>
    <w:rsid w:val="00D76D49"/>
    <w:rsid w:val="00D80927"/>
    <w:rsid w:val="00D80F26"/>
    <w:rsid w:val="00D81147"/>
    <w:rsid w:val="00D82797"/>
    <w:rsid w:val="00D836B6"/>
    <w:rsid w:val="00D84503"/>
    <w:rsid w:val="00D86403"/>
    <w:rsid w:val="00D94163"/>
    <w:rsid w:val="00D943EC"/>
    <w:rsid w:val="00D95B41"/>
    <w:rsid w:val="00D96169"/>
    <w:rsid w:val="00D97C65"/>
    <w:rsid w:val="00DA0809"/>
    <w:rsid w:val="00DA1F2F"/>
    <w:rsid w:val="00DA23E9"/>
    <w:rsid w:val="00DA2685"/>
    <w:rsid w:val="00DA2768"/>
    <w:rsid w:val="00DA3267"/>
    <w:rsid w:val="00DA7DAB"/>
    <w:rsid w:val="00DB45EC"/>
    <w:rsid w:val="00DB5402"/>
    <w:rsid w:val="00DB6FCC"/>
    <w:rsid w:val="00DC0D26"/>
    <w:rsid w:val="00DC0EF3"/>
    <w:rsid w:val="00DC3283"/>
    <w:rsid w:val="00DD10BF"/>
    <w:rsid w:val="00DD2A89"/>
    <w:rsid w:val="00DD72AC"/>
    <w:rsid w:val="00DD7DB7"/>
    <w:rsid w:val="00DE4EB8"/>
    <w:rsid w:val="00DE6784"/>
    <w:rsid w:val="00DE69B4"/>
    <w:rsid w:val="00DE6F97"/>
    <w:rsid w:val="00DF1BD0"/>
    <w:rsid w:val="00DF1C13"/>
    <w:rsid w:val="00DF299C"/>
    <w:rsid w:val="00DF3727"/>
    <w:rsid w:val="00E013FF"/>
    <w:rsid w:val="00E01AA8"/>
    <w:rsid w:val="00E02671"/>
    <w:rsid w:val="00E07869"/>
    <w:rsid w:val="00E078B4"/>
    <w:rsid w:val="00E10EE0"/>
    <w:rsid w:val="00E12325"/>
    <w:rsid w:val="00E12CB9"/>
    <w:rsid w:val="00E12E06"/>
    <w:rsid w:val="00E12E56"/>
    <w:rsid w:val="00E21A40"/>
    <w:rsid w:val="00E21B73"/>
    <w:rsid w:val="00E2377E"/>
    <w:rsid w:val="00E23A93"/>
    <w:rsid w:val="00E2543A"/>
    <w:rsid w:val="00E25ED2"/>
    <w:rsid w:val="00E31F28"/>
    <w:rsid w:val="00E32DEF"/>
    <w:rsid w:val="00E339F7"/>
    <w:rsid w:val="00E36DE9"/>
    <w:rsid w:val="00E409E7"/>
    <w:rsid w:val="00E40AAE"/>
    <w:rsid w:val="00E41131"/>
    <w:rsid w:val="00E412CB"/>
    <w:rsid w:val="00E5014D"/>
    <w:rsid w:val="00E515DB"/>
    <w:rsid w:val="00E5407A"/>
    <w:rsid w:val="00E54D81"/>
    <w:rsid w:val="00E607D6"/>
    <w:rsid w:val="00E6432C"/>
    <w:rsid w:val="00E65B35"/>
    <w:rsid w:val="00E668E3"/>
    <w:rsid w:val="00E75939"/>
    <w:rsid w:val="00E769D3"/>
    <w:rsid w:val="00E80765"/>
    <w:rsid w:val="00E81A96"/>
    <w:rsid w:val="00E872C1"/>
    <w:rsid w:val="00E92369"/>
    <w:rsid w:val="00E92A62"/>
    <w:rsid w:val="00E94152"/>
    <w:rsid w:val="00E96F33"/>
    <w:rsid w:val="00EA020C"/>
    <w:rsid w:val="00EA0FD8"/>
    <w:rsid w:val="00EA1014"/>
    <w:rsid w:val="00EA3770"/>
    <w:rsid w:val="00EA4C6D"/>
    <w:rsid w:val="00EB0C43"/>
    <w:rsid w:val="00EB1121"/>
    <w:rsid w:val="00EB48E9"/>
    <w:rsid w:val="00EC29A2"/>
    <w:rsid w:val="00EC4EFE"/>
    <w:rsid w:val="00EC5EB0"/>
    <w:rsid w:val="00EC5FF5"/>
    <w:rsid w:val="00EC67E6"/>
    <w:rsid w:val="00EC6ABB"/>
    <w:rsid w:val="00ED0D22"/>
    <w:rsid w:val="00ED1807"/>
    <w:rsid w:val="00ED46A9"/>
    <w:rsid w:val="00ED5492"/>
    <w:rsid w:val="00EE0F08"/>
    <w:rsid w:val="00EE15D8"/>
    <w:rsid w:val="00EE578F"/>
    <w:rsid w:val="00EF1071"/>
    <w:rsid w:val="00EF10CF"/>
    <w:rsid w:val="00EF2323"/>
    <w:rsid w:val="00EF5ECB"/>
    <w:rsid w:val="00EF672C"/>
    <w:rsid w:val="00EF6A45"/>
    <w:rsid w:val="00F02411"/>
    <w:rsid w:val="00F06100"/>
    <w:rsid w:val="00F0626A"/>
    <w:rsid w:val="00F07730"/>
    <w:rsid w:val="00F11E25"/>
    <w:rsid w:val="00F15AF0"/>
    <w:rsid w:val="00F16F6D"/>
    <w:rsid w:val="00F20DFE"/>
    <w:rsid w:val="00F274B8"/>
    <w:rsid w:val="00F33A00"/>
    <w:rsid w:val="00F37554"/>
    <w:rsid w:val="00F37688"/>
    <w:rsid w:val="00F40850"/>
    <w:rsid w:val="00F42A30"/>
    <w:rsid w:val="00F42BF5"/>
    <w:rsid w:val="00F42D80"/>
    <w:rsid w:val="00F44F66"/>
    <w:rsid w:val="00F45466"/>
    <w:rsid w:val="00F4590F"/>
    <w:rsid w:val="00F46403"/>
    <w:rsid w:val="00F47AFA"/>
    <w:rsid w:val="00F503A1"/>
    <w:rsid w:val="00F53BE0"/>
    <w:rsid w:val="00F53C45"/>
    <w:rsid w:val="00F55421"/>
    <w:rsid w:val="00F5750F"/>
    <w:rsid w:val="00F66612"/>
    <w:rsid w:val="00F709B9"/>
    <w:rsid w:val="00F72A16"/>
    <w:rsid w:val="00F72AAB"/>
    <w:rsid w:val="00F7406A"/>
    <w:rsid w:val="00F770FC"/>
    <w:rsid w:val="00F8463B"/>
    <w:rsid w:val="00F85AE3"/>
    <w:rsid w:val="00F87516"/>
    <w:rsid w:val="00F90074"/>
    <w:rsid w:val="00F904F0"/>
    <w:rsid w:val="00F94358"/>
    <w:rsid w:val="00F95B59"/>
    <w:rsid w:val="00F96FAD"/>
    <w:rsid w:val="00F977AF"/>
    <w:rsid w:val="00FA1816"/>
    <w:rsid w:val="00FA2F84"/>
    <w:rsid w:val="00FA3798"/>
    <w:rsid w:val="00FA5810"/>
    <w:rsid w:val="00FB16A0"/>
    <w:rsid w:val="00FB5871"/>
    <w:rsid w:val="00FB58AA"/>
    <w:rsid w:val="00FC18A3"/>
    <w:rsid w:val="00FC5A34"/>
    <w:rsid w:val="00FC5F9B"/>
    <w:rsid w:val="00FC6A9D"/>
    <w:rsid w:val="00FC70E6"/>
    <w:rsid w:val="00FD3BF2"/>
    <w:rsid w:val="00FD7854"/>
    <w:rsid w:val="00FD7A94"/>
    <w:rsid w:val="00FD7D5F"/>
    <w:rsid w:val="00FE152F"/>
    <w:rsid w:val="00FE2A07"/>
    <w:rsid w:val="00FE34AC"/>
    <w:rsid w:val="00FE409A"/>
    <w:rsid w:val="00FE443C"/>
    <w:rsid w:val="00FF626B"/>
    <w:rsid w:val="00FF649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Malgun Gothic" w:hAnsi="Calibri"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C81"/>
    <w:rPr>
      <w:rFonts w:ascii="Times New Roman" w:eastAsia="SimSun" w:hAnsi="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0E2C81"/>
    <w:pPr>
      <w:spacing w:before="100" w:beforeAutospacing="1" w:after="100" w:afterAutospacing="1"/>
    </w:pPr>
    <w:rPr>
      <w:lang w:eastAsia="zh-TW"/>
    </w:rPr>
  </w:style>
  <w:style w:type="character" w:styleId="Hyperlink">
    <w:name w:val="Hyperlink"/>
    <w:basedOn w:val="DefaultParagraphFont"/>
    <w:uiPriority w:val="99"/>
    <w:rsid w:val="000E2C81"/>
    <w:rPr>
      <w:rFonts w:ascii="Times New Roman" w:hAnsi="Times New Roman" w:cs="Times New Roman"/>
      <w:color w:val="0000FF"/>
      <w:u w:val="single"/>
    </w:rPr>
  </w:style>
  <w:style w:type="paragraph" w:styleId="Header">
    <w:name w:val="header"/>
    <w:basedOn w:val="Normal"/>
    <w:link w:val="HeaderChar"/>
    <w:rsid w:val="000E2C81"/>
    <w:pPr>
      <w:tabs>
        <w:tab w:val="center" w:pos="4320"/>
        <w:tab w:val="right" w:pos="8640"/>
      </w:tabs>
    </w:pPr>
  </w:style>
  <w:style w:type="character" w:customStyle="1" w:styleId="HeaderChar">
    <w:name w:val="Header Char"/>
    <w:basedOn w:val="DefaultParagraphFont"/>
    <w:link w:val="Header"/>
    <w:rsid w:val="000E2C81"/>
    <w:rPr>
      <w:rFonts w:ascii="Times New Roman" w:eastAsia="SimSun" w:hAnsi="Times New Roman" w:cs="Times New Roman"/>
      <w:sz w:val="24"/>
      <w:szCs w:val="24"/>
      <w:lang w:eastAsia="zh-CN"/>
    </w:rPr>
  </w:style>
  <w:style w:type="paragraph" w:styleId="Title">
    <w:name w:val="Title"/>
    <w:basedOn w:val="Normal"/>
    <w:link w:val="TitleChar"/>
    <w:uiPriority w:val="99"/>
    <w:qFormat/>
    <w:rsid w:val="000E2C81"/>
    <w:pPr>
      <w:jc w:val="center"/>
    </w:pPr>
    <w:rPr>
      <w:rFonts w:ascii="SimSun" w:hAnsi="Calibri" w:cs="SimSun"/>
      <w:lang w:eastAsia="en-US"/>
    </w:rPr>
  </w:style>
  <w:style w:type="character" w:customStyle="1" w:styleId="TitleChar">
    <w:name w:val="Title Char"/>
    <w:basedOn w:val="DefaultParagraphFont"/>
    <w:link w:val="Title"/>
    <w:uiPriority w:val="99"/>
    <w:rsid w:val="000E2C81"/>
    <w:rPr>
      <w:rFonts w:ascii="SimSun" w:eastAsia="SimSun" w:hAnsi="Calibri" w:cs="SimSun"/>
      <w:sz w:val="24"/>
      <w:szCs w:val="24"/>
      <w:lang w:eastAsia="en-US"/>
    </w:rPr>
  </w:style>
  <w:style w:type="paragraph" w:styleId="BodyText2">
    <w:name w:val="Body Text 2"/>
    <w:basedOn w:val="Normal"/>
    <w:link w:val="BodyText2Char"/>
    <w:uiPriority w:val="99"/>
    <w:rsid w:val="00215D74"/>
    <w:pPr>
      <w:ind w:firstLine="720"/>
    </w:pPr>
  </w:style>
  <w:style w:type="character" w:customStyle="1" w:styleId="BodyText2Char">
    <w:name w:val="Body Text 2 Char"/>
    <w:basedOn w:val="DefaultParagraphFont"/>
    <w:link w:val="BodyText2"/>
    <w:uiPriority w:val="99"/>
    <w:rsid w:val="00215D74"/>
    <w:rPr>
      <w:rFonts w:ascii="Times New Roman" w:eastAsia="SimSun" w:hAnsi="Times New Roman" w:cs="Times New Roman"/>
      <w:sz w:val="24"/>
      <w:szCs w:val="24"/>
      <w:lang w:eastAsia="zh-CN"/>
    </w:rPr>
  </w:style>
  <w:style w:type="paragraph" w:styleId="ListParagraph">
    <w:name w:val="List Paragraph"/>
    <w:basedOn w:val="Normal"/>
    <w:uiPriority w:val="34"/>
    <w:qFormat/>
    <w:rsid w:val="00624624"/>
    <w:pPr>
      <w:ind w:left="720"/>
    </w:pPr>
  </w:style>
  <w:style w:type="paragraph" w:styleId="NoSpacing">
    <w:name w:val="No Spacing"/>
    <w:uiPriority w:val="1"/>
    <w:qFormat/>
    <w:rsid w:val="00D32CD9"/>
    <w:rPr>
      <w:rFonts w:ascii="Times New Roman" w:eastAsia="SimSun" w:hAnsi="Times New Roman"/>
      <w:sz w:val="24"/>
      <w:szCs w:val="24"/>
      <w:lang w:eastAsia="zh-CN"/>
    </w:rPr>
  </w:style>
  <w:style w:type="paragraph" w:styleId="Bibliography">
    <w:name w:val="Bibliography"/>
    <w:basedOn w:val="Normal"/>
    <w:next w:val="Normal"/>
    <w:uiPriority w:val="37"/>
    <w:rsid w:val="001428C1"/>
  </w:style>
  <w:style w:type="character" w:customStyle="1" w:styleId="italic">
    <w:name w:val="italic"/>
    <w:basedOn w:val="DefaultParagraphFont"/>
    <w:rsid w:val="001428C1"/>
  </w:style>
  <w:style w:type="character" w:styleId="Emphasis">
    <w:name w:val="Emphasis"/>
    <w:basedOn w:val="DefaultParagraphFont"/>
    <w:uiPriority w:val="20"/>
    <w:qFormat/>
    <w:rsid w:val="00560328"/>
    <w:rPr>
      <w:b/>
      <w:bCs/>
      <w:i w:val="0"/>
      <w:iCs w:val="0"/>
    </w:rPr>
  </w:style>
  <w:style w:type="paragraph" w:styleId="BodyTextIndent">
    <w:name w:val="Body Text Indent"/>
    <w:basedOn w:val="Normal"/>
    <w:link w:val="BodyTextIndentChar"/>
    <w:uiPriority w:val="99"/>
    <w:unhideWhenUsed/>
    <w:rsid w:val="00AE2465"/>
    <w:pPr>
      <w:spacing w:after="120"/>
      <w:ind w:left="360"/>
    </w:pPr>
  </w:style>
  <w:style w:type="character" w:customStyle="1" w:styleId="BodyTextIndentChar">
    <w:name w:val="Body Text Indent Char"/>
    <w:basedOn w:val="DefaultParagraphFont"/>
    <w:link w:val="BodyTextIndent"/>
    <w:uiPriority w:val="99"/>
    <w:rsid w:val="00AE2465"/>
    <w:rPr>
      <w:rFonts w:ascii="Times New Roman" w:eastAsia="SimSun" w:hAnsi="Times New Roman" w:cs="Times New Roman"/>
      <w:sz w:val="24"/>
      <w:szCs w:val="24"/>
      <w:lang w:eastAsia="zh-CN"/>
    </w:rPr>
  </w:style>
  <w:style w:type="paragraph" w:styleId="Footer">
    <w:name w:val="footer"/>
    <w:basedOn w:val="Normal"/>
    <w:link w:val="FooterChar"/>
    <w:uiPriority w:val="99"/>
    <w:unhideWhenUsed/>
    <w:rsid w:val="008C29E9"/>
    <w:pPr>
      <w:tabs>
        <w:tab w:val="center" w:pos="4680"/>
        <w:tab w:val="right" w:pos="9360"/>
      </w:tabs>
    </w:pPr>
  </w:style>
  <w:style w:type="character" w:customStyle="1" w:styleId="FooterChar">
    <w:name w:val="Footer Char"/>
    <w:basedOn w:val="DefaultParagraphFont"/>
    <w:link w:val="Footer"/>
    <w:uiPriority w:val="99"/>
    <w:rsid w:val="008C29E9"/>
    <w:rPr>
      <w:rFonts w:ascii="Times New Roman" w:eastAsia="SimSun" w:hAnsi="Times New Roman" w:cs="Times New Roman"/>
      <w:sz w:val="24"/>
      <w:szCs w:val="24"/>
      <w:lang w:eastAsia="zh-CN"/>
    </w:rPr>
  </w:style>
  <w:style w:type="paragraph" w:styleId="BalloonText">
    <w:name w:val="Balloon Text"/>
    <w:basedOn w:val="Normal"/>
    <w:link w:val="BalloonTextChar"/>
    <w:uiPriority w:val="99"/>
    <w:semiHidden/>
    <w:unhideWhenUsed/>
    <w:rsid w:val="009A2E12"/>
    <w:rPr>
      <w:rFonts w:ascii="Tahoma" w:hAnsi="Tahoma" w:cs="Tahoma"/>
      <w:sz w:val="16"/>
      <w:szCs w:val="16"/>
    </w:rPr>
  </w:style>
  <w:style w:type="character" w:customStyle="1" w:styleId="BalloonTextChar">
    <w:name w:val="Balloon Text Char"/>
    <w:basedOn w:val="DefaultParagraphFont"/>
    <w:link w:val="BalloonText"/>
    <w:uiPriority w:val="99"/>
    <w:semiHidden/>
    <w:rsid w:val="009A2E12"/>
    <w:rPr>
      <w:rFonts w:ascii="Tahoma" w:eastAsia="SimSun" w:hAnsi="Tahoma" w:cs="Tahoma"/>
      <w:sz w:val="16"/>
      <w:szCs w:val="16"/>
      <w:lang w:eastAsia="zh-CN"/>
    </w:rPr>
  </w:style>
  <w:style w:type="paragraph" w:styleId="Revision">
    <w:name w:val="Revision"/>
    <w:hidden/>
    <w:uiPriority w:val="99"/>
    <w:semiHidden/>
    <w:rsid w:val="00CE18FF"/>
    <w:rPr>
      <w:rFonts w:ascii="Times New Roman" w:eastAsia="SimSun" w:hAnsi="Times New Roman"/>
      <w:sz w:val="24"/>
      <w:szCs w:val="24"/>
      <w:lang w:eastAsia="zh-CN"/>
    </w:rPr>
  </w:style>
</w:styles>
</file>

<file path=word/webSettings.xml><?xml version="1.0" encoding="utf-8"?>
<w:webSettings xmlns:r="http://schemas.openxmlformats.org/officeDocument/2006/relationships" xmlns:w="http://schemas.openxmlformats.org/wordprocessingml/2006/main">
  <w:divs>
    <w:div w:id="567499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aming.nv.gov/documents/pdf/1g_07dec.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57F47-9FE0-43C6-B13C-9C9E4E2A7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8</Pages>
  <Words>4329</Words>
  <Characters>24677</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28949</CharactersWithSpaces>
  <SharedDoc>false</SharedDoc>
  <HLinks>
    <vt:vector size="6" baseType="variant">
      <vt:variant>
        <vt:i4>1114153</vt:i4>
      </vt:variant>
      <vt:variant>
        <vt:i4>0</vt:i4>
      </vt:variant>
      <vt:variant>
        <vt:i4>0</vt:i4>
      </vt:variant>
      <vt:variant>
        <vt:i4>5</vt:i4>
      </vt:variant>
      <vt:variant>
        <vt:lpwstr>http://gaming.nv.gov/documents/pdf/1g_07dec.pdf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Eunju Suh</dc:creator>
  <cp:lastModifiedBy>Eunju Suh</cp:lastModifiedBy>
  <cp:revision>14</cp:revision>
  <dcterms:created xsi:type="dcterms:W3CDTF">2010-04-21T01:35:00Z</dcterms:created>
  <dcterms:modified xsi:type="dcterms:W3CDTF">2010-04-21T02:04:00Z</dcterms:modified>
</cp:coreProperties>
</file>