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2342" w:rsidRPr="00E22342" w:rsidRDefault="00E22342" w:rsidP="00E22342">
      <w:pPr>
        <w:spacing w:after="0" w:line="240" w:lineRule="auto"/>
        <w:jc w:val="center"/>
        <w:rPr>
          <w:rFonts w:ascii="Times New Roman" w:hAnsi="Times New Roman" w:cs="Times New Roman"/>
          <w:b/>
          <w:sz w:val="24"/>
          <w:szCs w:val="24"/>
        </w:rPr>
      </w:pPr>
      <w:r w:rsidRPr="00E22342">
        <w:rPr>
          <w:rFonts w:ascii="Times New Roman" w:hAnsi="Times New Roman" w:cs="Times New Roman"/>
          <w:b/>
          <w:sz w:val="24"/>
          <w:szCs w:val="24"/>
        </w:rPr>
        <w:t>Literature Review</w:t>
      </w:r>
    </w:p>
    <w:p w:rsidR="00C44BFA" w:rsidRPr="00F25603" w:rsidRDefault="00C44BFA" w:rsidP="00E05527">
      <w:pPr>
        <w:spacing w:after="0" w:line="240" w:lineRule="auto"/>
        <w:ind w:firstLine="720"/>
        <w:rPr>
          <w:rFonts w:ascii="Times New Roman" w:hAnsi="Times New Roman" w:cs="Times New Roman"/>
          <w:sz w:val="24"/>
          <w:szCs w:val="24"/>
        </w:rPr>
      </w:pPr>
      <w:r w:rsidRPr="00F25603">
        <w:rPr>
          <w:rFonts w:ascii="Times New Roman" w:hAnsi="Times New Roman" w:cs="Times New Roman"/>
          <w:sz w:val="24"/>
          <w:szCs w:val="24"/>
        </w:rPr>
        <w:t>The sport</w:t>
      </w:r>
      <w:r w:rsidR="000A0A4D">
        <w:rPr>
          <w:rFonts w:ascii="Times New Roman" w:hAnsi="Times New Roman" w:cs="Times New Roman"/>
          <w:sz w:val="24"/>
          <w:szCs w:val="24"/>
        </w:rPr>
        <w:t>ing</w:t>
      </w:r>
      <w:r w:rsidRPr="00F25603">
        <w:rPr>
          <w:rFonts w:ascii="Times New Roman" w:hAnsi="Times New Roman" w:cs="Times New Roman"/>
          <w:sz w:val="24"/>
          <w:szCs w:val="24"/>
        </w:rPr>
        <w:t xml:space="preserve"> event, </w:t>
      </w:r>
      <w:r w:rsidR="000A0A4D" w:rsidRPr="000A0A4D">
        <w:rPr>
          <w:rFonts w:ascii="Times New Roman" w:hAnsi="Times New Roman" w:cs="Times New Roman"/>
          <w:sz w:val="24"/>
          <w:szCs w:val="24"/>
        </w:rPr>
        <w:t xml:space="preserve">a tourism product with an increasingly powerful ability to attract visitors to a destination, can generate destination perception through direct event experience and team identification and create certain meanings in the minds of sport event participants </w:t>
      </w:r>
      <w:r w:rsidR="00AC14A5">
        <w:rPr>
          <w:rFonts w:ascii="Times New Roman" w:hAnsi="Times New Roman" w:cs="Times New Roman"/>
          <w:sz w:val="24"/>
          <w:szCs w:val="24"/>
        </w:rPr>
        <w:fldChar w:fldCharType="begin"/>
      </w:r>
      <w:r w:rsidR="00AC14A5">
        <w:rPr>
          <w:rFonts w:ascii="Times New Roman" w:hAnsi="Times New Roman" w:cs="Times New Roman"/>
          <w:sz w:val="24"/>
          <w:szCs w:val="24"/>
        </w:rPr>
        <w:instrText xml:space="preserve"> ADDIN EN.CITE &lt;EndNote&gt;&lt;Cite&gt;&lt;Author&gt;Kaplanidou&lt;/Author&gt;&lt;Year&gt;2010&lt;/Year&gt;&lt;RecNum&gt;46&lt;/RecNum&gt;&lt;DisplayText&gt;(Kaplanidou &amp;amp; Vogt, 2010)&lt;/DisplayText&gt;&lt;record&gt;&lt;rec-number&gt;46&lt;/rec-number&gt;&lt;foreign-keys&gt;&lt;key app="EN" db-id="a0dede9d8dd9s9e2apfpfdtovvpea2w9s9zs" timestamp="0"&gt;46&lt;/key&gt;&lt;/foreign-keys&gt;&lt;ref-type name="Journal Article"&gt;17&lt;/ref-type&gt;&lt;contributors&gt;&lt;authors&gt;&lt;author&gt;Kaplanidou, Kyriaki.&lt;/author&gt;&lt;author&gt;Vogt, Christine.&lt;/author&gt;&lt;/authors&gt;&lt;/contributors&gt;&lt;titles&gt;&lt;title&gt;The meaning and measurement of a sport event experience among active sport tourists&lt;/title&gt;&lt;secondary-title&gt;Journal of Sport Management&lt;/secondary-title&gt;&lt;/titles&gt;&lt;pages&gt;544-566&lt;/pages&gt;&lt;dates&gt;&lt;year&gt;2010&lt;/year&gt;&lt;/dates&gt;&lt;urls&gt;&lt;/urls&gt;&lt;/record&gt;&lt;/Cite&gt;&lt;/EndNote&gt;</w:instrText>
      </w:r>
      <w:r w:rsidR="00AC14A5">
        <w:rPr>
          <w:rFonts w:ascii="Times New Roman" w:hAnsi="Times New Roman" w:cs="Times New Roman"/>
          <w:sz w:val="24"/>
          <w:szCs w:val="24"/>
        </w:rPr>
        <w:fldChar w:fldCharType="separate"/>
      </w:r>
      <w:r w:rsidR="00AC14A5">
        <w:rPr>
          <w:rFonts w:ascii="Times New Roman" w:hAnsi="Times New Roman" w:cs="Times New Roman"/>
          <w:noProof/>
          <w:sz w:val="24"/>
          <w:szCs w:val="24"/>
        </w:rPr>
        <w:t>(Kaplanidou &amp; Vogt, 2010)</w:t>
      </w:r>
      <w:r w:rsidR="00AC14A5">
        <w:rPr>
          <w:rFonts w:ascii="Times New Roman" w:hAnsi="Times New Roman" w:cs="Times New Roman"/>
          <w:sz w:val="24"/>
          <w:szCs w:val="24"/>
        </w:rPr>
        <w:fldChar w:fldCharType="end"/>
      </w:r>
      <w:r w:rsidR="00674F9F">
        <w:rPr>
          <w:rFonts w:ascii="Times New Roman" w:hAnsi="Times New Roman" w:cs="Times New Roman"/>
          <w:sz w:val="24"/>
          <w:szCs w:val="24"/>
        </w:rPr>
        <w:t xml:space="preserve">. </w:t>
      </w:r>
      <w:r w:rsidR="000A0A4D" w:rsidRPr="000A0A4D">
        <w:rPr>
          <w:rFonts w:ascii="Times New Roman" w:hAnsi="Times New Roman" w:cs="Times New Roman"/>
          <w:sz w:val="24"/>
          <w:szCs w:val="24"/>
        </w:rPr>
        <w:t xml:space="preserve">However, most university athletic departments have abundant expenses to cover and only a few universities generate enough revenue to cover all athletics expenses </w:t>
      </w:r>
      <w:r w:rsidR="00AC14A5">
        <w:rPr>
          <w:rFonts w:ascii="Times New Roman" w:hAnsi="Times New Roman" w:cs="Times New Roman"/>
          <w:sz w:val="24"/>
          <w:szCs w:val="24"/>
        </w:rPr>
        <w:fldChar w:fldCharType="begin"/>
      </w:r>
      <w:r w:rsidR="00AC14A5">
        <w:rPr>
          <w:rFonts w:ascii="Times New Roman" w:hAnsi="Times New Roman" w:cs="Times New Roman"/>
          <w:sz w:val="24"/>
          <w:szCs w:val="24"/>
        </w:rPr>
        <w:instrText xml:space="preserve"> ADDIN EN.CITE &lt;EndNote&gt;&lt;Cite&gt;&lt;Author&gt;Fulks&lt;/Author&gt;&lt;Year&gt;2013&lt;/Year&gt;&lt;RecNum&gt;241&lt;/RecNum&gt;&lt;DisplayText&gt;(Fulks, 2013; Hardin, Ruihley, &amp;amp; Veraldo, 2013)&lt;/DisplayText&gt;&lt;record&gt;&lt;rec-number&gt;241&lt;/rec-number&gt;&lt;foreign-keys&gt;&lt;key app="EN" db-id="a0dede9d8dd9s9e2apfpfdtovvpea2w9s9zs" timestamp="0"&gt;241&lt;/key&gt;&lt;/foreign-keys&gt;&lt;ref-type name="Book"&gt;6&lt;/ref-type&gt;&lt;contributors&gt;&lt;authors&gt;&lt;author&gt;Fulks, D. &lt;/author&gt;&lt;/authors&gt;&lt;/contributors&gt;&lt;titles&gt;&lt;title&gt;Revenues and expenses&lt;/title&gt;&lt;/titles&gt;&lt;dates&gt;&lt;year&gt;2013&lt;/year&gt;&lt;/dates&gt;&lt;pub-location&gt;Indianapolis, IN&lt;/pub-location&gt;&lt;publisher&gt;National Collegiate Athletic Association&lt;/publisher&gt;&lt;urls&gt;&lt;/urls&gt;&lt;/record&gt;&lt;/Cite&gt;&lt;Cite&gt;&lt;Author&gt;Hardin&lt;/Author&gt;&lt;Year&gt;2013&lt;/Year&gt;&lt;RecNum&gt;243&lt;/RecNum&gt;&lt;record&gt;&lt;rec-number&gt;243&lt;/rec-number&gt;&lt;foreign-keys&gt;&lt;key app="EN" db-id="a0dede9d8dd9s9e2apfpfdtovvpea2w9s9zs" timestamp="0"&gt;243&lt;/key&gt;&lt;/foreign-keys&gt;&lt;ref-type name="Journal Article"&gt;17&lt;/ref-type&gt;&lt;contributors&gt;&lt;authors&gt;&lt;author&gt;Robin Hardin&lt;/author&gt;&lt;author&gt;Brody Ruihley&lt;/author&gt;&lt;author&gt;Cindy Veraldo&lt;/author&gt;&lt;/authors&gt;&lt;/contributors&gt;&lt;titles&gt;&lt;title&gt;Game day experience through the lens of critical incident technique&lt;/title&gt;&lt;secondary-title&gt;Journal of Applied Sport Management&lt;/secondary-title&gt;&lt;/titles&gt;&lt;pages&gt;1-21&lt;/pages&gt;&lt;volume&gt;5&lt;/volume&gt;&lt;number&gt;4&lt;/number&gt;&lt;dates&gt;&lt;year&gt;2013&lt;/year&gt;&lt;/dates&gt;&lt;urls&gt;&lt;/urls&gt;&lt;/record&gt;&lt;/Cite&gt;&lt;/EndNote&gt;</w:instrText>
      </w:r>
      <w:r w:rsidR="00AC14A5">
        <w:rPr>
          <w:rFonts w:ascii="Times New Roman" w:hAnsi="Times New Roman" w:cs="Times New Roman"/>
          <w:sz w:val="24"/>
          <w:szCs w:val="24"/>
        </w:rPr>
        <w:fldChar w:fldCharType="separate"/>
      </w:r>
      <w:r w:rsidR="00AC14A5">
        <w:rPr>
          <w:rFonts w:ascii="Times New Roman" w:hAnsi="Times New Roman" w:cs="Times New Roman"/>
          <w:noProof/>
          <w:sz w:val="24"/>
          <w:szCs w:val="24"/>
        </w:rPr>
        <w:t>(Fulks, 2013; Hardin, Ruihley, &amp; Veraldo, 2013)</w:t>
      </w:r>
      <w:r w:rsidR="00AC14A5">
        <w:rPr>
          <w:rFonts w:ascii="Times New Roman" w:hAnsi="Times New Roman" w:cs="Times New Roman"/>
          <w:sz w:val="24"/>
          <w:szCs w:val="24"/>
        </w:rPr>
        <w:fldChar w:fldCharType="end"/>
      </w:r>
      <w:r w:rsidR="000A0A4D">
        <w:rPr>
          <w:rFonts w:ascii="Times New Roman" w:hAnsi="Times New Roman" w:cs="Times New Roman"/>
          <w:sz w:val="24"/>
          <w:szCs w:val="24"/>
        </w:rPr>
        <w:t xml:space="preserve">, </w:t>
      </w:r>
      <w:r w:rsidR="000A0A4D" w:rsidRPr="000A0A4D">
        <w:rPr>
          <w:rFonts w:ascii="Times New Roman" w:hAnsi="Times New Roman" w:cs="Times New Roman"/>
          <w:sz w:val="24"/>
          <w:szCs w:val="24"/>
        </w:rPr>
        <w:t xml:space="preserve">requiring most universities to increase attendance in order to increase revenue. Since the </w:t>
      </w:r>
      <w:bookmarkStart w:id="0" w:name="_GoBack"/>
      <w:bookmarkEnd w:id="0"/>
      <w:r w:rsidR="000A0A4D" w:rsidRPr="000A0A4D">
        <w:rPr>
          <w:rFonts w:ascii="Times New Roman" w:hAnsi="Times New Roman" w:cs="Times New Roman"/>
          <w:sz w:val="24"/>
          <w:szCs w:val="24"/>
        </w:rPr>
        <w:t xml:space="preserve">memory of a previous travel experience has been confirmed to be an important way of generating intention to re-visit a travel destination </w:t>
      </w:r>
      <w:r w:rsidR="00AC14A5">
        <w:rPr>
          <w:rFonts w:ascii="Times New Roman" w:hAnsi="Times New Roman" w:cs="Times New Roman"/>
          <w:sz w:val="24"/>
          <w:szCs w:val="24"/>
        </w:rPr>
        <w:fldChar w:fldCharType="begin"/>
      </w:r>
      <w:r w:rsidR="00AC14A5">
        <w:rPr>
          <w:rFonts w:ascii="Times New Roman" w:hAnsi="Times New Roman" w:cs="Times New Roman"/>
          <w:sz w:val="24"/>
          <w:szCs w:val="24"/>
        </w:rPr>
        <w:instrText xml:space="preserve"> ADDIN EN.CITE &lt;EndNote&gt;&lt;Cite&gt;&lt;Author&gt;Kozak&lt;/Author&gt;&lt;Year&gt;2001&lt;/Year&gt;&lt;RecNum&gt;43&lt;/RecNum&gt;&lt;DisplayText&gt;(Kozak, 2001)&lt;/DisplayText&gt;&lt;record&gt;&lt;rec-number&gt;43&lt;/rec-number&gt;&lt;foreign-keys&gt;&lt;key app="EN" db-id="a0dede9d8dd9s9e2apfpfdtovvpea2w9s9zs" timestamp="0"&gt;43&lt;/key&gt;&lt;/foreign-keys&gt;&lt;ref-type name="Journal Article"&gt;17&lt;/ref-type&gt;&lt;contributors&gt;&lt;authors&gt;&lt;author&gt;Kozak, M.&lt;/author&gt;&lt;/authors&gt;&lt;/contributors&gt;&lt;titles&gt;&lt;title&gt;“Repeaters’&amp;apos; behavior at two distinct destinations&lt;/title&gt;&lt;secondary-title&gt;Annals of Tourism Research&lt;/secondary-title&gt;&lt;/titles&gt;&lt;pages&gt;784-807&lt;/pages&gt;&lt;volume&gt;28&lt;/volume&gt;&lt;number&gt;3&lt;/number&gt;&lt;dates&gt;&lt;year&gt;2001&lt;/year&gt;&lt;/dates&gt;&lt;urls&gt;&lt;/urls&gt;&lt;/record&gt;&lt;/Cite&gt;&lt;/EndNote&gt;</w:instrText>
      </w:r>
      <w:r w:rsidR="00AC14A5">
        <w:rPr>
          <w:rFonts w:ascii="Times New Roman" w:hAnsi="Times New Roman" w:cs="Times New Roman"/>
          <w:sz w:val="24"/>
          <w:szCs w:val="24"/>
        </w:rPr>
        <w:fldChar w:fldCharType="separate"/>
      </w:r>
      <w:r w:rsidR="00AC14A5">
        <w:rPr>
          <w:rFonts w:ascii="Times New Roman" w:hAnsi="Times New Roman" w:cs="Times New Roman"/>
          <w:noProof/>
          <w:sz w:val="24"/>
          <w:szCs w:val="24"/>
        </w:rPr>
        <w:t>(Kozak, 2001)</w:t>
      </w:r>
      <w:r w:rsidR="00AC14A5">
        <w:rPr>
          <w:rFonts w:ascii="Times New Roman" w:hAnsi="Times New Roman" w:cs="Times New Roman"/>
          <w:sz w:val="24"/>
          <w:szCs w:val="24"/>
        </w:rPr>
        <w:fldChar w:fldCharType="end"/>
      </w:r>
      <w:r w:rsidR="00A95809">
        <w:rPr>
          <w:rFonts w:ascii="Times New Roman" w:hAnsi="Times New Roman" w:cs="Times New Roman"/>
          <w:sz w:val="24"/>
          <w:szCs w:val="24"/>
        </w:rPr>
        <w:t xml:space="preserve">, </w:t>
      </w:r>
      <w:r w:rsidR="000A0A4D" w:rsidRPr="000A0A4D">
        <w:rPr>
          <w:rFonts w:ascii="Times New Roman" w:hAnsi="Times New Roman" w:cs="Times New Roman"/>
          <w:sz w:val="24"/>
          <w:szCs w:val="24"/>
        </w:rPr>
        <w:t>a memory of sport</w:t>
      </w:r>
      <w:r w:rsidR="000A0A4D">
        <w:rPr>
          <w:rFonts w:ascii="Times New Roman" w:hAnsi="Times New Roman" w:cs="Times New Roman"/>
          <w:sz w:val="24"/>
          <w:szCs w:val="24"/>
        </w:rPr>
        <w:t>ing</w:t>
      </w:r>
      <w:r w:rsidR="000A0A4D" w:rsidRPr="000A0A4D">
        <w:rPr>
          <w:rFonts w:ascii="Times New Roman" w:hAnsi="Times New Roman" w:cs="Times New Roman"/>
          <w:sz w:val="24"/>
          <w:szCs w:val="24"/>
        </w:rPr>
        <w:t xml:space="preserve"> event experience should be a valuable way to enhance the intention of sport</w:t>
      </w:r>
      <w:r w:rsidR="00C12609">
        <w:rPr>
          <w:rFonts w:ascii="Times New Roman" w:hAnsi="Times New Roman" w:cs="Times New Roman"/>
          <w:sz w:val="24"/>
          <w:szCs w:val="24"/>
        </w:rPr>
        <w:t>ing</w:t>
      </w:r>
      <w:r w:rsidR="000A0A4D" w:rsidRPr="000A0A4D">
        <w:rPr>
          <w:rFonts w:ascii="Times New Roman" w:hAnsi="Times New Roman" w:cs="Times New Roman"/>
          <w:sz w:val="24"/>
          <w:szCs w:val="24"/>
        </w:rPr>
        <w:t xml:space="preserve"> event participation. Since, in general, experiences are composed of various factors within an interwoven network, the memory of a sport</w:t>
      </w:r>
      <w:r w:rsidR="000A0A4D">
        <w:rPr>
          <w:rFonts w:ascii="Times New Roman" w:hAnsi="Times New Roman" w:cs="Times New Roman"/>
          <w:sz w:val="24"/>
          <w:szCs w:val="24"/>
        </w:rPr>
        <w:t>ing</w:t>
      </w:r>
      <w:r w:rsidR="000A0A4D" w:rsidRPr="000A0A4D">
        <w:rPr>
          <w:rFonts w:ascii="Times New Roman" w:hAnsi="Times New Roman" w:cs="Times New Roman"/>
          <w:sz w:val="24"/>
          <w:szCs w:val="24"/>
        </w:rPr>
        <w:t xml:space="preserve"> event experience is a progressive memory of serial episodes and interactions from the event, which is, therefore, similar to autobiographical memory</w:t>
      </w:r>
      <w:r w:rsidR="00905654">
        <w:rPr>
          <w:rFonts w:ascii="Times New Roman" w:hAnsi="Times New Roman" w:cs="Times New Roman"/>
          <w:sz w:val="24"/>
          <w:szCs w:val="24"/>
        </w:rPr>
        <w:t xml:space="preserve"> </w:t>
      </w:r>
      <w:r w:rsidR="00AC14A5">
        <w:rPr>
          <w:rFonts w:ascii="Times New Roman" w:hAnsi="Times New Roman" w:cs="Times New Roman"/>
          <w:sz w:val="24"/>
          <w:szCs w:val="24"/>
        </w:rPr>
        <w:fldChar w:fldCharType="begin"/>
      </w:r>
      <w:r w:rsidR="00AC14A5">
        <w:rPr>
          <w:rFonts w:ascii="Times New Roman" w:hAnsi="Times New Roman" w:cs="Times New Roman"/>
          <w:sz w:val="24"/>
          <w:szCs w:val="24"/>
        </w:rPr>
        <w:instrText xml:space="preserve"> ADDIN EN.CITE &lt;EndNote&gt;&lt;Cite&gt;&lt;Author&gt;Rubin&lt;/Author&gt;&lt;Year&gt;2005&lt;/Year&gt;&lt;RecNum&gt;164&lt;/RecNum&gt;&lt;DisplayText&gt;(Rubin, 2005)&lt;/DisplayText&gt;&lt;record&gt;&lt;rec-number&gt;164&lt;/rec-number&gt;&lt;foreign-keys&gt;&lt;key app="EN" db-id="a0dede9d8dd9s9e2apfpfdtovvpea2w9s9zs" timestamp="0"&gt;164&lt;/key&gt;&lt;/foreign-keys&gt;&lt;ref-type name="Journal Article"&gt;17&lt;/ref-type&gt;&lt;contributors&gt;&lt;authors&gt;&lt;author&gt;David C. Rubin&lt;/author&gt;&lt;/authors&gt;&lt;/contributors&gt;&lt;titles&gt;&lt;title&gt;A basic-systems approach to autobiographical memory&lt;/title&gt;&lt;secondary-title&gt;Current Directions in Psychological Science&lt;/secondary-title&gt;&lt;/titles&gt;&lt;pages&gt;79-83&lt;/pages&gt;&lt;volume&gt;14&lt;/volume&gt;&lt;number&gt;2&lt;/number&gt;&lt;dates&gt;&lt;year&gt;2005&lt;/year&gt;&lt;/dates&gt;&lt;urls&gt;&lt;/urls&gt;&lt;/record&gt;&lt;/Cite&gt;&lt;/EndNote&gt;</w:instrText>
      </w:r>
      <w:r w:rsidR="00AC14A5">
        <w:rPr>
          <w:rFonts w:ascii="Times New Roman" w:hAnsi="Times New Roman" w:cs="Times New Roman"/>
          <w:sz w:val="24"/>
          <w:szCs w:val="24"/>
        </w:rPr>
        <w:fldChar w:fldCharType="separate"/>
      </w:r>
      <w:r w:rsidR="00AC14A5">
        <w:rPr>
          <w:rFonts w:ascii="Times New Roman" w:hAnsi="Times New Roman" w:cs="Times New Roman"/>
          <w:noProof/>
          <w:sz w:val="24"/>
          <w:szCs w:val="24"/>
        </w:rPr>
        <w:t>(Rubin, 2005)</w:t>
      </w:r>
      <w:r w:rsidR="00AC14A5">
        <w:rPr>
          <w:rFonts w:ascii="Times New Roman" w:hAnsi="Times New Roman" w:cs="Times New Roman"/>
          <w:sz w:val="24"/>
          <w:szCs w:val="24"/>
        </w:rPr>
        <w:fldChar w:fldCharType="end"/>
      </w:r>
      <w:r w:rsidRPr="00F25603">
        <w:rPr>
          <w:rFonts w:ascii="Times New Roman" w:hAnsi="Times New Roman" w:cs="Times New Roman"/>
          <w:sz w:val="24"/>
          <w:szCs w:val="24"/>
        </w:rPr>
        <w:t xml:space="preserve">. </w:t>
      </w:r>
      <w:r w:rsidR="000A0A4D" w:rsidRPr="000A0A4D">
        <w:rPr>
          <w:rFonts w:ascii="Times New Roman" w:hAnsi="Times New Roman" w:cs="Times New Roman"/>
          <w:sz w:val="24"/>
          <w:szCs w:val="24"/>
        </w:rPr>
        <w:t xml:space="preserve">Autobiographical memory involves individuals remembering events from their life experiences, especially occasions when they put themselves in specific situations with certain memorable cues </w:t>
      </w:r>
      <w:r w:rsidR="00AC14A5">
        <w:rPr>
          <w:rFonts w:ascii="Times New Roman" w:hAnsi="Times New Roman" w:cs="Times New Roman"/>
          <w:sz w:val="24"/>
          <w:szCs w:val="24"/>
        </w:rPr>
        <w:fldChar w:fldCharType="begin">
          <w:fldData xml:space="preserve">PEVuZE5vdGU+PENpdGU+PEF1dGhvcj5Db2dobGFuPC9BdXRob3I+PFllYXI+MjAxMjwvWWVhcj48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</w:fldData>
        </w:fldChar>
      </w:r>
      <w:r w:rsidR="00AC14A5">
        <w:rPr>
          <w:rFonts w:ascii="Times New Roman" w:hAnsi="Times New Roman" w:cs="Times New Roman"/>
          <w:sz w:val="24"/>
          <w:szCs w:val="24"/>
        </w:rPr>
        <w:instrText xml:space="preserve"> ADDIN EN.CITE </w:instrText>
      </w:r>
      <w:r w:rsidR="00AC14A5">
        <w:rPr>
          <w:rFonts w:ascii="Times New Roman" w:hAnsi="Times New Roman" w:cs="Times New Roman"/>
          <w:sz w:val="24"/>
          <w:szCs w:val="24"/>
        </w:rPr>
        <w:fldChar w:fldCharType="begin">
          <w:fldData xml:space="preserve">PEVuZE5vdGU+PENpdGU+PEF1dGhvcj5Db2dobGFuPC9BdXRob3I+PFllYXI+MjAxMjwvWWVhcj48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</w:fldData>
        </w:fldChar>
      </w:r>
      <w:r w:rsidR="00AC14A5">
        <w:rPr>
          <w:rFonts w:ascii="Times New Roman" w:hAnsi="Times New Roman" w:cs="Times New Roman"/>
          <w:sz w:val="24"/>
          <w:szCs w:val="24"/>
        </w:rPr>
        <w:instrText xml:space="preserve"> ADDIN EN.CITE.DATA </w:instrText>
      </w:r>
      <w:r w:rsidR="00AC14A5">
        <w:rPr>
          <w:rFonts w:ascii="Times New Roman" w:hAnsi="Times New Roman" w:cs="Times New Roman"/>
          <w:sz w:val="24"/>
          <w:szCs w:val="24"/>
        </w:rPr>
      </w:r>
      <w:r w:rsidR="00AC14A5">
        <w:rPr>
          <w:rFonts w:ascii="Times New Roman" w:hAnsi="Times New Roman" w:cs="Times New Roman"/>
          <w:sz w:val="24"/>
          <w:szCs w:val="24"/>
        </w:rPr>
        <w:fldChar w:fldCharType="end"/>
      </w:r>
      <w:r w:rsidR="00AC14A5">
        <w:rPr>
          <w:rFonts w:ascii="Times New Roman" w:hAnsi="Times New Roman" w:cs="Times New Roman"/>
          <w:sz w:val="24"/>
          <w:szCs w:val="24"/>
        </w:rPr>
        <w:fldChar w:fldCharType="separate"/>
      </w:r>
      <w:r w:rsidR="00AC14A5">
        <w:rPr>
          <w:rFonts w:ascii="Times New Roman" w:hAnsi="Times New Roman" w:cs="Times New Roman"/>
          <w:noProof/>
          <w:sz w:val="24"/>
          <w:szCs w:val="24"/>
        </w:rPr>
        <w:t>(Coghlan, 2012; Hyman Jr., Husband, &amp; Billings, 1995; Rubin, 2005)</w:t>
      </w:r>
      <w:r w:rsidR="00AC14A5">
        <w:rPr>
          <w:rFonts w:ascii="Times New Roman" w:hAnsi="Times New Roman" w:cs="Times New Roman"/>
          <w:sz w:val="24"/>
          <w:szCs w:val="24"/>
        </w:rPr>
        <w:fldChar w:fldCharType="end"/>
      </w:r>
      <w:r w:rsidRPr="00F25603">
        <w:rPr>
          <w:rFonts w:ascii="Times New Roman" w:hAnsi="Times New Roman" w:cs="Times New Roman"/>
          <w:sz w:val="24"/>
          <w:szCs w:val="24"/>
        </w:rPr>
        <w:t xml:space="preserve">. </w:t>
      </w:r>
    </w:p>
    <w:p w:rsidR="000A0A4D" w:rsidRDefault="000A0A4D" w:rsidP="000A0A4D">
      <w:pPr>
        <w:spacing w:after="0" w:line="240" w:lineRule="auto"/>
        <w:ind w:firstLine="720"/>
        <w:rPr>
          <w:rFonts w:ascii="Times New Roman" w:hAnsi="Times New Roman" w:cs="Times New Roman"/>
          <w:sz w:val="24"/>
          <w:szCs w:val="24"/>
        </w:rPr>
      </w:pPr>
      <w:r w:rsidRPr="000A0A4D">
        <w:rPr>
          <w:rFonts w:ascii="Times New Roman" w:hAnsi="Times New Roman" w:cs="Times New Roman"/>
          <w:sz w:val="24"/>
          <w:szCs w:val="24"/>
        </w:rPr>
        <w:t>When sport</w:t>
      </w:r>
      <w:r w:rsidR="00C12609">
        <w:rPr>
          <w:rFonts w:ascii="Times New Roman" w:hAnsi="Times New Roman" w:cs="Times New Roman"/>
          <w:sz w:val="24"/>
          <w:szCs w:val="24"/>
        </w:rPr>
        <w:t>ing</w:t>
      </w:r>
      <w:r w:rsidRPr="000A0A4D">
        <w:rPr>
          <w:rFonts w:ascii="Times New Roman" w:hAnsi="Times New Roman" w:cs="Times New Roman"/>
          <w:sz w:val="24"/>
          <w:szCs w:val="24"/>
        </w:rPr>
        <w:t xml:space="preserve"> event participants try to recall previous sport event experience, they are in the process of information searching and processing. During this information retrieval process, their recollection of sport event experience episodes may be influenced by external information, such as advertising, due to the introduction of new clues of the event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&lt;EndNote&gt;&lt;Cite&gt;&lt;Author&gt;Hoch&lt;/Author&gt;&lt;Year&gt;1989&lt;/Year&gt;&lt;RecNum&gt;9&lt;/RecNum&gt;&lt;DisplayText&gt;(Hoch &amp;amp; Deighton, 1989)&lt;/DisplayText&gt;&lt;record&gt;&lt;rec-number&gt;9&lt;/rec-number&gt;&lt;foreign-keys&gt;&lt;key app="EN" db-id="a0dede9d8dd9s9e2apfpfdtovvpea2w9s9zs" timestamp="0"&gt;9&lt;/key&gt;&lt;/foreign-keys&gt;&lt;ref-type name="Journal Article"&gt;17&lt;/ref-type&gt;&lt;contributors&gt;&lt;authors&gt;&lt;author&gt;Stephen J. Hoch&lt;/author&gt;&lt;author&gt;John Deighton&lt;/author&gt;&lt;/authors&gt;&lt;/contributors&gt;&lt;titles&gt;&lt;title&gt;Managing what consumers learn from experience&lt;/title&gt;&lt;secondary-title&gt;Journal of Marketing&lt;/secondary-title&gt;&lt;/titles&gt;&lt;pages&gt;1-20&lt;/pages&gt;&lt;volume&gt;53&lt;/volume&gt;&lt;dates&gt;&lt;year&gt;1989&lt;/year&gt;&lt;/dates&gt;&lt;urls&gt;&lt;/urls&gt;&lt;/record&gt;&lt;/Cite&gt;&lt;/EndNote&gt;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(Hoch &amp; Deighton, 1989)</w:t>
      </w:r>
      <w:r>
        <w:rPr>
          <w:rFonts w:ascii="Times New Roman" w:hAnsi="Times New Roman" w:cs="Times New Roman"/>
          <w:sz w:val="24"/>
          <w:szCs w:val="24"/>
        </w:rPr>
        <w:fldChar w:fldCharType="end"/>
      </w:r>
      <w:r w:rsidRPr="000A0A4D">
        <w:rPr>
          <w:rFonts w:ascii="Times New Roman" w:hAnsi="Times New Roman" w:cs="Times New Roman"/>
          <w:sz w:val="24"/>
          <w:szCs w:val="24"/>
        </w:rPr>
        <w:t xml:space="preserve">. In addition, since the product or service advertising has always been one of the primary sources from which consumers learn product information (Hoch &amp; Deighton, 1989), the ways in which advertising can affect participants’ event experiences should be considered critical to event marketers who want to understand consumer education through event experience. The majority of the research before 1990 dealing with how advertising influences consumers’ product experiences focuses on the forward-framing effect, in which advertising presented to consumers prior to the actual product experience can provide clues to consumers that can influence their understanding and interpretation of the product’s features, and can thus change the nature of their interaction with the product. For instance,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AuthorYear="1"&gt;&lt;Author&gt;Hoch&lt;/Author&gt;&lt;Year&gt;1986&lt;/Year&gt;&lt;RecNum&gt;98&lt;/RecNum&gt;&lt;DisplayText&gt;Hoch and Ha (1986)&lt;/DisplayText&gt;&lt;record&gt;&lt;rec-number&gt;98&lt;/rec-number&gt;&lt;foreign-keys&gt;&lt;key app="EN" db-id="a0dede9d8dd9s9e2apfpfdtovvpea2w9s9zs" timestamp="0"&gt;98&lt;/key&gt;&lt;/foreign-keys&gt;&lt;ref-type name="Journal Article"&gt;17&lt;/ref-type&gt;&lt;contributors&gt;&lt;authors&gt;&lt;author&gt;Stephen J. Hoch&lt;/author&gt;&lt;author&gt;Young-Won Ha&lt;/author&gt;&lt;/authors&gt;&lt;/contributors&gt;&lt;titles&gt;&lt;title&gt;Consumer learning: Advertising and the ambiguity of product experience&lt;/title&gt;&lt;secondary-title&gt;Journal of Consumer Research&lt;/secondary-title&gt;&lt;/titles&gt;&lt;pages&gt;221-233&lt;/pages&gt;&lt;volume&gt;13&lt;/volume&gt;&lt;number&gt;2&lt;/number&gt;&lt;dates&gt;&lt;year&gt;1986&lt;/year&gt;&lt;/dates&gt;&lt;urls&gt;&lt;/urls&gt;&lt;/record&gt;&lt;/Cite&gt;&lt;/EndNote&gt;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Hoch and Ha (1986)</w:t>
      </w:r>
      <w:r>
        <w:rPr>
          <w:rFonts w:ascii="Times New Roman" w:hAnsi="Times New Roman" w:cs="Times New Roman"/>
          <w:sz w:val="24"/>
          <w:szCs w:val="24"/>
        </w:rPr>
        <w:fldChar w:fldCharType="end"/>
      </w:r>
      <w:r w:rsidRPr="000A0A4D">
        <w:rPr>
          <w:rFonts w:ascii="Times New Roman" w:hAnsi="Times New Roman" w:cs="Times New Roman"/>
          <w:sz w:val="24"/>
          <w:szCs w:val="24"/>
        </w:rPr>
        <w:t xml:space="preserve"> found that participants who watched advertising before the actual product experience paid more attention to product attributes promoted in the advertising and thus spent more time on them while trying the product than participants who watched the advertisement after their actual product experience or without watching the advertisement. </w:t>
      </w:r>
    </w:p>
    <w:p w:rsidR="00905654" w:rsidRDefault="000A0A4D" w:rsidP="00E05527">
      <w:pPr>
        <w:spacing w:after="0" w:line="240" w:lineRule="auto"/>
        <w:ind w:firstLine="720"/>
        <w:rPr>
          <w:rFonts w:ascii="Times New Roman" w:hAnsi="Times New Roman" w:cs="Times New Roman"/>
          <w:sz w:val="24"/>
          <w:szCs w:val="24"/>
        </w:rPr>
      </w:pPr>
      <w:r w:rsidRPr="000A0A4D">
        <w:rPr>
          <w:rFonts w:ascii="Times New Roman" w:hAnsi="Times New Roman" w:cs="Times New Roman"/>
          <w:sz w:val="24"/>
          <w:szCs w:val="24"/>
        </w:rPr>
        <w:t>In the 1990s, a new trend in scholarship suggested that backward-framing effect is also significant. The backward-framing effect occurs when advertising presented after the actual product experience plays an important role in influencing consumer product experience formation</w:t>
      </w:r>
      <w:r w:rsidR="001479B3">
        <w:rPr>
          <w:rFonts w:ascii="Times New Roman" w:hAnsi="Times New Roman" w:cs="Times New Roman"/>
          <w:sz w:val="24"/>
          <w:szCs w:val="24"/>
        </w:rPr>
        <w:fldChar w:fldCharType="begin"/>
      </w:r>
      <w:r w:rsidR="001479B3">
        <w:rPr>
          <w:rFonts w:ascii="Times New Roman" w:hAnsi="Times New Roman" w:cs="Times New Roman"/>
          <w:sz w:val="24"/>
          <w:szCs w:val="24"/>
        </w:rPr>
        <w:instrText xml:space="preserve"> ADDIN EN.CITE &lt;EndNote&gt;&lt;Cite&gt;&lt;Author&gt;Braun&lt;/Author&gt;&lt;Year&gt;1999&lt;/Year&gt;&lt;RecNum&gt;90&lt;/RecNum&gt;&lt;DisplayText&gt;(Braun, 1999)&lt;/DisplayText&gt;&lt;record&gt;&lt;rec-number&gt;90&lt;/rec-number&gt;&lt;foreign-keys&gt;&lt;key app="EN" db-id="a0dede9d8dd9s9e2apfpfdtovvpea2w9s9zs" timestamp="0"&gt;90&lt;/key&gt;&lt;/foreign-keys&gt;&lt;ref-type name="Journal Article"&gt;17&lt;/ref-type&gt;&lt;contributors&gt;&lt;authors&gt;&lt;author&gt;Kathryn A. Braun&lt;/author&gt;&lt;/authors&gt;&lt;/contributors&gt;&lt;titles&gt;&lt;title&gt;Postexperience advertising effects on consumer memory&lt;/title&gt;&lt;secondary-title&gt;Journal of Consumer Research&lt;/secondary-title&gt;&lt;/titles&gt;&lt;pages&gt;319-334&lt;/pages&gt;&lt;volume&gt;25&lt;/volume&gt;&lt;dates&gt;&lt;year&gt;1999&lt;/year&gt;&lt;/dates&gt;&lt;urls&gt;&lt;/urls&gt;&lt;/record&gt;&lt;/Cite&gt;&lt;/EndNote&gt;</w:instrText>
      </w:r>
      <w:r w:rsidR="001479B3">
        <w:rPr>
          <w:rFonts w:ascii="Times New Roman" w:hAnsi="Times New Roman" w:cs="Times New Roman"/>
          <w:sz w:val="24"/>
          <w:szCs w:val="24"/>
        </w:rPr>
        <w:fldChar w:fldCharType="separate"/>
      </w:r>
      <w:r w:rsidR="001479B3">
        <w:rPr>
          <w:rFonts w:ascii="Times New Roman" w:hAnsi="Times New Roman" w:cs="Times New Roman"/>
          <w:noProof/>
          <w:sz w:val="24"/>
          <w:szCs w:val="24"/>
        </w:rPr>
        <w:t>(Braun, 1999)</w:t>
      </w:r>
      <w:r w:rsidR="001479B3">
        <w:rPr>
          <w:rFonts w:ascii="Times New Roman" w:hAnsi="Times New Roman" w:cs="Times New Roman"/>
          <w:sz w:val="24"/>
          <w:szCs w:val="24"/>
        </w:rPr>
        <w:fldChar w:fldCharType="end"/>
      </w:r>
      <w:r w:rsidR="001479B3">
        <w:rPr>
          <w:rFonts w:ascii="Times New Roman" w:hAnsi="Times New Roman" w:cs="Times New Roman"/>
          <w:sz w:val="24"/>
          <w:szCs w:val="24"/>
        </w:rPr>
        <w:t>.</w:t>
      </w:r>
      <w:r w:rsidR="00C44BFA" w:rsidRPr="00F25603">
        <w:rPr>
          <w:rFonts w:ascii="Times New Roman" w:hAnsi="Times New Roman" w:cs="Times New Roman"/>
          <w:sz w:val="24"/>
          <w:szCs w:val="24"/>
        </w:rPr>
        <w:t xml:space="preserve"> </w:t>
      </w:r>
      <w:r w:rsidRPr="000A0A4D">
        <w:rPr>
          <w:rFonts w:ascii="Times New Roman" w:hAnsi="Times New Roman" w:cs="Times New Roman"/>
          <w:sz w:val="24"/>
          <w:szCs w:val="24"/>
        </w:rPr>
        <w:t>The memory reconstruction framework indicates that when a past experience is recalled, memory is not merely a reproduction of past experience, but rather a complex process where correlated information from both what consumers knew before an actual experience and what they learned afterward become integrated to create an ultimate memory of product experience</w:t>
      </w:r>
      <w:r w:rsidR="00C44BFA" w:rsidRPr="00F25603">
        <w:rPr>
          <w:rFonts w:ascii="Times New Roman" w:hAnsi="Times New Roman" w:cs="Times New Roman"/>
          <w:sz w:val="24"/>
          <w:szCs w:val="24"/>
        </w:rPr>
        <w:t xml:space="preserve"> </w:t>
      </w:r>
      <w:r w:rsidR="001479B3">
        <w:rPr>
          <w:rFonts w:ascii="Times New Roman" w:hAnsi="Times New Roman" w:cs="Times New Roman"/>
          <w:sz w:val="24"/>
          <w:szCs w:val="24"/>
        </w:rPr>
        <w:fldChar w:fldCharType="begin"/>
      </w:r>
      <w:r w:rsidR="001479B3">
        <w:rPr>
          <w:rFonts w:ascii="Times New Roman" w:hAnsi="Times New Roman" w:cs="Times New Roman"/>
          <w:sz w:val="24"/>
          <w:szCs w:val="24"/>
        </w:rPr>
        <w:instrText xml:space="preserve"> ADDIN EN.CITE &lt;EndNote&gt;&lt;Cite&gt;&lt;Author&gt;Bartlett&lt;/Author&gt;&lt;Year&gt;1932&lt;/Year&gt;&lt;RecNum&gt;143&lt;/RecNum&gt;&lt;DisplayText&gt;(Bartlett, 1932)&lt;/DisplayText&gt;&lt;record&gt;&lt;rec-number&gt;143&lt;/rec-number&gt;&lt;foreign-keys&gt;&lt;key app="EN" db-id="a0dede9d8dd9s9e2apfpfdtovvpea2w9s9zs" timestamp="0"&gt;143&lt;/key&gt;&lt;/foreign-keys&gt;&lt;ref-type name="Book"&gt;6&lt;/ref-type&gt;&lt;contributors&gt;&lt;authors&gt;&lt;author&gt;Bartlett, Frederic C.&lt;/author&gt;&lt;/authors&gt;&lt;/contributors&gt;&lt;titles&gt;&lt;title&gt;Remembering&lt;/title&gt;&lt;/titles&gt;&lt;dates&gt;&lt;year&gt;1932&lt;/year&gt;&lt;/dates&gt;&lt;pub-location&gt;Cambridge, UK&lt;/pub-location&gt;&lt;publisher&gt;Cambridge University Press&lt;/publisher&gt;&lt;urls&gt;&lt;/urls&gt;&lt;/record&gt;&lt;/Cite&gt;&lt;/EndNote&gt;</w:instrText>
      </w:r>
      <w:r w:rsidR="001479B3">
        <w:rPr>
          <w:rFonts w:ascii="Times New Roman" w:hAnsi="Times New Roman" w:cs="Times New Roman"/>
          <w:sz w:val="24"/>
          <w:szCs w:val="24"/>
        </w:rPr>
        <w:fldChar w:fldCharType="separate"/>
      </w:r>
      <w:r w:rsidR="001479B3">
        <w:rPr>
          <w:rFonts w:ascii="Times New Roman" w:hAnsi="Times New Roman" w:cs="Times New Roman"/>
          <w:noProof/>
          <w:sz w:val="24"/>
          <w:szCs w:val="24"/>
        </w:rPr>
        <w:t>(Bartlett, 1932)</w:t>
      </w:r>
      <w:r w:rsidR="001479B3">
        <w:rPr>
          <w:rFonts w:ascii="Times New Roman" w:hAnsi="Times New Roman" w:cs="Times New Roman"/>
          <w:sz w:val="24"/>
          <w:szCs w:val="24"/>
        </w:rPr>
        <w:fldChar w:fldCharType="end"/>
      </w:r>
      <w:r w:rsidR="00C44BFA" w:rsidRPr="00F25603">
        <w:rPr>
          <w:rFonts w:ascii="Times New Roman" w:hAnsi="Times New Roman" w:cs="Times New Roman"/>
          <w:sz w:val="24"/>
          <w:szCs w:val="24"/>
        </w:rPr>
        <w:t xml:space="preserve">. </w:t>
      </w:r>
      <w:r w:rsidRPr="000A0A4D">
        <w:rPr>
          <w:rFonts w:ascii="Times New Roman" w:hAnsi="Times New Roman" w:cs="Times New Roman"/>
          <w:sz w:val="24"/>
          <w:szCs w:val="24"/>
        </w:rPr>
        <w:t>This “reconstructive memory” has been further identified as a process which alters how consumers remember their previous experience because of their creation of false post-experience “information”</w:t>
      </w:r>
      <w:r w:rsidR="001479B3">
        <w:rPr>
          <w:rFonts w:ascii="Times New Roman" w:hAnsi="Times New Roman" w:cs="Times New Roman"/>
          <w:sz w:val="24"/>
          <w:szCs w:val="24"/>
        </w:rPr>
        <w:fldChar w:fldCharType="begin"/>
      </w:r>
      <w:r w:rsidR="001479B3">
        <w:rPr>
          <w:rFonts w:ascii="Times New Roman" w:hAnsi="Times New Roman" w:cs="Times New Roman"/>
          <w:sz w:val="24"/>
          <w:szCs w:val="24"/>
        </w:rPr>
        <w:instrText xml:space="preserve"> ADDIN EN.CITE &lt;EndNote&gt;&lt;Cite&gt;&lt;Author&gt;Loftus&lt;/Author&gt;&lt;Year&gt;1982&lt;/Year&gt;&lt;RecNum&gt;131&lt;/RecNum&gt;&lt;DisplayText&gt;(Loftus, 1982; Schacter, 1995)&lt;/DisplayText&gt;&lt;record&gt;&lt;rec-number&gt;131&lt;/rec-number&gt;&lt;foreign-keys&gt;&lt;key app="EN" db-id="a0dede9d8dd9s9e2apfpfdtovvpea2w9s9zs" timestamp="0"&gt;131&lt;/key&gt;&lt;/foreign-keys&gt;&lt;ref-type name="Journal Article"&gt;17&lt;/ref-type&gt;&lt;contributors&gt;&lt;authors&gt;&lt;author&gt;Loftus, Elizabeth&lt;/author&gt;&lt;/authors&gt;&lt;/contributors&gt;&lt;titles&gt;&lt;title&gt;Memory and its distortions&lt;/title&gt;&lt;secondary-title&gt;The G. Stanley Hall Lecture&lt;/secondary-title&gt;&lt;/titles&gt;&lt;pages&gt;123-154&lt;/pages&gt;&lt;volume&gt;2&lt;/volume&gt;&lt;dates&gt;&lt;year&gt;1982&lt;/year&gt;&lt;/dates&gt;&lt;urls&gt;&lt;/urls&gt;&lt;/record&gt;&lt;/Cite&gt;&lt;Cite&gt;&lt;Author&gt;Schacter&lt;/Author&gt;&lt;Year&gt;1995&lt;/Year&gt;&lt;RecNum&gt;142&lt;/RecNum&gt;&lt;record&gt;&lt;rec-number&gt;142&lt;/rec-number&gt;&lt;foreign-keys&gt;&lt;key app="EN" db-id="a0dede9d8dd9s9e2apfpfdtovvpea2w9s9zs" timestamp="0"&gt;142&lt;/key&gt;&lt;/foreign-keys&gt;&lt;ref-type name="Book"&gt;6&lt;/ref-type&gt;&lt;contributors&gt;&lt;authors&gt;&lt;author&gt;Schacter, Daniel&lt;/author&gt;&lt;/authors&gt;&lt;tertiary-authors&gt;&lt;author&gt;Schacter, Daniel&lt;/author&gt;&lt;/tertiary-authors&gt;&lt;/contributors&gt;&lt;titles&gt;&lt;title&gt;Memory distortion: How minds, brains, and societies reconstruct the past.&lt;/title&gt;&lt;/titles&gt;&lt;dates&gt;&lt;year&gt;1995&lt;/year&gt;&lt;/dates&gt;&lt;pub-location&gt;Cambridge, MA&lt;/pub-location&gt;&lt;publisher&gt;Havard University Press&lt;/publisher&gt;&lt;urls&gt;&lt;/urls&gt;&lt;/record&gt;&lt;/Cite&gt;&lt;/EndNote&gt;</w:instrText>
      </w:r>
      <w:r w:rsidR="001479B3">
        <w:rPr>
          <w:rFonts w:ascii="Times New Roman" w:hAnsi="Times New Roman" w:cs="Times New Roman"/>
          <w:sz w:val="24"/>
          <w:szCs w:val="24"/>
        </w:rPr>
        <w:fldChar w:fldCharType="separate"/>
      </w:r>
      <w:r w:rsidR="001479B3">
        <w:rPr>
          <w:rFonts w:ascii="Times New Roman" w:hAnsi="Times New Roman" w:cs="Times New Roman"/>
          <w:noProof/>
          <w:sz w:val="24"/>
          <w:szCs w:val="24"/>
        </w:rPr>
        <w:t>(Loftus, 1982; Schacter, 1995)</w:t>
      </w:r>
      <w:r w:rsidR="001479B3">
        <w:rPr>
          <w:rFonts w:ascii="Times New Roman" w:hAnsi="Times New Roman" w:cs="Times New Roman"/>
          <w:sz w:val="24"/>
          <w:szCs w:val="24"/>
        </w:rPr>
        <w:fldChar w:fldCharType="end"/>
      </w:r>
      <w:r>
        <w:rPr>
          <w:rFonts w:ascii="Times New Roman" w:hAnsi="Times New Roman" w:cs="Times New Roman"/>
          <w:sz w:val="24"/>
          <w:szCs w:val="24"/>
        </w:rPr>
        <w:t>;</w:t>
      </w:r>
      <w:r w:rsidR="00C44BFA" w:rsidRPr="00F25603">
        <w:rPr>
          <w:rFonts w:ascii="Times New Roman" w:hAnsi="Times New Roman" w:cs="Times New Roman"/>
          <w:sz w:val="24"/>
          <w:szCs w:val="24"/>
        </w:rPr>
        <w:t xml:space="preserve"> </w:t>
      </w:r>
      <w:r w:rsidRPr="000A0A4D">
        <w:rPr>
          <w:rFonts w:ascii="Times New Roman" w:hAnsi="Times New Roman" w:cs="Times New Roman"/>
          <w:sz w:val="24"/>
          <w:szCs w:val="24"/>
        </w:rPr>
        <w:t>additionally, it has been shown that memory reconstruction is more likely to occur when there has been a time lag between the experience of the product and its ad presentation</w:t>
      </w:r>
      <w:r w:rsidR="00C44BFA" w:rsidRPr="00F25603">
        <w:rPr>
          <w:rFonts w:ascii="Times New Roman" w:hAnsi="Times New Roman" w:cs="Times New Roman"/>
          <w:sz w:val="24"/>
          <w:szCs w:val="24"/>
        </w:rPr>
        <w:t xml:space="preserve"> </w:t>
      </w:r>
      <w:r w:rsidR="005F1DFA">
        <w:rPr>
          <w:rFonts w:ascii="Times New Roman" w:hAnsi="Times New Roman" w:cs="Times New Roman"/>
          <w:sz w:val="24"/>
          <w:szCs w:val="24"/>
        </w:rPr>
        <w:fldChar w:fldCharType="begin"/>
      </w:r>
      <w:r w:rsidR="005F1DFA">
        <w:rPr>
          <w:rFonts w:ascii="Times New Roman" w:hAnsi="Times New Roman" w:cs="Times New Roman"/>
          <w:sz w:val="24"/>
          <w:szCs w:val="24"/>
        </w:rPr>
        <w:instrText xml:space="preserve"> ADDIN EN.CITE &lt;EndNote&gt;&lt;Cite&gt;&lt;Author&gt;Braun-LaTour&lt;/Author&gt;&lt;Year&gt;2004&lt;/Year&gt;&lt;RecNum&gt;109&lt;/RecNum&gt;&lt;DisplayText&gt;(Braun-LaTour, LaTour, Pickrell, &amp;amp; Loftus, 2004; Braun, 1999)&lt;/DisplayText&gt;&lt;record&gt;&lt;rec-number&gt;109&lt;/rec-number&gt;&lt;foreign-keys&gt;&lt;key app="EN" db-id="a0dede9d8dd9s9e2apfpfdtovvpea2w9s9zs" timestamp="0"&gt;109&lt;/key&gt;&lt;/foreign-keys&gt;&lt;ref-type name="Journal Article"&gt;17&lt;/ref-type&gt;&lt;contributors&gt;&lt;authors&gt;&lt;author&gt;Kathryn A. Braun-LaTour&lt;/author&gt;&lt;author&gt;Michael S. LaTour&lt;/author&gt;&lt;author&gt;Jacqueline E. Pickrell&lt;/author&gt;&lt;author&gt;Elizabeth F. Loftus&lt;/author&gt;&lt;/authors&gt;&lt;/contributors&gt;&lt;titles&gt;&lt;title&gt;How and when advertising can influence memory for consumer experience&lt;/title&gt;&lt;secondary-title&gt;Journal of Advertising&lt;/secondary-title&gt;&lt;/titles&gt;&lt;pages&gt;7-25&lt;/pages&gt;&lt;volume&gt;33&lt;/volume&gt;&lt;number&gt;4&lt;/number&gt;&lt;dates&gt;&lt;year&gt;2004&lt;/year&gt;&lt;/dates&gt;&lt;urls&gt;&lt;/urls&gt;&lt;/record&gt;&lt;/Cite&gt;&lt;Cite&gt;&lt;Author&gt;Braun&lt;/Author&gt;&lt;Year&gt;1999&lt;/Year&gt;&lt;RecNum&gt;90&lt;/RecNum&gt;&lt;record&gt;&lt;rec-number&gt;90&lt;/rec-number&gt;&lt;foreign-keys&gt;&lt;key app="EN" db-id="a0dede9d8dd9s9e2apfpfdtovvpea2w9s9zs" timestamp="0"&gt;90&lt;/key&gt;&lt;/foreign-keys&gt;&lt;ref-type name="Journal Article"&gt;17&lt;/ref-type&gt;&lt;contributors&gt;&lt;authors&gt;&lt;author&gt;Kathryn A. Braun&lt;/author&gt;&lt;/authors&gt;&lt;/contributors&gt;&lt;titles&gt;&lt;title&gt;Postexperience advertising effects on consumer memory&lt;/title&gt;&lt;secondary-title&gt;Journal of Consumer Research&lt;/secondary-title&gt;&lt;/titles&gt;&lt;pages&gt;319-334&lt;/pages&gt;&lt;volume&gt;25&lt;/volume&gt;&lt;dates&gt;&lt;year&gt;1999&lt;/year&gt;&lt;/dates&gt;&lt;urls&gt;&lt;/urls&gt;&lt;/record&gt;&lt;/Cite&gt;&lt;/EndNote&gt;</w:instrText>
      </w:r>
      <w:r w:rsidR="005F1DFA">
        <w:rPr>
          <w:rFonts w:ascii="Times New Roman" w:hAnsi="Times New Roman" w:cs="Times New Roman"/>
          <w:sz w:val="24"/>
          <w:szCs w:val="24"/>
        </w:rPr>
        <w:fldChar w:fldCharType="separate"/>
      </w:r>
      <w:r w:rsidR="005F1DFA">
        <w:rPr>
          <w:rFonts w:ascii="Times New Roman" w:hAnsi="Times New Roman" w:cs="Times New Roman"/>
          <w:noProof/>
          <w:sz w:val="24"/>
          <w:szCs w:val="24"/>
        </w:rPr>
        <w:t xml:space="preserve">(Braun-LaTour, LaTour, </w:t>
      </w:r>
      <w:r w:rsidR="005F1DFA">
        <w:rPr>
          <w:rFonts w:ascii="Times New Roman" w:hAnsi="Times New Roman" w:cs="Times New Roman"/>
          <w:noProof/>
          <w:sz w:val="24"/>
          <w:szCs w:val="24"/>
        </w:rPr>
        <w:lastRenderedPageBreak/>
        <w:t>Pickrell, &amp; Loftus, 2004; Braun, 1999)</w:t>
      </w:r>
      <w:r w:rsidR="005F1DFA">
        <w:rPr>
          <w:rFonts w:ascii="Times New Roman" w:hAnsi="Times New Roman" w:cs="Times New Roman"/>
          <w:sz w:val="24"/>
          <w:szCs w:val="24"/>
        </w:rPr>
        <w:fldChar w:fldCharType="end"/>
      </w:r>
      <w:r w:rsidR="00C44BFA" w:rsidRPr="00F25603">
        <w:rPr>
          <w:rFonts w:ascii="Times New Roman" w:hAnsi="Times New Roman" w:cs="Times New Roman"/>
          <w:sz w:val="24"/>
          <w:szCs w:val="24"/>
        </w:rPr>
        <w:t xml:space="preserve">. </w:t>
      </w:r>
      <w:r w:rsidRPr="000A0A4D">
        <w:rPr>
          <w:rFonts w:ascii="Times New Roman" w:hAnsi="Times New Roman" w:cs="Times New Roman"/>
          <w:sz w:val="24"/>
          <w:szCs w:val="24"/>
        </w:rPr>
        <w:t>On the other hand, when consumers recall their previous experience under memory-based circumstances, the process of retrieving the memory of that experience can be influenced by expectations driven by the consumer’s existing knowledge base</w:t>
      </w:r>
      <w:r w:rsidR="00905654">
        <w:rPr>
          <w:rFonts w:ascii="Times New Roman" w:hAnsi="Times New Roman" w:cs="Times New Roman"/>
          <w:sz w:val="24"/>
          <w:szCs w:val="24"/>
        </w:rPr>
        <w:t xml:space="preserve"> </w:t>
      </w:r>
      <w:r w:rsidR="005F1DFA">
        <w:rPr>
          <w:rFonts w:ascii="Times New Roman" w:hAnsi="Times New Roman" w:cs="Times New Roman"/>
          <w:sz w:val="24"/>
          <w:szCs w:val="24"/>
        </w:rPr>
        <w:fldChar w:fldCharType="begin"/>
      </w:r>
      <w:r w:rsidR="005F1DFA">
        <w:rPr>
          <w:rFonts w:ascii="Times New Roman" w:hAnsi="Times New Roman" w:cs="Times New Roman"/>
          <w:sz w:val="24"/>
          <w:szCs w:val="24"/>
        </w:rPr>
        <w:instrText xml:space="preserve"> ADDIN EN.CITE &lt;EndNote&gt;&lt;Cite&gt;&lt;Author&gt;Loftus&lt;/Author&gt;&lt;Year&gt;1982&lt;/Year&gt;&lt;RecNum&gt;131&lt;/RecNum&gt;&lt;DisplayText&gt;(Loftus, 1982)&lt;/DisplayText&gt;&lt;record&gt;&lt;rec-number&gt;131&lt;/rec-number&gt;&lt;foreign-keys&gt;&lt;key app="EN" db-id="a0dede9d8dd9s9e2apfpfdtovvpea2w9s9zs" timestamp="0"&gt;131&lt;/key&gt;&lt;/foreign-keys&gt;&lt;ref-type name="Journal Article"&gt;17&lt;/ref-type&gt;&lt;contributors&gt;&lt;authors&gt;&lt;author&gt;Loftus, Elizabeth&lt;/author&gt;&lt;/authors&gt;&lt;/contributors&gt;&lt;titles&gt;&lt;title&gt;Memory and its distortions&lt;/title&gt;&lt;secondary-title&gt;The G. Stanley Hall Lecture&lt;/secondary-title&gt;&lt;/titles&gt;&lt;pages&gt;123-154&lt;/pages&gt;&lt;volume&gt;2&lt;/volume&gt;&lt;dates&gt;&lt;year&gt;1982&lt;/year&gt;&lt;/dates&gt;&lt;urls&gt;&lt;/urls&gt;&lt;/record&gt;&lt;/Cite&gt;&lt;/EndNote&gt;</w:instrText>
      </w:r>
      <w:r w:rsidR="005F1DFA">
        <w:rPr>
          <w:rFonts w:ascii="Times New Roman" w:hAnsi="Times New Roman" w:cs="Times New Roman"/>
          <w:sz w:val="24"/>
          <w:szCs w:val="24"/>
        </w:rPr>
        <w:fldChar w:fldCharType="separate"/>
      </w:r>
      <w:r w:rsidR="005F1DFA">
        <w:rPr>
          <w:rFonts w:ascii="Times New Roman" w:hAnsi="Times New Roman" w:cs="Times New Roman"/>
          <w:noProof/>
          <w:sz w:val="24"/>
          <w:szCs w:val="24"/>
        </w:rPr>
        <w:t>(Loftus, 1982)</w:t>
      </w:r>
      <w:r w:rsidR="005F1DFA">
        <w:rPr>
          <w:rFonts w:ascii="Times New Roman" w:hAnsi="Times New Roman" w:cs="Times New Roman"/>
          <w:sz w:val="24"/>
          <w:szCs w:val="24"/>
        </w:rPr>
        <w:fldChar w:fldCharType="end"/>
      </w:r>
      <w:r w:rsidR="00C44BFA" w:rsidRPr="00F25603">
        <w:rPr>
          <w:rFonts w:ascii="Times New Roman" w:hAnsi="Times New Roman" w:cs="Times New Roman"/>
          <w:sz w:val="24"/>
          <w:szCs w:val="24"/>
        </w:rPr>
        <w:t>.</w:t>
      </w:r>
      <w:r w:rsidR="008C57D8">
        <w:rPr>
          <w:rFonts w:ascii="Times New Roman" w:hAnsi="Times New Roman" w:cs="Times New Roman"/>
          <w:sz w:val="24"/>
          <w:szCs w:val="24"/>
        </w:rPr>
        <w:t xml:space="preserve"> </w:t>
      </w:r>
    </w:p>
    <w:p w:rsidR="00905654" w:rsidRPr="0077459A" w:rsidRDefault="00905654" w:rsidP="00E05527">
      <w:pPr>
        <w:spacing w:after="0" w:line="240" w:lineRule="auto"/>
        <w:jc w:val="center"/>
        <w:rPr>
          <w:rFonts w:ascii="Times New Roman" w:hAnsi="Times New Roman" w:cs="Times New Roman"/>
          <w:b/>
          <w:sz w:val="24"/>
          <w:szCs w:val="24"/>
        </w:rPr>
      </w:pPr>
      <w:r w:rsidRPr="0077459A">
        <w:rPr>
          <w:rFonts w:ascii="Times New Roman" w:hAnsi="Times New Roman" w:cs="Times New Roman"/>
          <w:b/>
          <w:sz w:val="24"/>
          <w:szCs w:val="24"/>
        </w:rPr>
        <w:t>Research Purposes and Hypotheses</w:t>
      </w:r>
    </w:p>
    <w:p w:rsidR="000A0A4D" w:rsidRDefault="000A0A4D" w:rsidP="00E05527">
      <w:pPr>
        <w:spacing w:after="0" w:line="240" w:lineRule="auto"/>
        <w:ind w:firstLine="720"/>
        <w:rPr>
          <w:rFonts w:ascii="Times New Roman" w:hAnsi="Times New Roman" w:cs="Times New Roman"/>
          <w:sz w:val="24"/>
          <w:szCs w:val="24"/>
        </w:rPr>
      </w:pPr>
      <w:r w:rsidRPr="000A0A4D">
        <w:rPr>
          <w:rFonts w:ascii="Times New Roman" w:hAnsi="Times New Roman" w:cs="Times New Roman"/>
          <w:sz w:val="24"/>
          <w:szCs w:val="24"/>
        </w:rPr>
        <w:t>The current study attempts to examine the post-experience advertising effect on memory of sport event experience. The purpose of this study is to expand the boundaries of contemporary post-experience advertising effect studies by investigating the post-experience advertising effect on different types of product experience. Controlling for variance in age, educational background, and lifestyle makes it possible to reduce the variance within the sample, successfully detect the differences between experimental groups, and then construct the following hypothesis:</w:t>
      </w:r>
    </w:p>
    <w:p w:rsidR="00905654" w:rsidRPr="00F25603" w:rsidRDefault="00905654" w:rsidP="00E05527">
      <w:pPr>
        <w:spacing w:after="0" w:line="240" w:lineRule="auto"/>
        <w:ind w:firstLine="720"/>
        <w:rPr>
          <w:rFonts w:ascii="Times New Roman" w:hAnsi="Times New Roman" w:cs="Times New Roman"/>
          <w:i/>
          <w:sz w:val="24"/>
          <w:szCs w:val="24"/>
        </w:rPr>
      </w:pPr>
      <w:r>
        <w:rPr>
          <w:rFonts w:ascii="Times New Roman" w:hAnsi="Times New Roman" w:cs="Times New Roman"/>
          <w:i/>
          <w:sz w:val="24"/>
          <w:szCs w:val="24"/>
        </w:rPr>
        <w:t>Hypothesis</w:t>
      </w:r>
      <w:r w:rsidRPr="00F25603">
        <w:rPr>
          <w:rFonts w:ascii="Times New Roman" w:hAnsi="Times New Roman" w:cs="Times New Roman"/>
          <w:i/>
          <w:sz w:val="24"/>
          <w:szCs w:val="24"/>
        </w:rPr>
        <w:t xml:space="preserve"> 1: Examining whether post-experience advertising effectively transforms college students’ memories of collegiate sport</w:t>
      </w:r>
      <w:r w:rsidR="00712E4A">
        <w:rPr>
          <w:rFonts w:ascii="Times New Roman" w:hAnsi="Times New Roman" w:cs="Times New Roman"/>
          <w:i/>
          <w:sz w:val="24"/>
          <w:szCs w:val="24"/>
        </w:rPr>
        <w:t>ing</w:t>
      </w:r>
      <w:r w:rsidRPr="00F25603">
        <w:rPr>
          <w:rFonts w:ascii="Times New Roman" w:hAnsi="Times New Roman" w:cs="Times New Roman"/>
          <w:i/>
          <w:sz w:val="24"/>
          <w:szCs w:val="24"/>
        </w:rPr>
        <w:t xml:space="preserve"> event experience:</w:t>
      </w:r>
    </w:p>
    <w:p w:rsidR="00905654" w:rsidRPr="00F25603" w:rsidRDefault="00905654" w:rsidP="00E05527">
      <w:pPr>
        <w:spacing w:after="0" w:line="240" w:lineRule="auto"/>
        <w:ind w:firstLine="720"/>
        <w:rPr>
          <w:rFonts w:ascii="Times New Roman" w:hAnsi="Times New Roman" w:cs="Times New Roman"/>
          <w:sz w:val="24"/>
          <w:szCs w:val="24"/>
        </w:rPr>
      </w:pPr>
      <w:r w:rsidRPr="00F25603">
        <w:rPr>
          <w:rFonts w:ascii="Times New Roman" w:hAnsi="Times New Roman" w:cs="Times New Roman"/>
          <w:sz w:val="24"/>
          <w:szCs w:val="24"/>
        </w:rPr>
        <w:t>H1a: Participants who are exposed to post-experience adverti</w:t>
      </w:r>
      <w:r>
        <w:rPr>
          <w:rFonts w:ascii="Times New Roman" w:hAnsi="Times New Roman" w:cs="Times New Roman"/>
          <w:sz w:val="24"/>
          <w:szCs w:val="24"/>
        </w:rPr>
        <w:t>sing will recall more ad-consistent</w:t>
      </w:r>
      <w:r w:rsidRPr="00F25603">
        <w:rPr>
          <w:rFonts w:ascii="Times New Roman" w:hAnsi="Times New Roman" w:cs="Times New Roman"/>
          <w:sz w:val="24"/>
          <w:szCs w:val="24"/>
        </w:rPr>
        <w:t xml:space="preserve"> words about the event than participants without post-experience advertising exposure.</w:t>
      </w:r>
    </w:p>
    <w:p w:rsidR="00905654" w:rsidRPr="00F25603" w:rsidRDefault="00905654" w:rsidP="00E05527">
      <w:pPr>
        <w:spacing w:after="0" w:line="240" w:lineRule="auto"/>
        <w:ind w:firstLine="720"/>
        <w:rPr>
          <w:rFonts w:ascii="Times New Roman" w:hAnsi="Times New Roman" w:cs="Times New Roman"/>
          <w:sz w:val="24"/>
          <w:szCs w:val="24"/>
        </w:rPr>
      </w:pPr>
      <w:r w:rsidRPr="00F25603">
        <w:rPr>
          <w:rFonts w:ascii="Times New Roman" w:hAnsi="Times New Roman" w:cs="Times New Roman"/>
          <w:sz w:val="24"/>
          <w:szCs w:val="24"/>
        </w:rPr>
        <w:t>H1b: Participants who are exposed to the post-experience advertising will recall more ad-consistent and fewer experience-consistent thoughts about the event than participants without post-experience advertising exposure.</w:t>
      </w:r>
    </w:p>
    <w:p w:rsidR="00905654" w:rsidRDefault="00905654" w:rsidP="00E05527">
      <w:pPr>
        <w:spacing w:after="0" w:line="240" w:lineRule="auto"/>
        <w:ind w:firstLine="720"/>
        <w:rPr>
          <w:rFonts w:ascii="Times New Roman" w:hAnsi="Times New Roman" w:cs="Times New Roman"/>
          <w:sz w:val="24"/>
          <w:szCs w:val="24"/>
        </w:rPr>
      </w:pPr>
      <w:r w:rsidRPr="00F25603">
        <w:rPr>
          <w:rFonts w:ascii="Times New Roman" w:hAnsi="Times New Roman" w:cs="Times New Roman"/>
          <w:sz w:val="24"/>
          <w:szCs w:val="24"/>
        </w:rPr>
        <w:t xml:space="preserve">H1c: Participants who are exposed to post-experience advertising will </w:t>
      </w:r>
      <w:r>
        <w:rPr>
          <w:rFonts w:ascii="Times New Roman" w:hAnsi="Times New Roman" w:cs="Times New Roman"/>
          <w:sz w:val="24"/>
          <w:szCs w:val="24"/>
        </w:rPr>
        <w:t>present higher possibility to falsely pick the collegiate sport that they had watched earlier.</w:t>
      </w:r>
    </w:p>
    <w:p w:rsidR="00905654" w:rsidRDefault="00905654" w:rsidP="00E05527">
      <w:pPr>
        <w:spacing w:after="0" w:line="240" w:lineRule="auto"/>
        <w:ind w:firstLine="720"/>
        <w:rPr>
          <w:rFonts w:ascii="Times New Roman" w:hAnsi="Times New Roman" w:cs="Times New Roman"/>
          <w:sz w:val="24"/>
          <w:szCs w:val="24"/>
        </w:rPr>
      </w:pPr>
      <w:r w:rsidRPr="00F25603">
        <w:rPr>
          <w:rFonts w:ascii="Times New Roman" w:hAnsi="Times New Roman" w:cs="Times New Roman"/>
          <w:sz w:val="24"/>
          <w:szCs w:val="24"/>
        </w:rPr>
        <w:t xml:space="preserve">H1d: Participants who are exposed to post-experience advertising will </w:t>
      </w:r>
      <w:r>
        <w:rPr>
          <w:rFonts w:ascii="Times New Roman" w:hAnsi="Times New Roman" w:cs="Times New Roman"/>
          <w:sz w:val="24"/>
          <w:szCs w:val="24"/>
        </w:rPr>
        <w:t xml:space="preserve">more likely to </w:t>
      </w:r>
      <w:r w:rsidRPr="00F25603">
        <w:rPr>
          <w:rFonts w:ascii="Times New Roman" w:hAnsi="Times New Roman" w:cs="Times New Roman"/>
          <w:sz w:val="24"/>
          <w:szCs w:val="24"/>
        </w:rPr>
        <w:t>evaluate the event</w:t>
      </w:r>
      <w:r>
        <w:rPr>
          <w:rFonts w:ascii="Times New Roman" w:hAnsi="Times New Roman" w:cs="Times New Roman"/>
          <w:sz w:val="24"/>
          <w:szCs w:val="24"/>
        </w:rPr>
        <w:t xml:space="preserve"> experience</w:t>
      </w:r>
      <w:r w:rsidRPr="00F25603">
        <w:rPr>
          <w:rFonts w:ascii="Times New Roman" w:hAnsi="Times New Roman" w:cs="Times New Roman"/>
          <w:sz w:val="24"/>
          <w:szCs w:val="24"/>
        </w:rPr>
        <w:t xml:space="preserve"> based on ad-consistent attributes than participants without post-experience ad exposure.</w:t>
      </w:r>
    </w:p>
    <w:p w:rsidR="00E32B30" w:rsidRDefault="00E32B30" w:rsidP="00E05527">
      <w:pPr>
        <w:spacing w:after="0" w:line="240" w:lineRule="auto"/>
        <w:jc w:val="center"/>
        <w:rPr>
          <w:rFonts w:ascii="Times New Roman" w:hAnsi="Times New Roman" w:cs="Times New Roman"/>
          <w:b/>
          <w:sz w:val="24"/>
          <w:szCs w:val="24"/>
        </w:rPr>
      </w:pPr>
      <w:r w:rsidRPr="00E05527">
        <w:rPr>
          <w:rFonts w:ascii="Times New Roman" w:hAnsi="Times New Roman" w:cs="Times New Roman"/>
          <w:b/>
          <w:sz w:val="24"/>
          <w:szCs w:val="24"/>
        </w:rPr>
        <w:t>Proposed Methods</w:t>
      </w:r>
    </w:p>
    <w:p w:rsidR="008E35FB" w:rsidRPr="008E35FB" w:rsidRDefault="008E35FB" w:rsidP="008E35FB">
      <w:pPr>
        <w:spacing w:after="0" w:line="240" w:lineRule="auto"/>
        <w:rPr>
          <w:rFonts w:ascii="Times New Roman" w:hAnsi="Times New Roman" w:cs="Times New Roman"/>
          <w:i/>
          <w:sz w:val="24"/>
          <w:szCs w:val="24"/>
        </w:rPr>
      </w:pPr>
      <w:r w:rsidRPr="008E35FB">
        <w:rPr>
          <w:rFonts w:ascii="Times New Roman" w:hAnsi="Times New Roman" w:cs="Times New Roman"/>
          <w:i/>
          <w:sz w:val="24"/>
          <w:szCs w:val="24"/>
        </w:rPr>
        <w:t>Experiment Design</w:t>
      </w:r>
    </w:p>
    <w:p w:rsidR="00712E4A" w:rsidRDefault="00E05527" w:rsidP="008E35FB">
      <w:pPr>
        <w:spacing w:after="0" w:line="240" w:lineRule="auto"/>
        <w:ind w:firstLine="720"/>
        <w:rPr>
          <w:rFonts w:ascii="Times New Roman" w:hAnsi="Times New Roman" w:cs="Times New Roman"/>
          <w:sz w:val="24"/>
          <w:szCs w:val="24"/>
        </w:rPr>
      </w:pPr>
      <w:r w:rsidRPr="00E05527">
        <w:rPr>
          <w:rFonts w:ascii="Times New Roman" w:hAnsi="Times New Roman" w:cs="Times New Roman"/>
          <w:sz w:val="24"/>
          <w:szCs w:val="24"/>
        </w:rPr>
        <w:t>The intended experiment follows a classic, post-test only, control group design</w:t>
      </w:r>
      <w:r w:rsidR="008424E3">
        <w:rPr>
          <w:rFonts w:ascii="Times New Roman" w:hAnsi="Times New Roman" w:cs="Times New Roman"/>
          <w:sz w:val="24"/>
          <w:szCs w:val="24"/>
        </w:rPr>
        <w:t xml:space="preserve"> </w:t>
      </w:r>
      <w:r w:rsidR="008424E3">
        <w:rPr>
          <w:rFonts w:ascii="Times New Roman" w:hAnsi="Times New Roman" w:cs="Times New Roman"/>
          <w:sz w:val="24"/>
          <w:szCs w:val="24"/>
        </w:rPr>
        <w:fldChar w:fldCharType="begin"/>
      </w:r>
      <w:r w:rsidR="008424E3">
        <w:rPr>
          <w:rFonts w:ascii="Times New Roman" w:hAnsi="Times New Roman" w:cs="Times New Roman"/>
          <w:sz w:val="24"/>
          <w:szCs w:val="24"/>
        </w:rPr>
        <w:instrText xml:space="preserve"> ADDIN EN.CITE &lt;EndNote&gt;&lt;Cite&gt;&lt;Author&gt;Babbie&lt;/Author&gt;&lt;Year&gt;2013&lt;/Year&gt;&lt;RecNum&gt;269&lt;/RecNum&gt;&lt;DisplayText&gt;(Babbie, 2013)&lt;/DisplayText&gt;&lt;record&gt;&lt;rec-number&gt;269&lt;/rec-number&gt;&lt;foreign-keys&gt;&lt;key app="EN" db-id="a0dede9d8dd9s9e2apfpfdtovvpea2w9s9zs" timestamp="1453489599"&gt;269&lt;/key&gt;&lt;/foreign-keys&gt;&lt;ref-type name="Book"&gt;6&lt;/ref-type&gt;&lt;contributors&gt;&lt;authors&gt;&lt;author&gt;Babbie, Earl R.&lt;/author&gt;&lt;/authors&gt;&lt;/contributors&gt;&lt;titles&gt;&lt;title&gt;The practice of social research&lt;/title&gt;&lt;/titles&gt;&lt;keywords&gt;&lt;keyword&gt;Social sciences -- Research -- Methodology&lt;/keyword&gt;&lt;/keywords&gt;&lt;dates&gt;&lt;year&gt;2013&lt;/year&gt;&lt;/dates&gt;&lt;publisher&gt;Belmont, Calif. : Wadsworth Cengage Learning&lt;/publisher&gt;&lt;isbn&gt;9781133049791&amp;#xD;1133049796&amp;#xD;9781133050094&amp;#xD;1133050093&lt;/isbn&gt;&lt;work-type&gt;Bibliographies&amp;#xD;Non-fiction&lt;/work-type&gt;&lt;urls&gt;&lt;related-urls&gt;&lt;url&gt;http://proxyiub.uits.iu.edu/login?url=http://search.ebscohost.com/login.aspx?direct=true&amp;amp;db=cat00016a&amp;amp;AN=inun.10851622&amp;amp;site=eds-live&amp;amp;scope=site&lt;/url&gt;&lt;/related-urls&gt;&lt;/urls&gt;&lt;remote-database-name&gt;cat00016a&lt;/remote-database-name&gt;&lt;remote-database-provider&gt;EBSCOhost&lt;/remote-database-provider&gt;&lt;/record&gt;&lt;/Cite&gt;&lt;/EndNote&gt;</w:instrText>
      </w:r>
      <w:r w:rsidR="008424E3">
        <w:rPr>
          <w:rFonts w:ascii="Times New Roman" w:hAnsi="Times New Roman" w:cs="Times New Roman"/>
          <w:sz w:val="24"/>
          <w:szCs w:val="24"/>
        </w:rPr>
        <w:fldChar w:fldCharType="separate"/>
      </w:r>
      <w:r w:rsidR="008424E3">
        <w:rPr>
          <w:rFonts w:ascii="Times New Roman" w:hAnsi="Times New Roman" w:cs="Times New Roman"/>
          <w:noProof/>
          <w:sz w:val="24"/>
          <w:szCs w:val="24"/>
        </w:rPr>
        <w:t>(Babbie, 2013)</w:t>
      </w:r>
      <w:r w:rsidR="008424E3">
        <w:rPr>
          <w:rFonts w:ascii="Times New Roman" w:hAnsi="Times New Roman" w:cs="Times New Roman"/>
          <w:sz w:val="24"/>
          <w:szCs w:val="24"/>
        </w:rPr>
        <w:fldChar w:fldCharType="end"/>
      </w:r>
      <w:r w:rsidRPr="00E05527">
        <w:rPr>
          <w:rFonts w:ascii="Times New Roman" w:hAnsi="Times New Roman" w:cs="Times New Roman"/>
          <w:sz w:val="24"/>
          <w:szCs w:val="24"/>
        </w:rPr>
        <w:t xml:space="preserve">. </w:t>
      </w:r>
      <w:r w:rsidR="00712E4A" w:rsidRPr="00712E4A">
        <w:rPr>
          <w:rFonts w:ascii="Times New Roman" w:hAnsi="Times New Roman" w:cs="Times New Roman"/>
          <w:sz w:val="24"/>
          <w:szCs w:val="24"/>
        </w:rPr>
        <w:t>Two experimental groups and a control group are created by randomly selecting and assigning subjects from a sampling of the population. Since the three groups are created by random selection and assignment of subjects, it will suffice to compare a post-test only. The experiment for acquiring empirical data for this study will be conducted and the experimental design setup is presented by following figure 1. The sequential remember, know, and guess (R/K/G) measures adapted by</w:t>
      </w:r>
      <w:r w:rsidR="00712E4A">
        <w:rPr>
          <w:rFonts w:ascii="Times New Roman" w:hAnsi="Times New Roman" w:cs="Times New Roman"/>
          <w:sz w:val="24"/>
          <w:szCs w:val="24"/>
        </w:rPr>
        <w:t xml:space="preserve"> </w:t>
      </w:r>
      <w:r w:rsidR="005F1DFA">
        <w:rPr>
          <w:rFonts w:ascii="Times New Roman" w:hAnsi="Times New Roman" w:cs="Times New Roman"/>
          <w:sz w:val="24"/>
          <w:szCs w:val="24"/>
        </w:rPr>
        <w:fldChar w:fldCharType="begin"/>
      </w:r>
      <w:r w:rsidR="00712E4A">
        <w:rPr>
          <w:rFonts w:ascii="Times New Roman" w:hAnsi="Times New Roman" w:cs="Times New Roman"/>
          <w:sz w:val="24"/>
          <w:szCs w:val="24"/>
        </w:rPr>
        <w:instrText xml:space="preserve"> ADDIN EN.CITE &lt;EndNote&gt;&lt;Cite AuthorYear="1"&gt;&lt;Author&gt;Tulving&lt;/Author&gt;&lt;Year&gt;1985&lt;/Year&gt;&lt;RecNum&gt;268&lt;/RecNum&gt;&lt;DisplayText&gt;Tulving (1985)&lt;/DisplayText&gt;&lt;record&gt;&lt;rec-number&gt;268&lt;/rec-number&gt;&lt;foreign-keys&gt;&lt;key app="EN" db-id="a0dede9d8dd9s9e2apfpfdtovvpea2w9s9zs" timestamp="1453489392"&gt;268&lt;/key&gt;&lt;/foreign-keys&gt;&lt;ref-type name="Journal Article"&gt;17&lt;/ref-type&gt;&lt;contributors&gt;&lt;authors&gt;&lt;author&gt;Tulving, Endel&lt;/author&gt;&lt;/authors&gt;&lt;/contributors&gt;&lt;titles&gt;&lt;title&gt;Memory and consciousness&lt;/title&gt;&lt;secondary-title&gt;Canadian Psychology/Psychologie canadienne&lt;/secondary-title&gt;&lt;/titles&gt;&lt;periodical&gt;&lt;full-title&gt;Canadian Psychology/Psychologie canadienne&lt;/full-title&gt;&lt;/periodical&gt;&lt;pages&gt;1-12&lt;/pages&gt;&lt;volume&gt;26&lt;/volume&gt;&lt;number&gt;1&lt;/number&gt;&lt;keywords&gt;&lt;keyword&gt;procedural &amp;amp; semantic &amp;amp; episodic memory systems&lt;/keyword&gt;&lt;keyword&gt;anoetic &amp;amp; noetic &amp;amp; autonoetic states of consciousness&lt;/keyword&gt;&lt;keyword&gt;male amnesic patient &amp;amp; normal college students&lt;/keyword&gt;&lt;keyword&gt;Consciousness States&lt;/keyword&gt;&lt;keyword&gt;Memory&lt;/keyword&gt;&lt;keyword&gt;Amnesia&lt;/keyword&gt;&lt;keyword&gt;Recall (Learning)&lt;/keyword&gt;&lt;/keywords&gt;&lt;dates&gt;&lt;year&gt;1985&lt;/year&gt;&lt;/dates&gt;&lt;pub-location&gt;Canada&lt;/pub-location&gt;&lt;publisher&gt;Canadian Psychological Association&lt;/publisher&gt;&lt;isbn&gt;0708-5591&amp;#xD;1878-7304&lt;/isbn&gt;&lt;accession-num&gt;1985-27196-001&lt;/accession-num&gt;&lt;urls&gt;&lt;related-urls&gt;&lt;url&gt;http://proxyiub.uits.iu.edu/login?url=http://search.ebscohost.com/login.aspx?direct=true&amp;amp;db=pdh&amp;amp;AN=1985-27196-001&amp;amp;site=eds-live&amp;amp;scope=site&lt;/url&gt;&lt;/related-urls&gt;&lt;/urls&gt;&lt;electronic-resource-num&gt;10.1037/h0080017&lt;/electronic-resource-num&gt;&lt;remote-database-name&gt;pdh&lt;/remote-database-name&gt;&lt;remote-database-provider&gt;EBSCOhost&lt;/remote-database-provider&gt;&lt;/record&gt;&lt;/Cite&gt;&lt;/EndNote&gt;</w:instrText>
      </w:r>
      <w:r w:rsidR="005F1DFA">
        <w:rPr>
          <w:rFonts w:ascii="Times New Roman" w:hAnsi="Times New Roman" w:cs="Times New Roman"/>
          <w:sz w:val="24"/>
          <w:szCs w:val="24"/>
        </w:rPr>
        <w:fldChar w:fldCharType="separate"/>
      </w:r>
      <w:r w:rsidR="00712E4A">
        <w:rPr>
          <w:rFonts w:ascii="Times New Roman" w:hAnsi="Times New Roman" w:cs="Times New Roman"/>
          <w:noProof/>
          <w:sz w:val="24"/>
          <w:szCs w:val="24"/>
        </w:rPr>
        <w:t>Tulving (1985)</w:t>
      </w:r>
      <w:r w:rsidR="005F1DFA">
        <w:rPr>
          <w:rFonts w:ascii="Times New Roman" w:hAnsi="Times New Roman" w:cs="Times New Roman"/>
          <w:sz w:val="24"/>
          <w:szCs w:val="24"/>
        </w:rPr>
        <w:fldChar w:fldCharType="end"/>
      </w:r>
      <w:r w:rsidRPr="00E05527">
        <w:rPr>
          <w:rFonts w:ascii="Times New Roman" w:hAnsi="Times New Roman" w:cs="Times New Roman"/>
          <w:sz w:val="24"/>
          <w:szCs w:val="24"/>
        </w:rPr>
        <w:t xml:space="preserve"> </w:t>
      </w:r>
      <w:r w:rsidR="00712E4A" w:rsidRPr="00712E4A">
        <w:rPr>
          <w:rFonts w:ascii="Times New Roman" w:hAnsi="Times New Roman" w:cs="Times New Roman"/>
          <w:sz w:val="24"/>
          <w:szCs w:val="24"/>
        </w:rPr>
        <w:t xml:space="preserve">will be applied to capture how participants feel about the product of their memory retrieval. Under this design, participants will first watch a video describing collegiate football experience. After watching the collegiate football experience video, participants will be randomly assigned to one of three advertising conditions (no advertising, false advertising, and the same product advertising displaying different attributes). All participants then will be tested on the memories of their observation of the collegiate football experience video, their ability recognizing the collegiate sport they observed, their confidence ratings and a notional bet to measure the certainty of the recognition decision, and their overall evaluation of collegiate sport event experience. </w:t>
      </w:r>
    </w:p>
    <w:p w:rsidR="008E35FB" w:rsidRDefault="008E35FB" w:rsidP="00E05527">
      <w:pPr>
        <w:spacing w:after="0" w:line="240" w:lineRule="auto"/>
        <w:ind w:firstLine="720"/>
        <w:rPr>
          <w:rFonts w:ascii="Times New Roman" w:hAnsi="Times New Roman" w:cs="Times New Roman"/>
          <w:sz w:val="24"/>
          <w:szCs w:val="24"/>
        </w:rPr>
      </w:pPr>
      <w:r w:rsidRPr="008E35FB">
        <w:rPr>
          <w:rFonts w:ascii="Times New Roman" w:hAnsi="Times New Roman" w:cs="Times New Roman"/>
          <w:sz w:val="24"/>
          <w:szCs w:val="24"/>
        </w:rPr>
        <w:t xml:space="preserve">The current experiment uses Braun’s (1999) experiment design and follows her procedure with </w:t>
      </w:r>
      <w:r w:rsidR="007E2CBF">
        <w:rPr>
          <w:rFonts w:ascii="Times New Roman" w:hAnsi="Times New Roman" w:cs="Times New Roman"/>
          <w:sz w:val="24"/>
          <w:szCs w:val="24"/>
        </w:rPr>
        <w:t>three</w:t>
      </w:r>
      <w:r w:rsidRPr="008E35FB">
        <w:rPr>
          <w:rFonts w:ascii="Times New Roman" w:hAnsi="Times New Roman" w:cs="Times New Roman"/>
          <w:sz w:val="24"/>
          <w:szCs w:val="24"/>
        </w:rPr>
        <w:t xml:space="preserve"> exceptions. </w:t>
      </w:r>
      <w:r w:rsidR="00712E4A" w:rsidRPr="00712E4A">
        <w:rPr>
          <w:rFonts w:ascii="Times New Roman" w:hAnsi="Times New Roman" w:cs="Times New Roman"/>
          <w:sz w:val="24"/>
          <w:szCs w:val="24"/>
        </w:rPr>
        <w:t xml:space="preserve">First, the current study uses single product-experience stimuli. Second, the collegiate football event experience is </w:t>
      </w:r>
      <w:r w:rsidR="00712E4A">
        <w:rPr>
          <w:rFonts w:ascii="Times New Roman" w:hAnsi="Times New Roman" w:cs="Times New Roman"/>
          <w:sz w:val="24"/>
          <w:szCs w:val="24"/>
        </w:rPr>
        <w:t xml:space="preserve">applied as investigated product experience, </w:t>
      </w:r>
      <w:r w:rsidR="00712E4A" w:rsidRPr="00712E4A">
        <w:rPr>
          <w:rFonts w:ascii="Times New Roman" w:hAnsi="Times New Roman" w:cs="Times New Roman"/>
          <w:sz w:val="24"/>
          <w:szCs w:val="24"/>
        </w:rPr>
        <w:t>which not a particular experience-based product experience such as juice taste. Third, both truthful advertising and false advertising are included as post-experience exposure.</w:t>
      </w:r>
    </w:p>
    <w:p w:rsidR="00E05527" w:rsidRPr="008E35FB" w:rsidRDefault="00E05527" w:rsidP="008E35FB">
      <w:pPr>
        <w:spacing w:after="0" w:line="240" w:lineRule="auto"/>
        <w:rPr>
          <w:rFonts w:ascii="Times New Roman" w:hAnsi="Times New Roman" w:cs="Times New Roman"/>
          <w:i/>
          <w:sz w:val="24"/>
          <w:szCs w:val="24"/>
        </w:rPr>
      </w:pPr>
      <w:r w:rsidRPr="008E35FB">
        <w:rPr>
          <w:rFonts w:ascii="Times New Roman" w:hAnsi="Times New Roman" w:cs="Times New Roman"/>
          <w:i/>
          <w:sz w:val="24"/>
          <w:szCs w:val="24"/>
        </w:rPr>
        <w:lastRenderedPageBreak/>
        <w:t>Sampling Design</w:t>
      </w:r>
    </w:p>
    <w:p w:rsidR="008E35FB" w:rsidRPr="008E35FB" w:rsidRDefault="00712E4A" w:rsidP="00712E4A">
      <w:pPr>
        <w:spacing w:after="0" w:line="240" w:lineRule="auto"/>
        <w:ind w:firstLine="720"/>
        <w:rPr>
          <w:rFonts w:ascii="Times New Roman" w:hAnsi="Times New Roman" w:cs="Times New Roman"/>
          <w:i/>
          <w:sz w:val="24"/>
          <w:szCs w:val="24"/>
        </w:rPr>
      </w:pPr>
      <w:r w:rsidRPr="00712E4A">
        <w:rPr>
          <w:rFonts w:ascii="Times New Roman" w:hAnsi="Times New Roman" w:cs="Times New Roman"/>
          <w:sz w:val="24"/>
          <w:szCs w:val="24"/>
        </w:rPr>
        <w:t xml:space="preserve">A convenience sample of approximately 200 college students from a large Midwestern university will serve as the study’s participants. The sample size was calculated based upon previous research analyzing post-experience advertising effect on memory of product experience </w:t>
      </w:r>
      <w:r w:rsidR="00E05527" w:rsidRPr="00E05527">
        <w:rPr>
          <w:rFonts w:ascii="Times New Roman" w:hAnsi="Times New Roman" w:cs="Times New Roman"/>
          <w:sz w:val="24"/>
          <w:szCs w:val="24"/>
        </w:rPr>
        <w:t xml:space="preserve">(Braun, 1999) and the rule of statistical power </w:t>
      </w:r>
      <w:r w:rsidR="008424E3">
        <w:rPr>
          <w:rFonts w:ascii="Times New Roman" w:hAnsi="Times New Roman" w:cs="Times New Roman"/>
          <w:sz w:val="24"/>
          <w:szCs w:val="24"/>
        </w:rPr>
        <w:fldChar w:fldCharType="begin"/>
      </w:r>
      <w:r w:rsidR="008424E3">
        <w:rPr>
          <w:rFonts w:ascii="Times New Roman" w:hAnsi="Times New Roman" w:cs="Times New Roman"/>
          <w:sz w:val="24"/>
          <w:szCs w:val="24"/>
        </w:rPr>
        <w:instrText xml:space="preserve"> ADDIN EN.CITE &lt;EndNote&gt;&lt;Cite&gt;&lt;Author&gt;Bausell&lt;/Author&gt;&lt;Year&gt;2002&lt;/Year&gt;&lt;RecNum&gt;271&lt;/RecNum&gt;&lt;DisplayText&gt;(Bausell &amp;amp; Li, 2002)&lt;/DisplayText&gt;&lt;record&gt;&lt;rec-number&gt;271&lt;/rec-number&gt;&lt;foreign-keys&gt;&lt;key app="EN" db-id="a0dede9d8dd9s9e2apfpfdtovvpea2w9s9zs" timestamp="1453489791"&gt;271&lt;/key&gt;&lt;/foreign-keys&gt;&lt;ref-type name="Book"&gt;6&lt;/ref-type&gt;&lt;contributors&gt;&lt;authors&gt;&lt;author&gt;Bausell, R. Barker&lt;/author&gt;&lt;author&gt;Li, Yu-Fang&lt;/author&gt;&lt;/authors&gt;&lt;/contributors&gt;&lt;titles&gt;&lt;title&gt;Power analysis for experimental research : a practical guide for the biological, medical, and social sciences&lt;/title&gt;&lt;/titles&gt;&lt;keywords&gt;&lt;keyword&gt;Medicine -- Research -- Statistical methods&lt;/keyword&gt;&lt;keyword&gt;Statistical power analysis&lt;/keyword&gt;&lt;keyword&gt;Electronic books&lt;/keyword&gt;&lt;/keywords&gt;&lt;dates&gt;&lt;year&gt;2002&lt;/year&gt;&lt;/dates&gt;&lt;publisher&gt;Cambridge ; New York : Cambridge University Press, 2002.&lt;/publisher&gt;&lt;isbn&gt;0521809169&lt;/isbn&gt;&lt;work-type&gt;Bibliographies&amp;#xD;Non-fiction&amp;#xD;Electronic document&lt;/work-type&gt;&lt;urls&gt;&lt;/urls&gt;&lt;remote-database-name&gt;cat00016a&lt;/remote-database-name&gt;&lt;remote-database-provider&gt;EBSCOhost&lt;/remote-database-provider&gt;&lt;/record&gt;&lt;/Cite&gt;&lt;/EndNote&gt;</w:instrText>
      </w:r>
      <w:r w:rsidR="008424E3">
        <w:rPr>
          <w:rFonts w:ascii="Times New Roman" w:hAnsi="Times New Roman" w:cs="Times New Roman"/>
          <w:sz w:val="24"/>
          <w:szCs w:val="24"/>
        </w:rPr>
        <w:fldChar w:fldCharType="separate"/>
      </w:r>
      <w:r w:rsidR="008424E3">
        <w:rPr>
          <w:rFonts w:ascii="Times New Roman" w:hAnsi="Times New Roman" w:cs="Times New Roman"/>
          <w:noProof/>
          <w:sz w:val="24"/>
          <w:szCs w:val="24"/>
        </w:rPr>
        <w:t>(Bausell &amp; Li, 2002)</w:t>
      </w:r>
      <w:r w:rsidR="008424E3">
        <w:rPr>
          <w:rFonts w:ascii="Times New Roman" w:hAnsi="Times New Roman" w:cs="Times New Roman"/>
          <w:sz w:val="24"/>
          <w:szCs w:val="24"/>
        </w:rPr>
        <w:fldChar w:fldCharType="end"/>
      </w:r>
      <w:r w:rsidR="00E05527" w:rsidRPr="00E05527">
        <w:rPr>
          <w:rFonts w:ascii="Times New Roman" w:hAnsi="Times New Roman" w:cs="Times New Roman"/>
          <w:sz w:val="24"/>
          <w:szCs w:val="24"/>
        </w:rPr>
        <w:t xml:space="preserve">. </w:t>
      </w:r>
      <w:r w:rsidRPr="00712E4A">
        <w:rPr>
          <w:rFonts w:ascii="Times New Roman" w:hAnsi="Times New Roman" w:cs="Times New Roman"/>
          <w:sz w:val="24"/>
          <w:szCs w:val="24"/>
        </w:rPr>
        <w:t>Students will primarily be recruited from undergraduate courses in the Department of Recrea</w:t>
      </w:r>
      <w:r>
        <w:rPr>
          <w:rFonts w:ascii="Times New Roman" w:hAnsi="Times New Roman" w:cs="Times New Roman"/>
          <w:sz w:val="24"/>
          <w:szCs w:val="24"/>
        </w:rPr>
        <w:t>tion, Park, and Tourism Studies</w:t>
      </w:r>
      <w:r w:rsidRPr="00712E4A">
        <w:rPr>
          <w:rFonts w:ascii="Times New Roman" w:hAnsi="Times New Roman" w:cs="Times New Roman"/>
          <w:sz w:val="24"/>
          <w:szCs w:val="24"/>
        </w:rPr>
        <w:t xml:space="preserve">, with course extra credit provided as an incentive for participation. Additionally, students who are not enrolled in such courses but would like to participate in the study will be able to respond to recruiting flyers posted on School of Public Health bulletin boards in order to register. </w:t>
      </w:r>
      <w:r w:rsidR="008E35FB" w:rsidRPr="008E35FB">
        <w:rPr>
          <w:rFonts w:ascii="Times New Roman" w:hAnsi="Times New Roman" w:cs="Times New Roman"/>
          <w:i/>
          <w:sz w:val="24"/>
          <w:szCs w:val="24"/>
        </w:rPr>
        <w:t>Data Analysis</w:t>
      </w:r>
    </w:p>
    <w:p w:rsidR="008E35FB" w:rsidRPr="008E35FB" w:rsidRDefault="008E35FB" w:rsidP="008E35FB">
      <w:pPr>
        <w:spacing w:after="0" w:line="240" w:lineRule="auto"/>
        <w:rPr>
          <w:rFonts w:ascii="Times New Roman" w:hAnsi="Times New Roman" w:cs="Times New Roman"/>
          <w:i/>
          <w:sz w:val="24"/>
          <w:szCs w:val="24"/>
        </w:rPr>
      </w:pPr>
      <w:r w:rsidRPr="008E35FB">
        <w:rPr>
          <w:rFonts w:ascii="Times New Roman" w:hAnsi="Times New Roman" w:cs="Times New Roman"/>
          <w:i/>
          <w:sz w:val="24"/>
          <w:szCs w:val="24"/>
        </w:rPr>
        <w:t>Experience manipulation check</w:t>
      </w:r>
    </w:p>
    <w:p w:rsidR="00712E4A" w:rsidRDefault="00712E4A" w:rsidP="00712E4A">
      <w:pPr>
        <w:spacing w:after="0" w:line="240" w:lineRule="auto"/>
        <w:ind w:firstLine="720"/>
        <w:rPr>
          <w:rFonts w:ascii="Times New Roman" w:hAnsi="Times New Roman" w:cs="Times New Roman"/>
          <w:sz w:val="24"/>
          <w:szCs w:val="24"/>
        </w:rPr>
      </w:pPr>
      <w:r w:rsidRPr="00712E4A">
        <w:rPr>
          <w:rFonts w:ascii="Times New Roman" w:hAnsi="Times New Roman" w:cs="Times New Roman"/>
          <w:sz w:val="24"/>
          <w:szCs w:val="24"/>
        </w:rPr>
        <w:t>The qualitative aspect of recall will be observed and coded by two independent judges familiar with qualitative methodology, with experience in script coding, and unaware of the different designs of the two collegiate football experience videos. Specifically, they will code the number of words and thoughts in the recall statements that are mentioned in the advertisement to further investigate whether the advertisements have become part of participants’ own memories</w:t>
      </w:r>
    </w:p>
    <w:p w:rsidR="008E35FB" w:rsidRPr="008E35FB" w:rsidRDefault="008E35FB" w:rsidP="00712E4A">
      <w:pPr>
        <w:spacing w:after="0" w:line="240" w:lineRule="auto"/>
        <w:rPr>
          <w:rFonts w:ascii="Times New Roman" w:hAnsi="Times New Roman" w:cs="Times New Roman"/>
          <w:i/>
          <w:sz w:val="24"/>
          <w:szCs w:val="24"/>
        </w:rPr>
      </w:pPr>
      <w:r w:rsidRPr="008E35FB">
        <w:rPr>
          <w:rFonts w:ascii="Times New Roman" w:hAnsi="Times New Roman" w:cs="Times New Roman"/>
          <w:i/>
          <w:sz w:val="24"/>
          <w:szCs w:val="24"/>
        </w:rPr>
        <w:t>Quantitative analysis</w:t>
      </w:r>
    </w:p>
    <w:p w:rsidR="00905654" w:rsidRPr="00E05527" w:rsidRDefault="00712E4A" w:rsidP="00712E4A">
      <w:pPr>
        <w:spacing w:after="0" w:line="240" w:lineRule="auto"/>
        <w:ind w:firstLine="720"/>
        <w:rPr>
          <w:rFonts w:ascii="Times New Roman" w:hAnsi="Times New Roman" w:cs="Times New Roman"/>
          <w:sz w:val="24"/>
          <w:szCs w:val="24"/>
        </w:rPr>
      </w:pPr>
      <w:r w:rsidRPr="00712E4A">
        <w:rPr>
          <w:rFonts w:ascii="Times New Roman" w:hAnsi="Times New Roman" w:cs="Times New Roman"/>
          <w:sz w:val="24"/>
          <w:szCs w:val="24"/>
        </w:rPr>
        <w:t>A one-way MANOVA will be applied to test different patterns of recalled statements of collegiate football experience, recognition accuracy, certainty of memory judgement, R/K/G identification, betting on memory judgement, and overall evaluation of the collegiate football program between different advertising conditions. A significance level of α = 0.05 was adopted for all statistical analyses reported.</w:t>
      </w:r>
    </w:p>
    <w:p w:rsidR="00C44BFA" w:rsidRPr="008E35FB" w:rsidRDefault="00905654" w:rsidP="00E05527">
      <w:pPr>
        <w:spacing w:after="0" w:line="240" w:lineRule="auto"/>
        <w:jc w:val="center"/>
        <w:rPr>
          <w:rFonts w:ascii="Times New Roman" w:hAnsi="Times New Roman" w:cs="Times New Roman"/>
          <w:b/>
          <w:sz w:val="24"/>
          <w:szCs w:val="24"/>
        </w:rPr>
      </w:pPr>
      <w:r w:rsidRPr="008E35FB">
        <w:rPr>
          <w:rFonts w:ascii="Times New Roman" w:hAnsi="Times New Roman" w:cs="Times New Roman"/>
          <w:b/>
          <w:sz w:val="24"/>
          <w:szCs w:val="24"/>
        </w:rPr>
        <w:t>Expected outcomes</w:t>
      </w:r>
    </w:p>
    <w:p w:rsidR="00AC14A5" w:rsidRDefault="00712E4A" w:rsidP="00712E4A">
      <w:pPr>
        <w:spacing w:after="0" w:line="240" w:lineRule="auto"/>
        <w:ind w:firstLine="720"/>
      </w:pPr>
      <w:r w:rsidRPr="00712E4A">
        <w:rPr>
          <w:rFonts w:ascii="Times New Roman" w:hAnsi="Times New Roman" w:cs="Times New Roman"/>
          <w:sz w:val="24"/>
          <w:szCs w:val="24"/>
        </w:rPr>
        <w:t>Sport</w:t>
      </w:r>
      <w:r>
        <w:rPr>
          <w:rFonts w:ascii="Times New Roman" w:hAnsi="Times New Roman" w:cs="Times New Roman"/>
          <w:sz w:val="24"/>
          <w:szCs w:val="24"/>
        </w:rPr>
        <w:t>ing</w:t>
      </w:r>
      <w:r w:rsidRPr="00712E4A">
        <w:rPr>
          <w:rFonts w:ascii="Times New Roman" w:hAnsi="Times New Roman" w:cs="Times New Roman"/>
          <w:sz w:val="24"/>
          <w:szCs w:val="24"/>
        </w:rPr>
        <w:t xml:space="preserve"> events are not only a major source of entertainment for Americans, but are also important for the development of both universities and communities. Attractive collegiate sport</w:t>
      </w:r>
      <w:r>
        <w:rPr>
          <w:rFonts w:ascii="Times New Roman" w:hAnsi="Times New Roman" w:cs="Times New Roman"/>
          <w:sz w:val="24"/>
          <w:szCs w:val="24"/>
        </w:rPr>
        <w:t>ing</w:t>
      </w:r>
      <w:r w:rsidRPr="00712E4A">
        <w:rPr>
          <w:rFonts w:ascii="Times New Roman" w:hAnsi="Times New Roman" w:cs="Times New Roman"/>
          <w:sz w:val="24"/>
          <w:szCs w:val="24"/>
        </w:rPr>
        <w:t xml:space="preserve"> events can always bring in visitors and fans, generating large revenue streams for local tourism-related businesses and creating unique destination perception </w:t>
      </w:r>
      <w:r w:rsidR="008424E3">
        <w:rPr>
          <w:rFonts w:ascii="Times New Roman" w:hAnsi="Times New Roman" w:cs="Times New Roman"/>
          <w:sz w:val="24"/>
          <w:szCs w:val="24"/>
        </w:rPr>
        <w:fldChar w:fldCharType="begin"/>
      </w:r>
      <w:r w:rsidR="008424E3">
        <w:rPr>
          <w:rFonts w:ascii="Times New Roman" w:hAnsi="Times New Roman" w:cs="Times New Roman"/>
          <w:sz w:val="24"/>
          <w:szCs w:val="24"/>
        </w:rPr>
        <w:instrText xml:space="preserve"> ADDIN EN.CITE &lt;EndNote&gt;&lt;Cite&gt;&lt;Author&gt;Chalip&lt;/Author&gt;&lt;Year&gt;2004&lt;/Year&gt;&lt;RecNum&gt;3&lt;/RecNum&gt;&lt;DisplayText&gt;(Chalip &amp;amp; McGuirty, 2004; Hinch &amp;amp; Higham, 2004)&lt;/DisplayText&gt;&lt;record&gt;&lt;rec-number&gt;3&lt;/rec-number&gt;&lt;foreign-keys&gt;&lt;key app="EN" db-id="a0dede9d8dd9s9e2apfpfdtovvpea2w9s9zs" timestamp="0"&gt;3&lt;/key&gt;&lt;/foreign-keys&gt;&lt;ref-type name="Journal Article"&gt;17&lt;/ref-type&gt;&lt;contributors&gt;&lt;authors&gt;&lt;author&gt;Chalip, L.&lt;/author&gt;&lt;author&gt;McGuirty, J&lt;/author&gt;&lt;/authors&gt;&lt;/contributors&gt;&lt;titles&gt;&lt;title&gt;Bundling sport events with the host destination&lt;/title&gt;&lt;secondary-title&gt;Journal of Sport Tourism&lt;/secondary-title&gt;&lt;/titles&gt;&lt;pages&gt;267-282&lt;/pages&gt;&lt;volume&gt;9&lt;/volume&gt;&lt;number&gt;3&lt;/number&gt;&lt;dates&gt;&lt;year&gt;2004&lt;/year&gt;&lt;/dates&gt;&lt;urls&gt;&lt;/urls&gt;&lt;/record&gt;&lt;/Cite&gt;&lt;Cite&gt;&lt;Author&gt;Hinch&lt;/Author&gt;&lt;Year&gt;2004&lt;/Year&gt;&lt;RecNum&gt;202&lt;/RecNum&gt;&lt;record&gt;&lt;rec-number&gt;202&lt;/rec-number&gt;&lt;foreign-keys&gt;&lt;key app="EN" db-id="a0dede9d8dd9s9e2apfpfdtovvpea2w9s9zs" timestamp="0"&gt;202&lt;/key&gt;&lt;/foreign-keys&gt;&lt;ref-type name="Book"&gt;6&lt;/ref-type&gt;&lt;contributors&gt;&lt;authors&gt;&lt;author&gt;Hinch, Thomas&lt;/author&gt;&lt;author&gt;Higham, James E. S&lt;/author&gt;&lt;/authors&gt;&lt;/contributors&gt;&lt;titles&gt;&lt;title&gt;Sport Tourism Development&lt;/title&gt;&lt;/titles&gt;&lt;dates&gt;&lt;year&gt;2004&lt;/year&gt;&lt;/dates&gt;&lt;pub-location&gt;Buffalo &lt;/pub-location&gt;&lt;publisher&gt; Channel Veiw Publications&lt;/publisher&gt;&lt;urls&gt;&lt;/urls&gt;&lt;/record&gt;&lt;/Cite&gt;&lt;/EndNote&gt;</w:instrText>
      </w:r>
      <w:r w:rsidR="008424E3">
        <w:rPr>
          <w:rFonts w:ascii="Times New Roman" w:hAnsi="Times New Roman" w:cs="Times New Roman"/>
          <w:sz w:val="24"/>
          <w:szCs w:val="24"/>
        </w:rPr>
        <w:fldChar w:fldCharType="separate"/>
      </w:r>
      <w:r w:rsidR="008424E3">
        <w:rPr>
          <w:rFonts w:ascii="Times New Roman" w:hAnsi="Times New Roman" w:cs="Times New Roman"/>
          <w:noProof/>
          <w:sz w:val="24"/>
          <w:szCs w:val="24"/>
        </w:rPr>
        <w:t>(Chalip &amp; McGuirty, 2004; Hinch &amp; Higham, 2004)</w:t>
      </w:r>
      <w:r w:rsidR="008424E3">
        <w:rPr>
          <w:rFonts w:ascii="Times New Roman" w:hAnsi="Times New Roman" w:cs="Times New Roman"/>
          <w:sz w:val="24"/>
          <w:szCs w:val="24"/>
        </w:rPr>
        <w:fldChar w:fldCharType="end"/>
      </w:r>
      <w:r w:rsidR="00C44BFA" w:rsidRPr="00F25603">
        <w:rPr>
          <w:rFonts w:ascii="Times New Roman" w:hAnsi="Times New Roman" w:cs="Times New Roman"/>
          <w:sz w:val="24"/>
          <w:szCs w:val="24"/>
        </w:rPr>
        <w:t xml:space="preserve">. </w:t>
      </w:r>
      <w:r w:rsidRPr="00712E4A">
        <w:rPr>
          <w:rFonts w:ascii="Times New Roman" w:hAnsi="Times New Roman" w:cs="Times New Roman"/>
          <w:sz w:val="24"/>
          <w:szCs w:val="24"/>
        </w:rPr>
        <w:t xml:space="preserve">However, many university athletic departments are currently suffering from financial difficulties due to various expenses and limited control of revenue resources </w:t>
      </w:r>
      <w:r w:rsidR="00C44BFA" w:rsidRPr="00F25603">
        <w:rPr>
          <w:rFonts w:ascii="Times New Roman" w:hAnsi="Times New Roman" w:cs="Times New Roman"/>
          <w:sz w:val="24"/>
          <w:szCs w:val="24"/>
        </w:rPr>
        <w:t>(</w:t>
      </w:r>
      <w:r w:rsidR="00C44BFA" w:rsidRPr="00C44BFA">
        <w:rPr>
          <w:rFonts w:ascii="Times New Roman" w:hAnsi="Times New Roman" w:cs="Times New Roman"/>
          <w:sz w:val="24"/>
          <w:szCs w:val="24"/>
        </w:rPr>
        <w:t>Fulks, 2013</w:t>
      </w:r>
      <w:r>
        <w:rPr>
          <w:rFonts w:ascii="Times New Roman" w:hAnsi="Times New Roman" w:cs="Times New Roman"/>
          <w:sz w:val="24"/>
          <w:szCs w:val="24"/>
        </w:rPr>
        <w:t xml:space="preserve">); </w:t>
      </w:r>
      <w:r w:rsidRPr="00712E4A">
        <w:rPr>
          <w:rFonts w:ascii="Times New Roman" w:hAnsi="Times New Roman" w:cs="Times New Roman"/>
          <w:sz w:val="24"/>
          <w:szCs w:val="24"/>
        </w:rPr>
        <w:t>increasing event attendance has become an important way for athletic departments to increase revenue in order to maintain the operations of various collegiate sport programs. The current study will provide a guide for collegiate sport</w:t>
      </w:r>
      <w:r w:rsidR="003D5FA0">
        <w:rPr>
          <w:rFonts w:ascii="Times New Roman" w:hAnsi="Times New Roman" w:cs="Times New Roman"/>
          <w:sz w:val="24"/>
          <w:szCs w:val="24"/>
        </w:rPr>
        <w:t>ing</w:t>
      </w:r>
      <w:r w:rsidRPr="00712E4A">
        <w:rPr>
          <w:rFonts w:ascii="Times New Roman" w:hAnsi="Times New Roman" w:cs="Times New Roman"/>
          <w:sz w:val="24"/>
          <w:szCs w:val="24"/>
        </w:rPr>
        <w:t xml:space="preserve"> event managers who are interested in studying how their marketing campaigns influence consumers’ perceptions and memories of the collegiate sport</w:t>
      </w:r>
      <w:r w:rsidR="003D5FA0">
        <w:rPr>
          <w:rFonts w:ascii="Times New Roman" w:hAnsi="Times New Roman" w:cs="Times New Roman"/>
          <w:sz w:val="24"/>
          <w:szCs w:val="24"/>
        </w:rPr>
        <w:t>ing</w:t>
      </w:r>
      <w:r w:rsidRPr="00712E4A">
        <w:rPr>
          <w:rFonts w:ascii="Times New Roman" w:hAnsi="Times New Roman" w:cs="Times New Roman"/>
          <w:sz w:val="24"/>
          <w:szCs w:val="24"/>
        </w:rPr>
        <w:t xml:space="preserve"> event experience. More specifically, the paradigm and measures of the current study can be used to see how consumers’ memories of collegiate sport</w:t>
      </w:r>
      <w:r w:rsidR="003D5FA0">
        <w:rPr>
          <w:rFonts w:ascii="Times New Roman" w:hAnsi="Times New Roman" w:cs="Times New Roman"/>
          <w:sz w:val="24"/>
          <w:szCs w:val="24"/>
        </w:rPr>
        <w:t>ing</w:t>
      </w:r>
      <w:r w:rsidRPr="00712E4A">
        <w:rPr>
          <w:rFonts w:ascii="Times New Roman" w:hAnsi="Times New Roman" w:cs="Times New Roman"/>
          <w:sz w:val="24"/>
          <w:szCs w:val="24"/>
        </w:rPr>
        <w:t xml:space="preserve"> event experiences are reshaped to be consistent with the content of advertising campaigns. Additionally, in terms of the managerial implications of this study’s results, collegiate sport</w:t>
      </w:r>
      <w:r w:rsidR="003D5FA0">
        <w:rPr>
          <w:rFonts w:ascii="Times New Roman" w:hAnsi="Times New Roman" w:cs="Times New Roman"/>
          <w:sz w:val="24"/>
          <w:szCs w:val="24"/>
        </w:rPr>
        <w:t>ing</w:t>
      </w:r>
      <w:r w:rsidRPr="00712E4A">
        <w:rPr>
          <w:rFonts w:ascii="Times New Roman" w:hAnsi="Times New Roman" w:cs="Times New Roman"/>
          <w:sz w:val="24"/>
          <w:szCs w:val="24"/>
        </w:rPr>
        <w:t xml:space="preserve"> event managers should be provided with a clearer direction regarding how much attention should be devoted to communication management given the way that the abundant amount of external information and world-of-mouth are able to modify participants’ perceptions of collegiate sport</w:t>
      </w:r>
      <w:r w:rsidR="003D5FA0">
        <w:rPr>
          <w:rFonts w:ascii="Times New Roman" w:hAnsi="Times New Roman" w:cs="Times New Roman"/>
          <w:sz w:val="24"/>
          <w:szCs w:val="24"/>
        </w:rPr>
        <w:t>ing</w:t>
      </w:r>
      <w:r w:rsidRPr="00712E4A">
        <w:rPr>
          <w:rFonts w:ascii="Times New Roman" w:hAnsi="Times New Roman" w:cs="Times New Roman"/>
          <w:sz w:val="24"/>
          <w:szCs w:val="24"/>
        </w:rPr>
        <w:t xml:space="preserve"> event experience.</w:t>
      </w:r>
    </w:p>
    <w:p w:rsidR="00AC14A5" w:rsidRDefault="00AC14A5" w:rsidP="008E35FB"/>
    <w:p w:rsidR="008424E3" w:rsidRDefault="008424E3" w:rsidP="008E35FB"/>
    <w:p w:rsidR="008424E3" w:rsidRDefault="008424E3" w:rsidP="008E35FB"/>
    <w:p w:rsidR="008424E3" w:rsidRPr="008424E3" w:rsidRDefault="008424E3" w:rsidP="008424E3">
      <w:pPr>
        <w:jc w:val="center"/>
        <w:rPr>
          <w:rFonts w:ascii="Times New Roman" w:hAnsi="Times New Roman" w:cs="Times New Roman"/>
          <w:b/>
          <w:sz w:val="24"/>
          <w:szCs w:val="24"/>
        </w:rPr>
      </w:pPr>
      <w:r w:rsidRPr="008424E3">
        <w:rPr>
          <w:rFonts w:ascii="Times New Roman" w:hAnsi="Times New Roman" w:cs="Times New Roman"/>
          <w:b/>
          <w:sz w:val="24"/>
          <w:szCs w:val="24"/>
        </w:rPr>
        <w:lastRenderedPageBreak/>
        <w:t>References</w:t>
      </w:r>
    </w:p>
    <w:p w:rsidR="00712E4A" w:rsidRPr="003D5FA0" w:rsidRDefault="00AC14A5"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fldChar w:fldCharType="begin"/>
      </w:r>
      <w:r w:rsidRPr="003D5FA0">
        <w:rPr>
          <w:rFonts w:ascii="Times New Roman" w:hAnsi="Times New Roman" w:cs="Times New Roman"/>
          <w:sz w:val="24"/>
          <w:szCs w:val="24"/>
        </w:rPr>
        <w:instrText xml:space="preserve"> ADDIN EN.REFLIST </w:instrText>
      </w:r>
      <w:r w:rsidRPr="003D5FA0">
        <w:rPr>
          <w:rFonts w:ascii="Times New Roman" w:hAnsi="Times New Roman" w:cs="Times New Roman"/>
          <w:sz w:val="24"/>
          <w:szCs w:val="24"/>
        </w:rPr>
        <w:fldChar w:fldCharType="separate"/>
      </w:r>
      <w:r w:rsidR="00712E4A" w:rsidRPr="003D5FA0">
        <w:rPr>
          <w:rFonts w:ascii="Times New Roman" w:hAnsi="Times New Roman" w:cs="Times New Roman"/>
          <w:sz w:val="24"/>
          <w:szCs w:val="24"/>
        </w:rPr>
        <w:t xml:space="preserve">Babbie, E. R. (2013). </w:t>
      </w:r>
      <w:r w:rsidR="00712E4A" w:rsidRPr="003D5FA0">
        <w:rPr>
          <w:rFonts w:ascii="Times New Roman" w:hAnsi="Times New Roman" w:cs="Times New Roman"/>
          <w:i/>
          <w:sz w:val="24"/>
          <w:szCs w:val="24"/>
        </w:rPr>
        <w:t>The practice of social research</w:t>
      </w:r>
      <w:r w:rsidR="00712E4A" w:rsidRPr="003D5FA0">
        <w:rPr>
          <w:rFonts w:ascii="Times New Roman" w:hAnsi="Times New Roman" w:cs="Times New Roman"/>
          <w:sz w:val="24"/>
          <w:szCs w:val="24"/>
        </w:rPr>
        <w:t>: Belmont, Calif. : Wadsworth Cengage Learning.</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Bartlett, F. C. (1932). </w:t>
      </w:r>
      <w:r w:rsidRPr="003D5FA0">
        <w:rPr>
          <w:rFonts w:ascii="Times New Roman" w:hAnsi="Times New Roman" w:cs="Times New Roman"/>
          <w:i/>
          <w:sz w:val="24"/>
          <w:szCs w:val="24"/>
        </w:rPr>
        <w:t>Remembering</w:t>
      </w:r>
      <w:r w:rsidRPr="003D5FA0">
        <w:rPr>
          <w:rFonts w:ascii="Times New Roman" w:hAnsi="Times New Roman" w:cs="Times New Roman"/>
          <w:sz w:val="24"/>
          <w:szCs w:val="24"/>
        </w:rPr>
        <w:t>. Cambridge, UK: Cambridge University Press.</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Bausell, R. B., &amp; Li, Y.-F. (2002). </w:t>
      </w:r>
      <w:r w:rsidRPr="003D5FA0">
        <w:rPr>
          <w:rFonts w:ascii="Times New Roman" w:hAnsi="Times New Roman" w:cs="Times New Roman"/>
          <w:i/>
          <w:sz w:val="24"/>
          <w:szCs w:val="24"/>
        </w:rPr>
        <w:t>Power analysis for experimental research : a practical guide for the biological, medical, and social sciences</w:t>
      </w:r>
      <w:r w:rsidRPr="003D5FA0">
        <w:rPr>
          <w:rFonts w:ascii="Times New Roman" w:hAnsi="Times New Roman" w:cs="Times New Roman"/>
          <w:sz w:val="24"/>
          <w:szCs w:val="24"/>
        </w:rPr>
        <w:t>: Cambridge ; New York : Cambridge University Press, 2002.</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Braun-LaTour, K. A., LaTour, M. S., Pickrell, J. E., &amp; Loftus, E. F. (2004). How and when advertising can influence memory for consumer experience. </w:t>
      </w:r>
      <w:r w:rsidRPr="003D5FA0">
        <w:rPr>
          <w:rFonts w:ascii="Times New Roman" w:hAnsi="Times New Roman" w:cs="Times New Roman"/>
          <w:i/>
          <w:sz w:val="24"/>
          <w:szCs w:val="24"/>
        </w:rPr>
        <w:t>Journal of Advertising, 33</w:t>
      </w:r>
      <w:r w:rsidRPr="003D5FA0">
        <w:rPr>
          <w:rFonts w:ascii="Times New Roman" w:hAnsi="Times New Roman" w:cs="Times New Roman"/>
          <w:sz w:val="24"/>
          <w:szCs w:val="24"/>
        </w:rPr>
        <w:t xml:space="preserve">(4), 7-25.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Braun, K. A. (1999). Postexperience advertising effects on consumer memory. </w:t>
      </w:r>
      <w:r w:rsidRPr="003D5FA0">
        <w:rPr>
          <w:rFonts w:ascii="Times New Roman" w:hAnsi="Times New Roman" w:cs="Times New Roman"/>
          <w:i/>
          <w:sz w:val="24"/>
          <w:szCs w:val="24"/>
        </w:rPr>
        <w:t>Journal of Consumer Research, 25</w:t>
      </w:r>
      <w:r w:rsidRPr="003D5FA0">
        <w:rPr>
          <w:rFonts w:ascii="Times New Roman" w:hAnsi="Times New Roman" w:cs="Times New Roman"/>
          <w:sz w:val="24"/>
          <w:szCs w:val="24"/>
        </w:rPr>
        <w:t xml:space="preserve">, 319-334.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Chalip, L., &amp; McGuirty, J. (2004). Bundling sport events with the host destination. </w:t>
      </w:r>
      <w:r w:rsidRPr="003D5FA0">
        <w:rPr>
          <w:rFonts w:ascii="Times New Roman" w:hAnsi="Times New Roman" w:cs="Times New Roman"/>
          <w:i/>
          <w:sz w:val="24"/>
          <w:szCs w:val="24"/>
        </w:rPr>
        <w:t>Journal of Sport Tourism, 9</w:t>
      </w:r>
      <w:r w:rsidRPr="003D5FA0">
        <w:rPr>
          <w:rFonts w:ascii="Times New Roman" w:hAnsi="Times New Roman" w:cs="Times New Roman"/>
          <w:sz w:val="24"/>
          <w:szCs w:val="24"/>
        </w:rPr>
        <w:t xml:space="preserve">(3), 267-282.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Coghlan, A. (2012). An autoethnographic account of a cycling charity challenge event: Exploring manifest and latent aspects of the experience. </w:t>
      </w:r>
      <w:r w:rsidRPr="003D5FA0">
        <w:rPr>
          <w:rFonts w:ascii="Times New Roman" w:hAnsi="Times New Roman" w:cs="Times New Roman"/>
          <w:i/>
          <w:sz w:val="24"/>
          <w:szCs w:val="24"/>
        </w:rPr>
        <w:t>Journal of Sport &amp; Tourism, 17</w:t>
      </w:r>
      <w:r w:rsidRPr="003D5FA0">
        <w:rPr>
          <w:rFonts w:ascii="Times New Roman" w:hAnsi="Times New Roman" w:cs="Times New Roman"/>
          <w:sz w:val="24"/>
          <w:szCs w:val="24"/>
        </w:rPr>
        <w:t xml:space="preserve">(2), 105-124.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Fulks, D. (2013). </w:t>
      </w:r>
      <w:r w:rsidRPr="003D5FA0">
        <w:rPr>
          <w:rFonts w:ascii="Times New Roman" w:hAnsi="Times New Roman" w:cs="Times New Roman"/>
          <w:i/>
          <w:sz w:val="24"/>
          <w:szCs w:val="24"/>
        </w:rPr>
        <w:t>Revenues and expenses</w:t>
      </w:r>
      <w:r w:rsidRPr="003D5FA0">
        <w:rPr>
          <w:rFonts w:ascii="Times New Roman" w:hAnsi="Times New Roman" w:cs="Times New Roman"/>
          <w:sz w:val="24"/>
          <w:szCs w:val="24"/>
        </w:rPr>
        <w:t>. Indianapolis, IN: National Collegiate Athletic Association.</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Hardin, R., Ruihley, B., &amp; Veraldo, C. (2013). Game day experience through the lens of critical incident technique. </w:t>
      </w:r>
      <w:r w:rsidRPr="003D5FA0">
        <w:rPr>
          <w:rFonts w:ascii="Times New Roman" w:hAnsi="Times New Roman" w:cs="Times New Roman"/>
          <w:i/>
          <w:sz w:val="24"/>
          <w:szCs w:val="24"/>
        </w:rPr>
        <w:t>Journal of Applied Sport Management, 5</w:t>
      </w:r>
      <w:r w:rsidRPr="003D5FA0">
        <w:rPr>
          <w:rFonts w:ascii="Times New Roman" w:hAnsi="Times New Roman" w:cs="Times New Roman"/>
          <w:sz w:val="24"/>
          <w:szCs w:val="24"/>
        </w:rPr>
        <w:t xml:space="preserve">(4), 1-21.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Hinch, T., &amp; Higham, J. E. S. (2004). </w:t>
      </w:r>
      <w:r w:rsidRPr="003D5FA0">
        <w:rPr>
          <w:rFonts w:ascii="Times New Roman" w:hAnsi="Times New Roman" w:cs="Times New Roman"/>
          <w:i/>
          <w:sz w:val="24"/>
          <w:szCs w:val="24"/>
        </w:rPr>
        <w:t>Sport Tourism Development</w:t>
      </w:r>
      <w:r w:rsidRPr="003D5FA0">
        <w:rPr>
          <w:rFonts w:ascii="Times New Roman" w:hAnsi="Times New Roman" w:cs="Times New Roman"/>
          <w:sz w:val="24"/>
          <w:szCs w:val="24"/>
        </w:rPr>
        <w:t>. Buffalo  Channel Veiw Publications.</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Hoch, S. J., &amp; Deighton, J. (1989). Managing what consumers learn from experience. </w:t>
      </w:r>
      <w:r w:rsidRPr="003D5FA0">
        <w:rPr>
          <w:rFonts w:ascii="Times New Roman" w:hAnsi="Times New Roman" w:cs="Times New Roman"/>
          <w:i/>
          <w:sz w:val="24"/>
          <w:szCs w:val="24"/>
        </w:rPr>
        <w:t>Journal of Marketing, 53</w:t>
      </w:r>
      <w:r w:rsidRPr="003D5FA0">
        <w:rPr>
          <w:rFonts w:ascii="Times New Roman" w:hAnsi="Times New Roman" w:cs="Times New Roman"/>
          <w:sz w:val="24"/>
          <w:szCs w:val="24"/>
        </w:rPr>
        <w:t xml:space="preserve">, 1-20.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Hoch, S. J., &amp; Ha, Y.-W. (1986). Consumer learning: Advertising and the ambiguity of product experience. </w:t>
      </w:r>
      <w:r w:rsidRPr="003D5FA0">
        <w:rPr>
          <w:rFonts w:ascii="Times New Roman" w:hAnsi="Times New Roman" w:cs="Times New Roman"/>
          <w:i/>
          <w:sz w:val="24"/>
          <w:szCs w:val="24"/>
        </w:rPr>
        <w:t>Journal of Consumer Research, 13</w:t>
      </w:r>
      <w:r w:rsidRPr="003D5FA0">
        <w:rPr>
          <w:rFonts w:ascii="Times New Roman" w:hAnsi="Times New Roman" w:cs="Times New Roman"/>
          <w:sz w:val="24"/>
          <w:szCs w:val="24"/>
        </w:rPr>
        <w:t xml:space="preserve">(2), 221-233.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Hyman Jr., I. E., Husband, T. H., &amp; Billings, F. J. (1995). False Memories of Childhood Experiences. </w:t>
      </w:r>
      <w:r w:rsidRPr="003D5FA0">
        <w:rPr>
          <w:rFonts w:ascii="Times New Roman" w:hAnsi="Times New Roman" w:cs="Times New Roman"/>
          <w:i/>
          <w:sz w:val="24"/>
          <w:szCs w:val="24"/>
        </w:rPr>
        <w:t>Applied Cognitive Psychology. , 9</w:t>
      </w:r>
      <w:r w:rsidRPr="003D5FA0">
        <w:rPr>
          <w:rFonts w:ascii="Times New Roman" w:hAnsi="Times New Roman" w:cs="Times New Roman"/>
          <w:sz w:val="24"/>
          <w:szCs w:val="24"/>
        </w:rPr>
        <w:t xml:space="preserve">(3), 181-197.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Kaplanidou, K., &amp; Vogt, C. (2010). The meaning and measurement of a sport event experience among active sport tourists. </w:t>
      </w:r>
      <w:r w:rsidRPr="003D5FA0">
        <w:rPr>
          <w:rFonts w:ascii="Times New Roman" w:hAnsi="Times New Roman" w:cs="Times New Roman"/>
          <w:i/>
          <w:sz w:val="24"/>
          <w:szCs w:val="24"/>
        </w:rPr>
        <w:t>Journal of Sport Management</w:t>
      </w:r>
      <w:r w:rsidRPr="003D5FA0">
        <w:rPr>
          <w:rFonts w:ascii="Times New Roman" w:hAnsi="Times New Roman" w:cs="Times New Roman"/>
          <w:sz w:val="24"/>
          <w:szCs w:val="24"/>
        </w:rPr>
        <w:t xml:space="preserve">, 544-566.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Kozak, M. (2001). “Repeaters’' behavior at two distinct destinations. </w:t>
      </w:r>
      <w:r w:rsidRPr="003D5FA0">
        <w:rPr>
          <w:rFonts w:ascii="Times New Roman" w:hAnsi="Times New Roman" w:cs="Times New Roman"/>
          <w:i/>
          <w:sz w:val="24"/>
          <w:szCs w:val="24"/>
        </w:rPr>
        <w:t>Annals of Tourism Research, 28</w:t>
      </w:r>
      <w:r w:rsidRPr="003D5FA0">
        <w:rPr>
          <w:rFonts w:ascii="Times New Roman" w:hAnsi="Times New Roman" w:cs="Times New Roman"/>
          <w:sz w:val="24"/>
          <w:szCs w:val="24"/>
        </w:rPr>
        <w:t xml:space="preserve">(3), 784-807.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Loftus, E. (1982). Memory and its distortions. </w:t>
      </w:r>
      <w:r w:rsidRPr="003D5FA0">
        <w:rPr>
          <w:rFonts w:ascii="Times New Roman" w:hAnsi="Times New Roman" w:cs="Times New Roman"/>
          <w:i/>
          <w:sz w:val="24"/>
          <w:szCs w:val="24"/>
        </w:rPr>
        <w:t>The G. Stanley Hall Lecture, 2</w:t>
      </w:r>
      <w:r w:rsidRPr="003D5FA0">
        <w:rPr>
          <w:rFonts w:ascii="Times New Roman" w:hAnsi="Times New Roman" w:cs="Times New Roman"/>
          <w:sz w:val="24"/>
          <w:szCs w:val="24"/>
        </w:rPr>
        <w:t xml:space="preserve">, 123-154.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Rubin, D. C. (2005). A basic-systems approach to autobiographical memory. </w:t>
      </w:r>
      <w:r w:rsidRPr="003D5FA0">
        <w:rPr>
          <w:rFonts w:ascii="Times New Roman" w:hAnsi="Times New Roman" w:cs="Times New Roman"/>
          <w:i/>
          <w:sz w:val="24"/>
          <w:szCs w:val="24"/>
        </w:rPr>
        <w:t>Current Directions in Psychological Science, 14</w:t>
      </w:r>
      <w:r w:rsidRPr="003D5FA0">
        <w:rPr>
          <w:rFonts w:ascii="Times New Roman" w:hAnsi="Times New Roman" w:cs="Times New Roman"/>
          <w:sz w:val="24"/>
          <w:szCs w:val="24"/>
        </w:rPr>
        <w:t xml:space="preserve">(2), 79-83. </w:t>
      </w:r>
    </w:p>
    <w:p w:rsidR="00712E4A" w:rsidRPr="003D5FA0" w:rsidRDefault="00712E4A" w:rsidP="00712E4A">
      <w:pPr>
        <w:pStyle w:val="EndNoteBibliography"/>
        <w:spacing w:after="0"/>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Schacter, D. (1995). </w:t>
      </w:r>
      <w:r w:rsidRPr="003D5FA0">
        <w:rPr>
          <w:rFonts w:ascii="Times New Roman" w:hAnsi="Times New Roman" w:cs="Times New Roman"/>
          <w:i/>
          <w:sz w:val="24"/>
          <w:szCs w:val="24"/>
        </w:rPr>
        <w:t>Memory distortion: How minds, brains, and societies reconstruct the past.</w:t>
      </w:r>
      <w:r w:rsidRPr="003D5FA0">
        <w:rPr>
          <w:rFonts w:ascii="Times New Roman" w:hAnsi="Times New Roman" w:cs="Times New Roman"/>
          <w:sz w:val="24"/>
          <w:szCs w:val="24"/>
        </w:rPr>
        <w:t xml:space="preserve"> (D. Schacter Ed.). Cambridge, MA: Havard University Press.</w:t>
      </w:r>
    </w:p>
    <w:p w:rsidR="00712E4A" w:rsidRPr="003D5FA0" w:rsidRDefault="00712E4A" w:rsidP="00712E4A">
      <w:pPr>
        <w:pStyle w:val="EndNoteBibliography"/>
        <w:ind w:left="720" w:hanging="720"/>
        <w:rPr>
          <w:rFonts w:ascii="Times New Roman" w:hAnsi="Times New Roman" w:cs="Times New Roman"/>
          <w:sz w:val="24"/>
          <w:szCs w:val="24"/>
        </w:rPr>
      </w:pPr>
      <w:r w:rsidRPr="003D5FA0">
        <w:rPr>
          <w:rFonts w:ascii="Times New Roman" w:hAnsi="Times New Roman" w:cs="Times New Roman"/>
          <w:sz w:val="24"/>
          <w:szCs w:val="24"/>
        </w:rPr>
        <w:t xml:space="preserve">Tulving, E. (1985). Memory and consciousness. </w:t>
      </w:r>
      <w:r w:rsidRPr="003D5FA0">
        <w:rPr>
          <w:rFonts w:ascii="Times New Roman" w:hAnsi="Times New Roman" w:cs="Times New Roman"/>
          <w:i/>
          <w:sz w:val="24"/>
          <w:szCs w:val="24"/>
        </w:rPr>
        <w:t>Canadian Psychology/Psychologie canadienne, 26</w:t>
      </w:r>
      <w:r w:rsidRPr="003D5FA0">
        <w:rPr>
          <w:rFonts w:ascii="Times New Roman" w:hAnsi="Times New Roman" w:cs="Times New Roman"/>
          <w:sz w:val="24"/>
          <w:szCs w:val="24"/>
        </w:rPr>
        <w:t>(1), 1-12. doi:10.1037/h0080017</w:t>
      </w:r>
    </w:p>
    <w:p w:rsidR="008D1820" w:rsidRPr="008424E3" w:rsidRDefault="00AC14A5" w:rsidP="008E35FB">
      <w:pPr>
        <w:rPr>
          <w:rFonts w:ascii="Times New Roman" w:hAnsi="Times New Roman" w:cs="Times New Roman"/>
          <w:sz w:val="24"/>
          <w:szCs w:val="24"/>
        </w:rPr>
      </w:pPr>
      <w:r w:rsidRPr="003D5FA0">
        <w:rPr>
          <w:rFonts w:ascii="Times New Roman" w:hAnsi="Times New Roman" w:cs="Times New Roman"/>
          <w:sz w:val="24"/>
          <w:szCs w:val="24"/>
        </w:rPr>
        <w:fldChar w:fldCharType="end"/>
      </w:r>
    </w:p>
    <w:sectPr w:rsidR="008D1820" w:rsidRPr="008424E3" w:rsidSect="004D7A7C">
      <w:pgSz w:w="12240" w:h="15840"/>
      <w:pgMar w:top="1440" w:right="1440" w:bottom="1440" w:left="1440" w:header="720" w:footer="720" w:gutter="0"/>
      <w:pgNumType w:start="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0dede9d8dd9s9e2apfpfdtovvpea2w9s9zs&quot;&gt;My EndNote Library Copy&lt;record-ids&gt;&lt;item&gt;3&lt;/item&gt;&lt;item&gt;9&lt;/item&gt;&lt;item&gt;43&lt;/item&gt;&lt;item&gt;46&lt;/item&gt;&lt;item&gt;74&lt;/item&gt;&lt;item&gt;90&lt;/item&gt;&lt;item&gt;98&lt;/item&gt;&lt;item&gt;109&lt;/item&gt;&lt;item&gt;131&lt;/item&gt;&lt;item&gt;142&lt;/item&gt;&lt;item&gt;143&lt;/item&gt;&lt;item&gt;164&lt;/item&gt;&lt;item&gt;165&lt;/item&gt;&lt;item&gt;202&lt;/item&gt;&lt;item&gt;241&lt;/item&gt;&lt;item&gt;243&lt;/item&gt;&lt;item&gt;268&lt;/item&gt;&lt;item&gt;269&lt;/item&gt;&lt;item&gt;271&lt;/item&gt;&lt;/record-ids&gt;&lt;/item&gt;&lt;/Libraries&gt;"/>
  </w:docVars>
  <w:rsids>
    <w:rsidRoot w:val="00C44BFA"/>
    <w:rsid w:val="00015D8E"/>
    <w:rsid w:val="00036D33"/>
    <w:rsid w:val="00042967"/>
    <w:rsid w:val="00063E10"/>
    <w:rsid w:val="00083BBF"/>
    <w:rsid w:val="000A0A4D"/>
    <w:rsid w:val="000B0FC2"/>
    <w:rsid w:val="000C1F1E"/>
    <w:rsid w:val="000D2667"/>
    <w:rsid w:val="000D794C"/>
    <w:rsid w:val="000F792A"/>
    <w:rsid w:val="00110604"/>
    <w:rsid w:val="00132F7B"/>
    <w:rsid w:val="001479B3"/>
    <w:rsid w:val="00153D02"/>
    <w:rsid w:val="001D0962"/>
    <w:rsid w:val="00204312"/>
    <w:rsid w:val="00250B62"/>
    <w:rsid w:val="002B6772"/>
    <w:rsid w:val="002C17D1"/>
    <w:rsid w:val="002D3F21"/>
    <w:rsid w:val="002D7C47"/>
    <w:rsid w:val="002E4917"/>
    <w:rsid w:val="00303C2B"/>
    <w:rsid w:val="00365C1C"/>
    <w:rsid w:val="003735E8"/>
    <w:rsid w:val="003A18BD"/>
    <w:rsid w:val="003B5A1D"/>
    <w:rsid w:val="003C5C2C"/>
    <w:rsid w:val="003D5FA0"/>
    <w:rsid w:val="003E33D3"/>
    <w:rsid w:val="00402337"/>
    <w:rsid w:val="00414EF9"/>
    <w:rsid w:val="00491413"/>
    <w:rsid w:val="00493557"/>
    <w:rsid w:val="004A30D9"/>
    <w:rsid w:val="004D7A7C"/>
    <w:rsid w:val="004E3B4A"/>
    <w:rsid w:val="00501B8C"/>
    <w:rsid w:val="005162E2"/>
    <w:rsid w:val="0051766D"/>
    <w:rsid w:val="0054467B"/>
    <w:rsid w:val="005530C6"/>
    <w:rsid w:val="00564754"/>
    <w:rsid w:val="0057652F"/>
    <w:rsid w:val="005777EC"/>
    <w:rsid w:val="005A7CC1"/>
    <w:rsid w:val="005B06EF"/>
    <w:rsid w:val="005C52BC"/>
    <w:rsid w:val="005F1DFA"/>
    <w:rsid w:val="00610E39"/>
    <w:rsid w:val="00636530"/>
    <w:rsid w:val="00643F48"/>
    <w:rsid w:val="00674F9F"/>
    <w:rsid w:val="006A72EC"/>
    <w:rsid w:val="006D5103"/>
    <w:rsid w:val="006E693C"/>
    <w:rsid w:val="00712E4A"/>
    <w:rsid w:val="00717952"/>
    <w:rsid w:val="00721064"/>
    <w:rsid w:val="0073494C"/>
    <w:rsid w:val="007652C6"/>
    <w:rsid w:val="0077459A"/>
    <w:rsid w:val="007C4A20"/>
    <w:rsid w:val="007C68F3"/>
    <w:rsid w:val="007D1F15"/>
    <w:rsid w:val="007E2CBF"/>
    <w:rsid w:val="008424E3"/>
    <w:rsid w:val="00845228"/>
    <w:rsid w:val="008768CE"/>
    <w:rsid w:val="008B1A7C"/>
    <w:rsid w:val="008C4FD4"/>
    <w:rsid w:val="008C57D8"/>
    <w:rsid w:val="008D1820"/>
    <w:rsid w:val="008E35FB"/>
    <w:rsid w:val="00905654"/>
    <w:rsid w:val="00916D87"/>
    <w:rsid w:val="00923F5B"/>
    <w:rsid w:val="00937F24"/>
    <w:rsid w:val="00971CB3"/>
    <w:rsid w:val="00982479"/>
    <w:rsid w:val="00A2209B"/>
    <w:rsid w:val="00A87D96"/>
    <w:rsid w:val="00A938C0"/>
    <w:rsid w:val="00A95809"/>
    <w:rsid w:val="00AC14A5"/>
    <w:rsid w:val="00AC434F"/>
    <w:rsid w:val="00AD5AB2"/>
    <w:rsid w:val="00AE42A0"/>
    <w:rsid w:val="00B6491D"/>
    <w:rsid w:val="00B70497"/>
    <w:rsid w:val="00BA0C95"/>
    <w:rsid w:val="00BD319E"/>
    <w:rsid w:val="00BD40A4"/>
    <w:rsid w:val="00C03E4E"/>
    <w:rsid w:val="00C064D3"/>
    <w:rsid w:val="00C1051F"/>
    <w:rsid w:val="00C12609"/>
    <w:rsid w:val="00C44BFA"/>
    <w:rsid w:val="00C55568"/>
    <w:rsid w:val="00C736B3"/>
    <w:rsid w:val="00C75803"/>
    <w:rsid w:val="00C844EA"/>
    <w:rsid w:val="00C930DB"/>
    <w:rsid w:val="00CA23EB"/>
    <w:rsid w:val="00CE5524"/>
    <w:rsid w:val="00D43797"/>
    <w:rsid w:val="00D520E7"/>
    <w:rsid w:val="00D563F4"/>
    <w:rsid w:val="00D62DF5"/>
    <w:rsid w:val="00D74C76"/>
    <w:rsid w:val="00D80E12"/>
    <w:rsid w:val="00D81DD5"/>
    <w:rsid w:val="00D96FD9"/>
    <w:rsid w:val="00DA7BA1"/>
    <w:rsid w:val="00DD5A82"/>
    <w:rsid w:val="00DE417A"/>
    <w:rsid w:val="00E05527"/>
    <w:rsid w:val="00E17BBB"/>
    <w:rsid w:val="00E22342"/>
    <w:rsid w:val="00E32B30"/>
    <w:rsid w:val="00EA50DB"/>
    <w:rsid w:val="00F36779"/>
    <w:rsid w:val="00F74BA9"/>
    <w:rsid w:val="00F8405F"/>
    <w:rsid w:val="00F927FE"/>
    <w:rsid w:val="00FB3ABE"/>
    <w:rsid w:val="00FC53B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48F3A1-90DA-4750-96BA-42F899B40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TW"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BFA"/>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44BFA"/>
    <w:rPr>
      <w:color w:val="0000FF" w:themeColor="hyperlink"/>
      <w:u w:val="single"/>
    </w:rPr>
  </w:style>
  <w:style w:type="paragraph" w:customStyle="1" w:styleId="EndNoteBibliographyTitle">
    <w:name w:val="EndNote Bibliography Title"/>
    <w:basedOn w:val="Normal"/>
    <w:link w:val="EndNoteBibliographyTitleChar"/>
    <w:rsid w:val="00DD5A82"/>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DD5A82"/>
    <w:rPr>
      <w:rFonts w:ascii="Calibri" w:hAnsi="Calibri"/>
      <w:noProof/>
    </w:rPr>
  </w:style>
  <w:style w:type="paragraph" w:customStyle="1" w:styleId="EndNoteBibliography">
    <w:name w:val="EndNote Bibliography"/>
    <w:basedOn w:val="Normal"/>
    <w:link w:val="EndNoteBibliographyChar"/>
    <w:rsid w:val="00DD5A82"/>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DD5A82"/>
    <w:rPr>
      <w:rFonts w:ascii="Calibri" w:hAnsi="Calibri"/>
      <w:noProof/>
    </w:rPr>
  </w:style>
  <w:style w:type="paragraph" w:styleId="NoSpacing">
    <w:name w:val="No Spacing"/>
    <w:link w:val="NoSpacingChar"/>
    <w:uiPriority w:val="1"/>
    <w:qFormat/>
    <w:rsid w:val="004D7A7C"/>
    <w:pPr>
      <w:spacing w:after="0" w:line="240" w:lineRule="auto"/>
    </w:pPr>
    <w:rPr>
      <w:lang w:eastAsia="en-US"/>
    </w:rPr>
  </w:style>
  <w:style w:type="character" w:customStyle="1" w:styleId="NoSpacingChar">
    <w:name w:val="No Spacing Char"/>
    <w:basedOn w:val="DefaultParagraphFont"/>
    <w:link w:val="NoSpacing"/>
    <w:uiPriority w:val="1"/>
    <w:rsid w:val="004D7A7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203</TotalTime>
  <Pages>4</Pages>
  <Words>4251</Words>
  <Characters>24237</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28432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Transformation of </dc:title>
  <dc:creator>James</dc:creator>
  <cp:lastModifiedBy>Hu, Cheng-ming</cp:lastModifiedBy>
  <cp:revision>12</cp:revision>
  <dcterms:created xsi:type="dcterms:W3CDTF">2016-01-22T16:32:00Z</dcterms:created>
  <dcterms:modified xsi:type="dcterms:W3CDTF">2016-01-22T21:35:00Z</dcterms:modified>
</cp:coreProperties>
</file>