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drawings/drawing2.xml" ContentType="application/vnd.openxmlformats-officedocument.drawingml.chartshapes+xml"/>
  <Override PartName="/word/charts/chart10.xml" ContentType="application/vnd.openxmlformats-officedocument.drawingml.chart+xml"/>
  <Override PartName="/word/drawings/drawing3.xml" ContentType="application/vnd.openxmlformats-officedocument.drawingml.chartshapes+xml"/>
  <Override PartName="/word/charts/chart1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1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1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9.xml" ContentType="application/vnd.openxmlformats-officedocument.drawingml.chart+xml"/>
  <Override PartName="/word/charts/style9.xml" ContentType="application/vnd.ms-office.chartstyle+xml"/>
  <Override PartName="/word/charts/colors9.xml" ContentType="application/vnd.ms-office.chartcolorstyle+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F2B8F2" w14:textId="77777777" w:rsidR="0062688F" w:rsidRPr="00BF6065" w:rsidRDefault="0062688F" w:rsidP="00FF30E4">
      <w:pPr>
        <w:rPr>
          <w:rStyle w:val="PageNumber"/>
        </w:rPr>
      </w:pPr>
    </w:p>
    <w:p w14:paraId="6EADCCB1" w14:textId="77777777" w:rsidR="0062688F" w:rsidRDefault="0062688F">
      <w:pPr>
        <w:pStyle w:val="Paragraph-center"/>
      </w:pPr>
    </w:p>
    <w:p w14:paraId="1C9285A8" w14:textId="77777777" w:rsidR="0062688F" w:rsidRDefault="0062688F">
      <w:pPr>
        <w:pStyle w:val="Paragraph-center"/>
      </w:pPr>
    </w:p>
    <w:p w14:paraId="3C1E527A" w14:textId="77777777" w:rsidR="0062688F" w:rsidRDefault="0062688F">
      <w:pPr>
        <w:pStyle w:val="Paragraph-center"/>
      </w:pPr>
    </w:p>
    <w:p w14:paraId="724EE0FE" w14:textId="77777777" w:rsidR="0062688F" w:rsidRDefault="0062688F">
      <w:pPr>
        <w:pStyle w:val="Paragraph-center"/>
      </w:pPr>
    </w:p>
    <w:p w14:paraId="571A65D6" w14:textId="77777777" w:rsidR="0062688F" w:rsidRDefault="0062688F">
      <w:pPr>
        <w:pStyle w:val="Paragraph-center"/>
      </w:pPr>
    </w:p>
    <w:p w14:paraId="114B765A" w14:textId="198E6044" w:rsidR="005345AF" w:rsidRPr="005345AF" w:rsidRDefault="005345AF" w:rsidP="005345AF">
      <w:pPr>
        <w:pStyle w:val="Paragraph-center"/>
        <w:rPr>
          <w:b/>
        </w:rPr>
      </w:pPr>
      <w:r w:rsidRPr="005345AF">
        <w:rPr>
          <w:b/>
        </w:rPr>
        <w:t>ASSESSING THE LONG-TERM SEQUELAE OF MILD TRAUMATIC BRAIN INJURY</w:t>
      </w:r>
    </w:p>
    <w:p w14:paraId="609B120F" w14:textId="77777777" w:rsidR="0062688F" w:rsidRDefault="0062688F">
      <w:pPr>
        <w:pStyle w:val="Paragraph-center"/>
        <w:rPr>
          <w:b/>
        </w:rPr>
      </w:pPr>
    </w:p>
    <w:p w14:paraId="3810AB15" w14:textId="77777777" w:rsidR="0062688F" w:rsidRDefault="0062688F">
      <w:pPr>
        <w:pStyle w:val="Paragraph-center"/>
      </w:pPr>
    </w:p>
    <w:p w14:paraId="7280121A" w14:textId="77777777" w:rsidR="0062688F" w:rsidRDefault="0062688F">
      <w:pPr>
        <w:pStyle w:val="Paragraph-center"/>
      </w:pPr>
    </w:p>
    <w:p w14:paraId="3643689B" w14:textId="77777777" w:rsidR="0062688F" w:rsidRDefault="0062688F">
      <w:pPr>
        <w:pStyle w:val="Paragraph-center"/>
      </w:pPr>
    </w:p>
    <w:p w14:paraId="5310D135" w14:textId="77777777" w:rsidR="0062688F" w:rsidRDefault="0062688F">
      <w:pPr>
        <w:pStyle w:val="Paragraph-center"/>
      </w:pPr>
    </w:p>
    <w:p w14:paraId="4736C25C" w14:textId="77777777" w:rsidR="0062688F" w:rsidRDefault="0062688F">
      <w:pPr>
        <w:pStyle w:val="Paragraph-center"/>
      </w:pPr>
    </w:p>
    <w:p w14:paraId="1ACB10AD" w14:textId="77777777" w:rsidR="0062688F" w:rsidRDefault="0062688F">
      <w:pPr>
        <w:pStyle w:val="Paragraph-center"/>
      </w:pPr>
    </w:p>
    <w:p w14:paraId="7B4B7ABC" w14:textId="77777777" w:rsidR="0062688F" w:rsidRDefault="0062688F">
      <w:pPr>
        <w:pStyle w:val="Paragraph-center"/>
      </w:pPr>
    </w:p>
    <w:p w14:paraId="19B07FDA" w14:textId="77777777" w:rsidR="0062688F" w:rsidRDefault="0062688F">
      <w:pPr>
        <w:pStyle w:val="Paragraph-center"/>
      </w:pPr>
      <w:r>
        <w:t>A Dissertation Presented</w:t>
      </w:r>
    </w:p>
    <w:p w14:paraId="232583EC" w14:textId="77777777" w:rsidR="0062688F" w:rsidRDefault="0062688F">
      <w:pPr>
        <w:pStyle w:val="Paragraph-center"/>
      </w:pPr>
    </w:p>
    <w:p w14:paraId="7142B146" w14:textId="77777777" w:rsidR="0062688F" w:rsidRDefault="0062688F">
      <w:pPr>
        <w:pStyle w:val="Paragraph-center"/>
      </w:pPr>
      <w:r>
        <w:t>by</w:t>
      </w:r>
    </w:p>
    <w:p w14:paraId="2697C1A4" w14:textId="77777777" w:rsidR="0062688F" w:rsidRDefault="0062688F">
      <w:pPr>
        <w:pStyle w:val="Paragraph-center"/>
      </w:pPr>
    </w:p>
    <w:p w14:paraId="26EC8A1F" w14:textId="0721BDD4" w:rsidR="0062688F" w:rsidRDefault="00C11811">
      <w:pPr>
        <w:pStyle w:val="Paragraph-center"/>
      </w:pPr>
      <w:r>
        <w:t>JANNA MANTUA</w:t>
      </w:r>
    </w:p>
    <w:p w14:paraId="5B7B7D0F" w14:textId="77777777" w:rsidR="0062688F" w:rsidRDefault="0062688F">
      <w:pPr>
        <w:pStyle w:val="Paragraph-center"/>
      </w:pPr>
    </w:p>
    <w:p w14:paraId="2B799253" w14:textId="77777777" w:rsidR="0062688F" w:rsidRDefault="0062688F">
      <w:pPr>
        <w:pStyle w:val="Paragraph-center"/>
      </w:pPr>
    </w:p>
    <w:p w14:paraId="71EF46E0" w14:textId="77777777" w:rsidR="0062688F" w:rsidRDefault="0062688F">
      <w:pPr>
        <w:pStyle w:val="Paragraph-center"/>
      </w:pPr>
    </w:p>
    <w:p w14:paraId="037EFF95" w14:textId="77777777" w:rsidR="0062688F" w:rsidRDefault="0062688F">
      <w:pPr>
        <w:pStyle w:val="Paragraph-center"/>
      </w:pPr>
    </w:p>
    <w:p w14:paraId="3A1FA283" w14:textId="77777777" w:rsidR="0062688F" w:rsidRDefault="0062688F">
      <w:pPr>
        <w:pStyle w:val="Paragraph-center"/>
      </w:pPr>
    </w:p>
    <w:p w14:paraId="6AAA5BF2" w14:textId="77777777" w:rsidR="0062688F" w:rsidRDefault="0062688F">
      <w:pPr>
        <w:pStyle w:val="Paragraph-center"/>
      </w:pPr>
    </w:p>
    <w:p w14:paraId="24964362" w14:textId="77777777" w:rsidR="0062688F" w:rsidRDefault="0062688F">
      <w:pPr>
        <w:pStyle w:val="Paragraph-center"/>
      </w:pPr>
    </w:p>
    <w:p w14:paraId="33A3D2BB" w14:textId="77777777" w:rsidR="0062688F" w:rsidRDefault="0062688F">
      <w:pPr>
        <w:pStyle w:val="Paragraph-center"/>
      </w:pPr>
    </w:p>
    <w:p w14:paraId="2ED81864" w14:textId="77777777" w:rsidR="0062688F" w:rsidRDefault="0062688F">
      <w:pPr>
        <w:pStyle w:val="Paragraph-center"/>
      </w:pPr>
    </w:p>
    <w:p w14:paraId="332C809B" w14:textId="77777777" w:rsidR="0062688F" w:rsidRDefault="0062688F">
      <w:pPr>
        <w:pStyle w:val="Paragraph-center"/>
      </w:pPr>
      <w:r>
        <w:t>Submitted to the Graduate School of the</w:t>
      </w:r>
    </w:p>
    <w:p w14:paraId="4D4E90B3" w14:textId="77777777" w:rsidR="0062688F" w:rsidRDefault="0062688F">
      <w:pPr>
        <w:pStyle w:val="Paragraph-center"/>
      </w:pPr>
      <w:r>
        <w:t>University of Massachusetts Amherst in partial fulfillment</w:t>
      </w:r>
    </w:p>
    <w:p w14:paraId="5A120D6D" w14:textId="77777777" w:rsidR="0062688F" w:rsidRDefault="0062688F">
      <w:pPr>
        <w:pStyle w:val="Paragraph-center"/>
      </w:pPr>
      <w:r>
        <w:t>of the requirements for the degree of</w:t>
      </w:r>
    </w:p>
    <w:p w14:paraId="0199E5BE" w14:textId="77777777" w:rsidR="0062688F" w:rsidRDefault="0062688F">
      <w:pPr>
        <w:pStyle w:val="Paragraph-center"/>
      </w:pPr>
    </w:p>
    <w:p w14:paraId="080F6705" w14:textId="77777777" w:rsidR="00A52A02" w:rsidRDefault="00A52A02">
      <w:pPr>
        <w:pStyle w:val="Paragraph-center"/>
      </w:pPr>
    </w:p>
    <w:p w14:paraId="51EFD8BF" w14:textId="77777777" w:rsidR="0062688F" w:rsidRDefault="0062688F">
      <w:pPr>
        <w:pStyle w:val="Paragraph-center"/>
      </w:pPr>
      <w:r>
        <w:t>DOCTOR OF PHILOSOPHY</w:t>
      </w:r>
    </w:p>
    <w:p w14:paraId="349B14F7" w14:textId="77777777" w:rsidR="0062688F" w:rsidRDefault="0062688F">
      <w:pPr>
        <w:pStyle w:val="Paragraph-center"/>
      </w:pPr>
    </w:p>
    <w:p w14:paraId="347C3007" w14:textId="77777777" w:rsidR="00C11811" w:rsidRDefault="00C11811">
      <w:pPr>
        <w:pStyle w:val="Paragraph-center"/>
      </w:pPr>
    </w:p>
    <w:p w14:paraId="3C800A7E" w14:textId="77777777" w:rsidR="00E75AC2" w:rsidRDefault="00E75AC2">
      <w:pPr>
        <w:pStyle w:val="Paragraph-center"/>
      </w:pPr>
    </w:p>
    <w:p w14:paraId="171F578C" w14:textId="3B584B84" w:rsidR="0062688F" w:rsidRDefault="00C11811">
      <w:pPr>
        <w:pStyle w:val="Paragraph-center"/>
      </w:pPr>
      <w:r>
        <w:t>February 2018</w:t>
      </w:r>
    </w:p>
    <w:p w14:paraId="286E4C2F" w14:textId="77777777" w:rsidR="0062688F" w:rsidRDefault="0062688F">
      <w:pPr>
        <w:pStyle w:val="Paragraph-center"/>
      </w:pPr>
    </w:p>
    <w:p w14:paraId="2A6D7500" w14:textId="77777777" w:rsidR="00FC1EDD" w:rsidRDefault="00FC1EDD">
      <w:pPr>
        <w:pStyle w:val="Paragraph-center"/>
      </w:pPr>
    </w:p>
    <w:p w14:paraId="442E573E" w14:textId="09924973" w:rsidR="0062688F" w:rsidRDefault="00C11811">
      <w:pPr>
        <w:pStyle w:val="Paragraph-center"/>
      </w:pPr>
      <w:r>
        <w:t>Neuroscience &amp; Behavior Program</w:t>
      </w:r>
    </w:p>
    <w:p w14:paraId="40D5C1FC" w14:textId="77777777" w:rsidR="00FC1EDD" w:rsidRDefault="00FC1EDD">
      <w:pPr>
        <w:pStyle w:val="Paragraph-center"/>
      </w:pPr>
    </w:p>
    <w:p w14:paraId="637FBFEE" w14:textId="77777777" w:rsidR="0062688F" w:rsidRDefault="0062688F">
      <w:pPr>
        <w:pStyle w:val="Paragraph-center"/>
      </w:pPr>
      <w:r>
        <w:br w:type="page"/>
      </w:r>
    </w:p>
    <w:p w14:paraId="36F2F011" w14:textId="77777777" w:rsidR="0062688F" w:rsidRDefault="0062688F">
      <w:pPr>
        <w:pStyle w:val="Paragraph-center"/>
      </w:pPr>
    </w:p>
    <w:p w14:paraId="20F09784" w14:textId="77777777" w:rsidR="0062688F" w:rsidRDefault="0062688F">
      <w:pPr>
        <w:pStyle w:val="Paragraph-center"/>
      </w:pPr>
    </w:p>
    <w:p w14:paraId="48F1668A" w14:textId="77777777" w:rsidR="0062688F" w:rsidRDefault="0062688F">
      <w:pPr>
        <w:pStyle w:val="Paragraph-center"/>
      </w:pPr>
    </w:p>
    <w:p w14:paraId="6FF78FD3" w14:textId="77777777" w:rsidR="0062688F" w:rsidRDefault="0062688F">
      <w:pPr>
        <w:pStyle w:val="Paragraph-center"/>
      </w:pPr>
    </w:p>
    <w:p w14:paraId="07558DBD" w14:textId="77777777" w:rsidR="0062688F" w:rsidRDefault="0062688F">
      <w:pPr>
        <w:pStyle w:val="Paragraph-center"/>
      </w:pPr>
    </w:p>
    <w:p w14:paraId="782B3757" w14:textId="77777777" w:rsidR="0062688F" w:rsidRDefault="0062688F">
      <w:pPr>
        <w:pStyle w:val="Paragraph-center"/>
      </w:pPr>
    </w:p>
    <w:p w14:paraId="2CF700D7" w14:textId="77777777" w:rsidR="0062688F" w:rsidRDefault="0062688F">
      <w:pPr>
        <w:pStyle w:val="Paragraph-center"/>
      </w:pPr>
    </w:p>
    <w:p w14:paraId="1AE7F1E1" w14:textId="77777777" w:rsidR="0062688F" w:rsidRDefault="0062688F">
      <w:pPr>
        <w:pStyle w:val="Paragraph-center"/>
      </w:pPr>
    </w:p>
    <w:p w14:paraId="4F36F9F0" w14:textId="77777777" w:rsidR="0062688F" w:rsidRDefault="0062688F">
      <w:pPr>
        <w:pStyle w:val="Paragraph-center"/>
      </w:pPr>
    </w:p>
    <w:p w14:paraId="0B1F44AE" w14:textId="77777777" w:rsidR="0062688F" w:rsidRDefault="0062688F">
      <w:pPr>
        <w:pStyle w:val="Paragraph-center"/>
      </w:pPr>
    </w:p>
    <w:p w14:paraId="499A8E8B" w14:textId="77777777" w:rsidR="0062688F" w:rsidRDefault="0062688F">
      <w:pPr>
        <w:pStyle w:val="Paragraph-center"/>
      </w:pPr>
    </w:p>
    <w:p w14:paraId="495B4156" w14:textId="77777777" w:rsidR="0062688F" w:rsidRDefault="0062688F">
      <w:pPr>
        <w:pStyle w:val="Paragraph-center"/>
      </w:pPr>
    </w:p>
    <w:p w14:paraId="4CE66E16" w14:textId="77777777" w:rsidR="0062688F" w:rsidRDefault="0062688F">
      <w:pPr>
        <w:pStyle w:val="Paragraph-center"/>
      </w:pPr>
    </w:p>
    <w:p w14:paraId="3F1A26C5" w14:textId="77777777" w:rsidR="0062688F" w:rsidRDefault="0062688F">
      <w:pPr>
        <w:pStyle w:val="Paragraph-center"/>
      </w:pPr>
    </w:p>
    <w:p w14:paraId="694E392B" w14:textId="77777777" w:rsidR="0062688F" w:rsidRDefault="0062688F">
      <w:pPr>
        <w:pStyle w:val="Paragraph-center"/>
      </w:pPr>
    </w:p>
    <w:p w14:paraId="78F40C25" w14:textId="77777777" w:rsidR="0062688F" w:rsidRDefault="0062688F">
      <w:pPr>
        <w:pStyle w:val="Paragraph-center"/>
      </w:pPr>
    </w:p>
    <w:p w14:paraId="4582EC5D" w14:textId="77777777" w:rsidR="0062688F" w:rsidRDefault="0062688F">
      <w:pPr>
        <w:pStyle w:val="Paragraph-center"/>
      </w:pPr>
    </w:p>
    <w:p w14:paraId="4AB28E9E" w14:textId="77777777" w:rsidR="0062688F" w:rsidRDefault="0062688F">
      <w:pPr>
        <w:pStyle w:val="Paragraph-center"/>
      </w:pPr>
    </w:p>
    <w:p w14:paraId="3F160D47" w14:textId="77777777" w:rsidR="0062688F" w:rsidRDefault="0062688F">
      <w:pPr>
        <w:pStyle w:val="Paragraph-center"/>
      </w:pPr>
    </w:p>
    <w:p w14:paraId="4C083A61" w14:textId="77777777" w:rsidR="0062688F" w:rsidRDefault="0062688F">
      <w:pPr>
        <w:pStyle w:val="Paragraph-center"/>
      </w:pPr>
    </w:p>
    <w:p w14:paraId="72B4700E" w14:textId="77777777" w:rsidR="0062688F" w:rsidRDefault="0062688F">
      <w:pPr>
        <w:pStyle w:val="Paragraph-center"/>
      </w:pPr>
    </w:p>
    <w:p w14:paraId="0F3BBA9B" w14:textId="77777777" w:rsidR="0062688F" w:rsidRDefault="0062688F">
      <w:pPr>
        <w:pStyle w:val="Paragraph-center"/>
      </w:pPr>
    </w:p>
    <w:p w14:paraId="017286FB" w14:textId="77777777" w:rsidR="0062688F" w:rsidRDefault="0062688F">
      <w:pPr>
        <w:pStyle w:val="Paragraph-center"/>
      </w:pPr>
    </w:p>
    <w:p w14:paraId="21B10747" w14:textId="77777777" w:rsidR="0062688F" w:rsidRDefault="0062688F">
      <w:pPr>
        <w:pStyle w:val="Paragraph-center"/>
      </w:pPr>
    </w:p>
    <w:p w14:paraId="1F70FC33" w14:textId="77777777" w:rsidR="0062688F" w:rsidRDefault="0062688F">
      <w:pPr>
        <w:pStyle w:val="Paragraph-center"/>
      </w:pPr>
    </w:p>
    <w:p w14:paraId="4C87E17E" w14:textId="77777777" w:rsidR="0062688F" w:rsidRDefault="0062688F">
      <w:pPr>
        <w:pStyle w:val="Paragraph-center"/>
      </w:pPr>
    </w:p>
    <w:p w14:paraId="13E2805F" w14:textId="77777777" w:rsidR="0062688F" w:rsidRDefault="0062688F">
      <w:pPr>
        <w:pStyle w:val="Paragraph-center"/>
      </w:pPr>
    </w:p>
    <w:p w14:paraId="7363735B" w14:textId="77777777" w:rsidR="0062688F" w:rsidRDefault="0062688F">
      <w:pPr>
        <w:pStyle w:val="Paragraph-center"/>
      </w:pPr>
    </w:p>
    <w:p w14:paraId="494D68C3" w14:textId="77777777" w:rsidR="0062688F" w:rsidRDefault="0062688F">
      <w:pPr>
        <w:pStyle w:val="Paragraph-center"/>
      </w:pPr>
    </w:p>
    <w:p w14:paraId="39B8E0AD" w14:textId="77777777" w:rsidR="0062688F" w:rsidRDefault="0062688F">
      <w:pPr>
        <w:pStyle w:val="Paragraph-center"/>
      </w:pPr>
    </w:p>
    <w:p w14:paraId="04900C8A" w14:textId="77777777" w:rsidR="0062688F" w:rsidRDefault="0062688F">
      <w:pPr>
        <w:pStyle w:val="Paragraph-center"/>
      </w:pPr>
    </w:p>
    <w:p w14:paraId="253DCCBF" w14:textId="77777777" w:rsidR="0062688F" w:rsidRDefault="0062688F">
      <w:pPr>
        <w:pStyle w:val="Paragraph-center"/>
      </w:pPr>
    </w:p>
    <w:p w14:paraId="4EE48138" w14:textId="77777777" w:rsidR="0062688F" w:rsidRDefault="0062688F">
      <w:pPr>
        <w:pStyle w:val="Paragraph-center"/>
      </w:pPr>
    </w:p>
    <w:p w14:paraId="2F3E2646" w14:textId="77777777" w:rsidR="0062688F" w:rsidRDefault="0062688F">
      <w:pPr>
        <w:pStyle w:val="Paragraph-center"/>
      </w:pPr>
    </w:p>
    <w:p w14:paraId="7E4F189A" w14:textId="77777777" w:rsidR="0062688F" w:rsidRDefault="0062688F">
      <w:pPr>
        <w:pStyle w:val="Paragraph-center"/>
      </w:pPr>
    </w:p>
    <w:p w14:paraId="3B6FCF98" w14:textId="77777777" w:rsidR="0062688F" w:rsidRDefault="0062688F">
      <w:pPr>
        <w:pStyle w:val="Paragraph-center"/>
      </w:pPr>
    </w:p>
    <w:p w14:paraId="4B7BD99A" w14:textId="77777777" w:rsidR="0062688F" w:rsidRDefault="0062688F">
      <w:pPr>
        <w:pStyle w:val="Paragraph-center"/>
      </w:pPr>
    </w:p>
    <w:p w14:paraId="6957CB8C" w14:textId="77777777" w:rsidR="0062688F" w:rsidRDefault="0062688F">
      <w:pPr>
        <w:pStyle w:val="Paragraph-center"/>
      </w:pPr>
    </w:p>
    <w:p w14:paraId="6828BB8F" w14:textId="77777777" w:rsidR="0062688F" w:rsidRDefault="0062688F">
      <w:pPr>
        <w:pStyle w:val="Paragraph-center"/>
      </w:pPr>
    </w:p>
    <w:p w14:paraId="7DB046E5" w14:textId="210AE18F" w:rsidR="0062688F" w:rsidRDefault="0062688F">
      <w:pPr>
        <w:pStyle w:val="Paragraph-center"/>
      </w:pPr>
      <w:r>
        <w:t>© Copyr</w:t>
      </w:r>
      <w:r w:rsidR="00D47A9A">
        <w:t xml:space="preserve">ight by </w:t>
      </w:r>
      <w:r w:rsidR="00D82A0E">
        <w:t>Janna Mantua 2018</w:t>
      </w:r>
    </w:p>
    <w:p w14:paraId="6E9CB93F" w14:textId="77777777" w:rsidR="0062688F" w:rsidRDefault="0062688F">
      <w:pPr>
        <w:pStyle w:val="Paragraph-center"/>
      </w:pPr>
    </w:p>
    <w:p w14:paraId="0D7BA20C" w14:textId="77777777" w:rsidR="0062688F" w:rsidRDefault="0062688F">
      <w:pPr>
        <w:pStyle w:val="Paragraph-center"/>
      </w:pPr>
      <w:r>
        <w:t>All Rights Reserved</w:t>
      </w:r>
    </w:p>
    <w:p w14:paraId="5B045916" w14:textId="77777777" w:rsidR="0062688F" w:rsidRDefault="0062688F">
      <w:pPr>
        <w:pStyle w:val="Paragraph-center"/>
      </w:pPr>
    </w:p>
    <w:p w14:paraId="50DA79B5" w14:textId="77777777" w:rsidR="0062688F" w:rsidRDefault="0062688F">
      <w:pPr>
        <w:pStyle w:val="Paragraph-center"/>
      </w:pPr>
    </w:p>
    <w:p w14:paraId="687BF0FD" w14:textId="77777777" w:rsidR="0062688F" w:rsidRDefault="0062688F">
      <w:pPr>
        <w:pStyle w:val="Paragraph-center"/>
      </w:pPr>
    </w:p>
    <w:p w14:paraId="75D90AC0" w14:textId="77777777" w:rsidR="0062688F" w:rsidRDefault="0062688F">
      <w:pPr>
        <w:pStyle w:val="Paragraph-center"/>
      </w:pPr>
    </w:p>
    <w:p w14:paraId="227E56B9" w14:textId="77777777" w:rsidR="0062688F" w:rsidRDefault="0062688F">
      <w:pPr>
        <w:pStyle w:val="Paragraph-center"/>
      </w:pPr>
    </w:p>
    <w:p w14:paraId="79D22CA5" w14:textId="459084F7" w:rsidR="00D47A9A" w:rsidRDefault="00336AC8" w:rsidP="00336AC8">
      <w:pPr>
        <w:pStyle w:val="Paragraph-center"/>
        <w:rPr>
          <w:b/>
        </w:rPr>
      </w:pPr>
      <w:r w:rsidRPr="005345AF">
        <w:rPr>
          <w:b/>
        </w:rPr>
        <w:t>ASSESSING THE LONG-TERM SEQUELAE OF MILD TRAUMATIC BRAIN INJURY</w:t>
      </w:r>
    </w:p>
    <w:p w14:paraId="5449D637" w14:textId="77777777" w:rsidR="00336AC8" w:rsidRPr="00336AC8" w:rsidRDefault="00336AC8" w:rsidP="00336AC8">
      <w:pPr>
        <w:pStyle w:val="Paragraph-center"/>
        <w:rPr>
          <w:b/>
        </w:rPr>
      </w:pPr>
    </w:p>
    <w:p w14:paraId="0F07B938" w14:textId="77777777" w:rsidR="0062688F" w:rsidRDefault="0062688F">
      <w:pPr>
        <w:pStyle w:val="Paragraph-center"/>
      </w:pPr>
      <w:r>
        <w:t>A Dissertation Presented</w:t>
      </w:r>
    </w:p>
    <w:p w14:paraId="365955D0" w14:textId="77777777" w:rsidR="0062688F" w:rsidRDefault="0062688F">
      <w:pPr>
        <w:pStyle w:val="Paragraph-center"/>
      </w:pPr>
    </w:p>
    <w:p w14:paraId="1C3DD672" w14:textId="77777777" w:rsidR="0062688F" w:rsidRDefault="0062688F">
      <w:pPr>
        <w:pStyle w:val="Paragraph-center"/>
      </w:pPr>
      <w:r>
        <w:t>by</w:t>
      </w:r>
    </w:p>
    <w:p w14:paraId="0B588AA4" w14:textId="77777777" w:rsidR="0062688F" w:rsidRDefault="0062688F">
      <w:pPr>
        <w:pStyle w:val="Paragraph-center"/>
      </w:pPr>
    </w:p>
    <w:p w14:paraId="18515768" w14:textId="13DD75A6" w:rsidR="0062688F" w:rsidRDefault="00336AC8" w:rsidP="00336AC8">
      <w:pPr>
        <w:pStyle w:val="Paragraph-center"/>
      </w:pPr>
      <w:r>
        <w:t>JANNA MANTUA</w:t>
      </w:r>
    </w:p>
    <w:p w14:paraId="0392FC3D" w14:textId="77777777" w:rsidR="00D47A9A" w:rsidRDefault="00D47A9A">
      <w:pPr>
        <w:pStyle w:val="Paragraph-center"/>
      </w:pPr>
    </w:p>
    <w:p w14:paraId="042981C7" w14:textId="31F72A70" w:rsidR="0062688F" w:rsidRDefault="0062688F" w:rsidP="00336AC8">
      <w:r>
        <w:t>Approved as to style and content by:</w:t>
      </w:r>
    </w:p>
    <w:p w14:paraId="16C051F5"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6B14E736" w14:textId="77777777" w:rsidR="00336AC8" w:rsidRPr="00C421E4" w:rsidRDefault="00336AC8" w:rsidP="00336AC8">
      <w:pPr>
        <w:spacing w:before="100" w:beforeAutospacing="1" w:after="100" w:afterAutospacing="1"/>
        <w:outlineLvl w:val="0"/>
        <w:rPr>
          <w:rFonts w:ascii="Times" w:hAnsi="Times"/>
        </w:rPr>
      </w:pPr>
      <w:r>
        <w:rPr>
          <w:rFonts w:ascii="Times" w:hAnsi="Times"/>
        </w:rPr>
        <w:t xml:space="preserve">Rebecca Ready, </w:t>
      </w:r>
      <w:r w:rsidRPr="00C421E4">
        <w:rPr>
          <w:rFonts w:ascii="Times" w:hAnsi="Times"/>
        </w:rPr>
        <w:t>Chair</w:t>
      </w:r>
    </w:p>
    <w:p w14:paraId="1BF70033"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6DCF687C" w14:textId="77777777" w:rsidR="00336AC8" w:rsidRPr="00C421E4" w:rsidRDefault="00336AC8" w:rsidP="00336AC8">
      <w:pPr>
        <w:spacing w:before="100" w:beforeAutospacing="1" w:after="100" w:afterAutospacing="1"/>
        <w:outlineLvl w:val="0"/>
        <w:rPr>
          <w:rFonts w:ascii="Times" w:hAnsi="Times"/>
        </w:rPr>
      </w:pPr>
      <w:r w:rsidRPr="00C421E4">
        <w:rPr>
          <w:rFonts w:ascii="Times" w:hAnsi="Times"/>
        </w:rPr>
        <w:t>Agnè</w:t>
      </w:r>
      <w:r>
        <w:rPr>
          <w:rFonts w:ascii="Times" w:hAnsi="Times"/>
        </w:rPr>
        <w:t xml:space="preserve">s Lacreuse, </w:t>
      </w:r>
      <w:r w:rsidRPr="00C421E4">
        <w:rPr>
          <w:rFonts w:ascii="Times" w:hAnsi="Times"/>
        </w:rPr>
        <w:t>Member</w:t>
      </w:r>
    </w:p>
    <w:p w14:paraId="48E85395"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13DB62C2" w14:textId="77777777" w:rsidR="00336AC8" w:rsidRPr="00C421E4" w:rsidRDefault="00336AC8" w:rsidP="00336AC8">
      <w:pPr>
        <w:spacing w:before="100" w:beforeAutospacing="1" w:after="100" w:afterAutospacing="1"/>
        <w:outlineLvl w:val="0"/>
        <w:rPr>
          <w:rFonts w:ascii="Times" w:hAnsi="Times"/>
        </w:rPr>
      </w:pPr>
      <w:r>
        <w:rPr>
          <w:rFonts w:ascii="Times" w:hAnsi="Times"/>
        </w:rPr>
        <w:t xml:space="preserve">Katherine Dixon-Gordon, </w:t>
      </w:r>
      <w:r w:rsidRPr="00C421E4">
        <w:rPr>
          <w:rFonts w:ascii="Times" w:hAnsi="Times"/>
        </w:rPr>
        <w:t>Member</w:t>
      </w:r>
    </w:p>
    <w:p w14:paraId="626867F8"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5A697779" w14:textId="77777777" w:rsidR="00336AC8" w:rsidRPr="00C421E4" w:rsidRDefault="00336AC8" w:rsidP="00336AC8">
      <w:pPr>
        <w:spacing w:before="100" w:beforeAutospacing="1" w:after="100" w:afterAutospacing="1"/>
        <w:outlineLvl w:val="0"/>
        <w:rPr>
          <w:rFonts w:ascii="Times" w:hAnsi="Times"/>
        </w:rPr>
      </w:pPr>
      <w:r>
        <w:rPr>
          <w:rFonts w:ascii="Times" w:hAnsi="Times"/>
        </w:rPr>
        <w:t xml:space="preserve">Kirby Deater-Deckard, </w:t>
      </w:r>
      <w:r w:rsidRPr="00C421E4">
        <w:rPr>
          <w:rFonts w:ascii="Times" w:hAnsi="Times"/>
        </w:rPr>
        <w:t>Member</w:t>
      </w:r>
    </w:p>
    <w:p w14:paraId="1B1949C1"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342F4110" w14:textId="77777777" w:rsidR="00336AC8" w:rsidRPr="00C421E4" w:rsidRDefault="00336AC8" w:rsidP="00336AC8">
      <w:pPr>
        <w:spacing w:before="100" w:beforeAutospacing="1" w:after="100" w:afterAutospacing="1"/>
        <w:outlineLvl w:val="0"/>
        <w:rPr>
          <w:rFonts w:ascii="Times" w:hAnsi="Times"/>
        </w:rPr>
      </w:pPr>
      <w:r>
        <w:rPr>
          <w:rFonts w:ascii="Times" w:hAnsi="Times"/>
        </w:rPr>
        <w:t xml:space="preserve">Rebecca Spencer, </w:t>
      </w:r>
      <w:r w:rsidRPr="00C421E4">
        <w:rPr>
          <w:rFonts w:ascii="Times" w:hAnsi="Times"/>
        </w:rPr>
        <w:t>Member</w:t>
      </w:r>
    </w:p>
    <w:p w14:paraId="13DFD563" w14:textId="77777777" w:rsidR="00336AC8" w:rsidRPr="00C421E4" w:rsidRDefault="00336AC8" w:rsidP="00336AC8">
      <w:pPr>
        <w:spacing w:before="100" w:beforeAutospacing="1" w:after="100" w:afterAutospacing="1"/>
        <w:rPr>
          <w:rFonts w:ascii="Times" w:hAnsi="Times"/>
        </w:rPr>
      </w:pPr>
      <w:r w:rsidRPr="00C421E4">
        <w:rPr>
          <w:rFonts w:ascii="Times" w:hAnsi="Times"/>
        </w:rPr>
        <w:t xml:space="preserve">_________________________________________________ </w:t>
      </w:r>
    </w:p>
    <w:p w14:paraId="0D09F0E3" w14:textId="77777777" w:rsidR="00336AC8" w:rsidRPr="00C421E4" w:rsidRDefault="00336AC8" w:rsidP="00336AC8">
      <w:pPr>
        <w:spacing w:before="100" w:beforeAutospacing="1" w:after="100" w:afterAutospacing="1"/>
        <w:outlineLvl w:val="0"/>
        <w:rPr>
          <w:rFonts w:ascii="Times" w:hAnsi="Times"/>
        </w:rPr>
      </w:pPr>
      <w:r>
        <w:rPr>
          <w:rFonts w:ascii="Times" w:hAnsi="Times"/>
        </w:rPr>
        <w:t xml:space="preserve">Nnamdi Pole, </w:t>
      </w:r>
      <w:r w:rsidRPr="00C421E4">
        <w:rPr>
          <w:rFonts w:ascii="Times" w:hAnsi="Times"/>
        </w:rPr>
        <w:t>Member</w:t>
      </w:r>
    </w:p>
    <w:p w14:paraId="516AF79A" w14:textId="77777777" w:rsidR="00336AC8" w:rsidRPr="00C421E4" w:rsidRDefault="00336AC8" w:rsidP="00336AC8">
      <w:pPr>
        <w:spacing w:before="100" w:beforeAutospacing="1" w:after="100" w:afterAutospacing="1"/>
        <w:jc w:val="right"/>
        <w:rPr>
          <w:rFonts w:ascii="Times" w:hAnsi="Times"/>
        </w:rPr>
      </w:pPr>
      <w:r w:rsidRPr="00C421E4">
        <w:rPr>
          <w:rFonts w:ascii="Times" w:hAnsi="Times"/>
        </w:rPr>
        <w:t xml:space="preserve">_____________________________________________ </w:t>
      </w:r>
    </w:p>
    <w:p w14:paraId="0FA99F32" w14:textId="77777777" w:rsidR="00336AC8" w:rsidRPr="00C421E4" w:rsidRDefault="00336AC8" w:rsidP="00336AC8">
      <w:pPr>
        <w:spacing w:before="100" w:beforeAutospacing="1" w:after="100" w:afterAutospacing="1"/>
        <w:jc w:val="right"/>
        <w:rPr>
          <w:rFonts w:ascii="Times" w:hAnsi="Times"/>
        </w:rPr>
      </w:pPr>
      <w:r w:rsidRPr="00C421E4">
        <w:rPr>
          <w:rFonts w:ascii="Times" w:hAnsi="Times"/>
        </w:rPr>
        <w:t>Rebecca Spencer, Graduate Program Director</w:t>
      </w:r>
      <w:r w:rsidRPr="00C421E4">
        <w:rPr>
          <w:rFonts w:ascii="Times" w:hAnsi="Times"/>
        </w:rPr>
        <w:br/>
        <w:t xml:space="preserve">Neuroscience &amp; Behavior Program </w:t>
      </w:r>
    </w:p>
    <w:p w14:paraId="794D093E" w14:textId="77777777" w:rsidR="00336AC8" w:rsidRPr="00C421E4" w:rsidRDefault="00336AC8" w:rsidP="00336AC8">
      <w:pPr>
        <w:spacing w:before="100" w:beforeAutospacing="1" w:after="100" w:afterAutospacing="1"/>
        <w:jc w:val="right"/>
        <w:rPr>
          <w:rFonts w:ascii="Times" w:hAnsi="Times"/>
        </w:rPr>
      </w:pPr>
      <w:r w:rsidRPr="00C421E4">
        <w:rPr>
          <w:rFonts w:ascii="Times" w:hAnsi="Times"/>
        </w:rPr>
        <w:t xml:space="preserve">_____________________________________________ </w:t>
      </w:r>
    </w:p>
    <w:p w14:paraId="1B6885B0" w14:textId="77777777" w:rsidR="00336AC8" w:rsidRPr="00C421E4" w:rsidRDefault="00336AC8" w:rsidP="00336AC8">
      <w:pPr>
        <w:spacing w:before="100" w:beforeAutospacing="1" w:after="100" w:afterAutospacing="1"/>
        <w:jc w:val="right"/>
        <w:rPr>
          <w:rFonts w:ascii="Times" w:hAnsi="Times"/>
        </w:rPr>
      </w:pPr>
      <w:r w:rsidRPr="00C421E4">
        <w:rPr>
          <w:rFonts w:ascii="Times" w:hAnsi="Times"/>
        </w:rPr>
        <w:t xml:space="preserve">John Lopes, </w:t>
      </w:r>
      <w:r>
        <w:rPr>
          <w:rFonts w:ascii="Times" w:hAnsi="Times"/>
        </w:rPr>
        <w:t>Associate Dean</w:t>
      </w:r>
      <w:r w:rsidRPr="00C421E4">
        <w:rPr>
          <w:rFonts w:ascii="Times" w:hAnsi="Times"/>
        </w:rPr>
        <w:br/>
      </w:r>
      <w:r>
        <w:rPr>
          <w:rFonts w:ascii="Times" w:hAnsi="Times"/>
        </w:rPr>
        <w:t>College of Natural Sciences</w:t>
      </w:r>
      <w:r w:rsidRPr="00C421E4">
        <w:rPr>
          <w:rFonts w:ascii="Times" w:hAnsi="Times"/>
        </w:rPr>
        <w:t xml:space="preserve"> </w:t>
      </w:r>
    </w:p>
    <w:p w14:paraId="51E99E80" w14:textId="77777777" w:rsidR="0062688F" w:rsidRDefault="0062688F" w:rsidP="00A31D55">
      <w:pPr>
        <w:pStyle w:val="Paragraph-center"/>
        <w:jc w:val="left"/>
        <w:sectPr w:rsidR="0062688F">
          <w:footerReference w:type="even" r:id="rId7"/>
          <w:footerReference w:type="default" r:id="rId8"/>
          <w:pgSz w:w="12240" w:h="15840" w:code="1"/>
          <w:pgMar w:top="1440" w:right="1440" w:bottom="1440" w:left="2160" w:header="720" w:footer="720" w:gutter="0"/>
          <w:paperSrc w:first="1" w:other="1"/>
          <w:pgNumType w:fmt="lowerRoman" w:start="5"/>
          <w:cols w:space="720"/>
        </w:sectPr>
      </w:pPr>
    </w:p>
    <w:p w14:paraId="5211DFBA" w14:textId="77777777" w:rsidR="0062688F" w:rsidRDefault="0062688F" w:rsidP="00A31D55">
      <w:pPr>
        <w:pStyle w:val="Heading1"/>
        <w:jc w:val="left"/>
      </w:pPr>
      <w:r>
        <w:lastRenderedPageBreak/>
        <w:br w:type="page"/>
      </w:r>
      <w:bookmarkStart w:id="0" w:name="_Toc311875600"/>
      <w:bookmarkStart w:id="1" w:name="_Toc315941719"/>
      <w:bookmarkStart w:id="2" w:name="_Toc318691094"/>
      <w:bookmarkStart w:id="3" w:name="_Toc318691264"/>
      <w:bookmarkStart w:id="4" w:name="_Toc318701135"/>
      <w:bookmarkStart w:id="5" w:name="_Toc318711830"/>
      <w:bookmarkStart w:id="6" w:name="_Toc318770799"/>
      <w:bookmarkStart w:id="7" w:name="_Toc318772651"/>
      <w:bookmarkStart w:id="8" w:name="_Toc318795620"/>
      <w:bookmarkStart w:id="9" w:name="_Toc319229666"/>
      <w:bookmarkStart w:id="10" w:name="_Toc319230123"/>
      <w:bookmarkStart w:id="11" w:name="_Toc319318458"/>
      <w:bookmarkStart w:id="12" w:name="_Toc338133101"/>
      <w:bookmarkStart w:id="13" w:name="_Toc347371753"/>
      <w:bookmarkStart w:id="14" w:name="_Toc134518993"/>
      <w:r>
        <w:lastRenderedPageBreak/>
        <w:t>ABSTRACT</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p>
    <w:p w14:paraId="299D6629" w14:textId="77777777" w:rsidR="00222A0B" w:rsidRDefault="00222A0B" w:rsidP="00222A0B">
      <w:pPr>
        <w:pStyle w:val="Paragraph-center"/>
        <w:rPr>
          <w:b/>
        </w:rPr>
      </w:pPr>
      <w:r w:rsidRPr="005345AF">
        <w:rPr>
          <w:b/>
        </w:rPr>
        <w:t>ASSESSING THE LONG-TERM SEQUELAE OF MILD TRAUMATIC BRAIN INJURY</w:t>
      </w:r>
    </w:p>
    <w:p w14:paraId="24E5F701" w14:textId="77777777" w:rsidR="0062688F" w:rsidRDefault="0062688F">
      <w:pPr>
        <w:pStyle w:val="Paragraph-center"/>
      </w:pPr>
    </w:p>
    <w:p w14:paraId="2541B416" w14:textId="51C7E836" w:rsidR="0062688F" w:rsidRDefault="00A31D55">
      <w:pPr>
        <w:pStyle w:val="Paragraph-center"/>
      </w:pPr>
      <w:r>
        <w:t>FEBRUARY 2018</w:t>
      </w:r>
    </w:p>
    <w:p w14:paraId="64A677D9" w14:textId="77777777" w:rsidR="0062688F" w:rsidRDefault="0062688F">
      <w:pPr>
        <w:pStyle w:val="Paragraph-center"/>
      </w:pPr>
    </w:p>
    <w:p w14:paraId="6150A116" w14:textId="7FFEA42C" w:rsidR="0062688F" w:rsidRDefault="00A31D55">
      <w:pPr>
        <w:pStyle w:val="Paragraph-center"/>
      </w:pPr>
      <w:r>
        <w:t>JANNA MANTUA</w:t>
      </w:r>
      <w:r w:rsidR="0062688F">
        <w:t xml:space="preserve">, B.A., </w:t>
      </w:r>
      <w:r>
        <w:t>WEST VIRGINIA UNIVERSITY</w:t>
      </w:r>
    </w:p>
    <w:p w14:paraId="3415A009" w14:textId="77777777" w:rsidR="0062688F" w:rsidRDefault="0062688F" w:rsidP="00A31D55">
      <w:pPr>
        <w:pStyle w:val="Paragraph-center"/>
        <w:jc w:val="left"/>
      </w:pPr>
    </w:p>
    <w:p w14:paraId="3CA941A7" w14:textId="77777777" w:rsidR="0062688F" w:rsidRDefault="0062688F">
      <w:pPr>
        <w:pStyle w:val="Paragraph-center"/>
      </w:pPr>
      <w:r>
        <w:t>Ph.D., UNIVERSITY OF MASSACHUSETTS AMHERST</w:t>
      </w:r>
    </w:p>
    <w:p w14:paraId="444868FA" w14:textId="77777777" w:rsidR="0062688F" w:rsidRDefault="0062688F">
      <w:pPr>
        <w:pStyle w:val="Paragraph-center"/>
      </w:pPr>
    </w:p>
    <w:p w14:paraId="28F01956" w14:textId="35490DCD" w:rsidR="0062688F" w:rsidRDefault="0062688F">
      <w:pPr>
        <w:pStyle w:val="Paragraph-center"/>
      </w:pPr>
      <w:r>
        <w:t xml:space="preserve">Directed by: Professor </w:t>
      </w:r>
      <w:r w:rsidR="00A31D55">
        <w:t>Rebecca Ready</w:t>
      </w:r>
    </w:p>
    <w:p w14:paraId="1664F7C2" w14:textId="77777777" w:rsidR="00222A0B" w:rsidRDefault="00222A0B">
      <w:pPr>
        <w:pStyle w:val="Paragraph-center"/>
      </w:pPr>
    </w:p>
    <w:p w14:paraId="2E498441" w14:textId="77777777" w:rsidR="00222A0B" w:rsidRPr="00403997" w:rsidRDefault="00222A0B" w:rsidP="00222A0B">
      <w:pPr>
        <w:spacing w:before="100" w:beforeAutospacing="1" w:after="100" w:afterAutospacing="1" w:line="480" w:lineRule="auto"/>
        <w:rPr>
          <w:rFonts w:ascii="Times" w:hAnsi="Times"/>
        </w:rPr>
      </w:pPr>
      <w:r w:rsidRPr="00403997">
        <w:rPr>
          <w:rFonts w:ascii="Times" w:hAnsi="Times"/>
        </w:rPr>
        <w:t xml:space="preserve">A mild traumatic brain injury (mTBI), also known as a concussion, is defined as an injury that results in an alteration of consciousness or mental status. Previous studies have shown mTBI populations experience a number of chronic (&gt; 1 year) symptoms, such as sleep disturbances (e.g., sleep stage alterations), mood alterations (e.g., depressive symptoms), and cognitive alterations (e.g., poor concentration). The three chapters of this dissertation sought to explore these long-term sequelae and the possible interrelations between them. In the first experiment, sleep-dependent memory consolidation of neutral stimuli was probed in a chronic mTBI sample and a control, uninjured sample. I hypothesized memory consolidation would be reduced in the mTBI sample. However, sleep-dependent consolidation was found to be intact in the mTBI sample, despite differences in sleep architecture between groups. Given that risk for mood disorders is elevated following mTBI, in the second experiment, sleep-dependent memory consolidation of emotional images was assessed in groups that were similar to those assessed in Study 1, with the hypothesis that mTBI participants would have reduced consolidation. The mTBI group had reduced sleep-dependent memory consolidation (i.e., memory considation that occurred over a sleep period) but enhanced wake-dependent </w:t>
      </w:r>
      <w:r w:rsidRPr="00403997">
        <w:rPr>
          <w:rFonts w:ascii="Times" w:hAnsi="Times"/>
        </w:rPr>
        <w:lastRenderedPageBreak/>
        <w:t xml:space="preserve">consolidation (i.e., memory consolidation that occurred over a wake period) of emotional (but not neutral) images. The mTBI group also unexpectedly exhibited a lack of emotion habituation (i.e., emotion desensitization). The third experiment attempted to replicate the latter (unexpected) finding (i.e., reductions in habituation in the mTBI group) while also probing physiological measures of emotion (e.g., heart rate deceleration), which provide an objective measure of emotion. I theorized that reduced habituation might increase the risk for mood disturbances in this population. I was not able to replicate findings of the second experiment, and, on the contrary, found mTBI participants had enhanced emotion habituation in the three experiments, we failed to find expected cognitive and emotional processing deficits in the mTBI samples. In future work, recruiting alternative subsamples of mTBI individuals (e.g., those with Post-concussive syndrome or those with 3 or more mTBIs) could provide insight into which individuals experience negative outcomes in the chronic stages of mTBI.   </w:t>
      </w:r>
    </w:p>
    <w:p w14:paraId="3A817E2E" w14:textId="77777777" w:rsidR="00222A0B" w:rsidRDefault="00222A0B" w:rsidP="00222A0B">
      <w:pPr>
        <w:pStyle w:val="Paragraph-center"/>
        <w:jc w:val="left"/>
      </w:pPr>
    </w:p>
    <w:p w14:paraId="1E08BBE8" w14:textId="77777777" w:rsidR="0062688F" w:rsidRDefault="0062688F">
      <w:pPr>
        <w:pStyle w:val="Paragraph-center"/>
      </w:pPr>
    </w:p>
    <w:p w14:paraId="501D6795" w14:textId="77777777" w:rsidR="0062688F" w:rsidRDefault="0062688F">
      <w:pPr>
        <w:pStyle w:val="Paragraph-center"/>
        <w:rPr>
          <w:b/>
        </w:rPr>
      </w:pPr>
      <w:r>
        <w:br w:type="page"/>
      </w:r>
      <w:r>
        <w:rPr>
          <w:b/>
        </w:rPr>
        <w:lastRenderedPageBreak/>
        <w:t>TABLE OF CONTENTS</w:t>
      </w:r>
    </w:p>
    <w:p w14:paraId="131B90BB" w14:textId="77777777" w:rsidR="0062688F" w:rsidRDefault="0062688F"/>
    <w:p w14:paraId="519E137E" w14:textId="77777777" w:rsidR="00DC2D79" w:rsidRDefault="0062688F" w:rsidP="00DC2D79">
      <w:pPr>
        <w:tabs>
          <w:tab w:val="right" w:pos="8640"/>
        </w:tabs>
      </w:pPr>
      <w:r>
        <w:tab/>
        <w:t>Page</w:t>
      </w:r>
    </w:p>
    <w:p w14:paraId="0ED68225" w14:textId="385EBB90" w:rsidR="00BD69BE" w:rsidRPr="00DC2D79" w:rsidRDefault="00BD69BE" w:rsidP="00DC2D79">
      <w:pPr>
        <w:tabs>
          <w:tab w:val="right" w:pos="8640"/>
        </w:tabs>
      </w:pPr>
      <w:r>
        <w:rPr>
          <w:noProof/>
        </w:rPr>
        <w:fldChar w:fldCharType="begin"/>
      </w:r>
      <w:r>
        <w:instrText xml:space="preserve"> TOC \o "1-5" </w:instrText>
      </w:r>
      <w:r>
        <w:rPr>
          <w:noProof/>
        </w:rPr>
        <w:fldChar w:fldCharType="separate"/>
      </w:r>
    </w:p>
    <w:p w14:paraId="564B6E93" w14:textId="77777777" w:rsidR="00BD69BE" w:rsidRPr="00077CD9" w:rsidRDefault="00BD69BE" w:rsidP="00717BB2">
      <w:pPr>
        <w:pStyle w:val="TOC1"/>
      </w:pPr>
      <w:r>
        <w:t>ABSTRACT</w:t>
      </w:r>
      <w:r>
        <w:tab/>
      </w:r>
      <w:r>
        <w:fldChar w:fldCharType="begin"/>
      </w:r>
      <w:r>
        <w:instrText xml:space="preserve"> PAGEREF _Toc134518993 \h </w:instrText>
      </w:r>
      <w:r>
        <w:fldChar w:fldCharType="separate"/>
      </w:r>
      <w:r w:rsidR="004B7399">
        <w:t>vi</w:t>
      </w:r>
      <w:r>
        <w:fldChar w:fldCharType="end"/>
      </w:r>
    </w:p>
    <w:p w14:paraId="26DDF2E4" w14:textId="59B1C817" w:rsidR="00BD69BE" w:rsidRDefault="00BD69BE" w:rsidP="00717BB2">
      <w:pPr>
        <w:pStyle w:val="TOC1"/>
        <w:rPr>
          <w:rFonts w:eastAsiaTheme="minorEastAsia"/>
        </w:rPr>
      </w:pPr>
      <w:r>
        <w:t>LIST OF TABLES</w:t>
      </w:r>
      <w:r>
        <w:tab/>
      </w:r>
      <w:r w:rsidR="00FB014A">
        <w:t>x</w:t>
      </w:r>
    </w:p>
    <w:p w14:paraId="2BBBE77A" w14:textId="011852FF" w:rsidR="00BD69BE" w:rsidRDefault="00BD69BE" w:rsidP="00717BB2">
      <w:pPr>
        <w:pStyle w:val="TOC1"/>
        <w:rPr>
          <w:rFonts w:eastAsiaTheme="minorEastAsia"/>
        </w:rPr>
      </w:pPr>
      <w:r>
        <w:t>LIST OF FIGURES</w:t>
      </w:r>
      <w:r>
        <w:tab/>
      </w:r>
      <w:r w:rsidR="001A59A8">
        <w:t>xi</w:t>
      </w:r>
      <w:bookmarkStart w:id="15" w:name="_GoBack"/>
      <w:bookmarkEnd w:id="15"/>
    </w:p>
    <w:p w14:paraId="62ABF435" w14:textId="77777777" w:rsidR="007C75FA" w:rsidRDefault="007C75FA" w:rsidP="00717BB2">
      <w:pPr>
        <w:pStyle w:val="TOC1"/>
      </w:pPr>
      <w:r>
        <w:t>CHAPTER</w:t>
      </w:r>
    </w:p>
    <w:p w14:paraId="79C47AA1" w14:textId="2C2EC1B1" w:rsidR="00BD69BE" w:rsidRDefault="007C75FA" w:rsidP="00717BB2">
      <w:pPr>
        <w:pStyle w:val="TOC1"/>
        <w:rPr>
          <w:rFonts w:eastAsiaTheme="minorEastAsia"/>
        </w:rPr>
      </w:pPr>
      <w:r>
        <w:t>1.</w:t>
      </w:r>
      <w:r>
        <w:tab/>
      </w:r>
      <w:r w:rsidR="00FF4F0C">
        <w:t>INTRODUCTION</w:t>
      </w:r>
      <w:r w:rsidR="00BD69BE">
        <w:tab/>
      </w:r>
      <w:r w:rsidR="00FF4F0C">
        <w:t>1</w:t>
      </w:r>
    </w:p>
    <w:p w14:paraId="01A1697B" w14:textId="75EB9E96" w:rsidR="00BD69BE" w:rsidRDefault="00FF4F0C" w:rsidP="000E32C7">
      <w:pPr>
        <w:pStyle w:val="TOC2"/>
        <w:ind w:right="0"/>
        <w:rPr>
          <w:rFonts w:eastAsiaTheme="minorEastAsia"/>
          <w:noProof/>
        </w:rPr>
      </w:pPr>
      <w:r>
        <w:rPr>
          <w:noProof/>
        </w:rPr>
        <w:t>A.</w:t>
      </w:r>
      <w:r w:rsidR="00BD69BE">
        <w:rPr>
          <w:noProof/>
        </w:rPr>
        <w:t xml:space="preserve"> </w:t>
      </w:r>
      <w:r>
        <w:rPr>
          <w:rFonts w:ascii="Times" w:hAnsi="Times"/>
        </w:rPr>
        <w:t>Traumatic Brain Injury</w:t>
      </w:r>
      <w:r w:rsidR="00BD69BE">
        <w:rPr>
          <w:noProof/>
        </w:rPr>
        <w:tab/>
      </w:r>
      <w:r>
        <w:rPr>
          <w:noProof/>
        </w:rPr>
        <w:t>2</w:t>
      </w:r>
    </w:p>
    <w:p w14:paraId="285831E2" w14:textId="1C6153FB" w:rsidR="00BD69BE" w:rsidRDefault="00FF4F0C" w:rsidP="000E32C7">
      <w:pPr>
        <w:pStyle w:val="TOC2"/>
        <w:ind w:right="0"/>
        <w:rPr>
          <w:noProof/>
        </w:rPr>
      </w:pPr>
      <w:r>
        <w:rPr>
          <w:noProof/>
        </w:rPr>
        <w:t>B.</w:t>
      </w:r>
      <w:r w:rsidR="00BD69BE">
        <w:rPr>
          <w:noProof/>
        </w:rPr>
        <w:t xml:space="preserve"> </w:t>
      </w:r>
      <w:r>
        <w:rPr>
          <w:noProof/>
        </w:rPr>
        <w:t>Neurobiology of TBI</w:t>
      </w:r>
      <w:r w:rsidR="00BD69BE">
        <w:rPr>
          <w:noProof/>
        </w:rPr>
        <w:tab/>
      </w:r>
      <w:r>
        <w:rPr>
          <w:noProof/>
        </w:rPr>
        <w:t>4</w:t>
      </w:r>
    </w:p>
    <w:p w14:paraId="1984FF28" w14:textId="4CBFA88C" w:rsidR="00FF4F0C" w:rsidRDefault="00FF4F0C" w:rsidP="00FF4F0C">
      <w:pPr>
        <w:pStyle w:val="TOC2"/>
        <w:ind w:right="0"/>
        <w:rPr>
          <w:noProof/>
        </w:rPr>
      </w:pPr>
      <w:r>
        <w:rPr>
          <w:noProof/>
        </w:rPr>
        <w:t>C. Long-term dysfunction following TBI</w:t>
      </w:r>
      <w:r>
        <w:rPr>
          <w:noProof/>
        </w:rPr>
        <w:tab/>
        <w:t>4</w:t>
      </w:r>
    </w:p>
    <w:p w14:paraId="32F21839" w14:textId="77777777" w:rsidR="00804FC7" w:rsidRDefault="00A22407" w:rsidP="00804FC7">
      <w:pPr>
        <w:pStyle w:val="TOC2"/>
        <w:ind w:right="0"/>
        <w:rPr>
          <w:noProof/>
        </w:rPr>
      </w:pPr>
      <w:r>
        <w:rPr>
          <w:noProof/>
        </w:rPr>
        <w:t>D. Summary</w:t>
      </w:r>
      <w:r>
        <w:rPr>
          <w:noProof/>
        </w:rPr>
        <w:tab/>
        <w:t>14</w:t>
      </w:r>
    </w:p>
    <w:p w14:paraId="3FDFD750" w14:textId="77777777" w:rsidR="00804FC7" w:rsidRDefault="00804FC7" w:rsidP="00804FC7">
      <w:pPr>
        <w:pStyle w:val="TOC2"/>
        <w:ind w:right="0"/>
        <w:rPr>
          <w:noProof/>
        </w:rPr>
      </w:pPr>
    </w:p>
    <w:p w14:paraId="6F410A2B" w14:textId="23676A08" w:rsidR="00804FC7" w:rsidRDefault="00804FC7" w:rsidP="00804FC7">
      <w:pPr>
        <w:pStyle w:val="TOC2"/>
        <w:ind w:left="720" w:right="0"/>
        <w:rPr>
          <w:rFonts w:eastAsiaTheme="minorEastAsia"/>
          <w:noProof/>
        </w:rPr>
      </w:pPr>
      <w:r>
        <w:t>2.</w:t>
      </w:r>
      <w:r>
        <w:tab/>
      </w:r>
      <w:r w:rsidR="007F5F20" w:rsidRPr="00C117BD">
        <w:rPr>
          <w:rFonts w:ascii="Times" w:hAnsi="Times"/>
          <w:bCs/>
        </w:rPr>
        <w:t>ALTERED SLEEP COMPOSITION AFTER TRAUMATIC BRAIN INJURY DOES NOT AFFECT DECLARATIVE SLEEP-DEPENDENT MEMORY CONSOLIDATION</w:t>
      </w:r>
      <w:r>
        <w:tab/>
        <w:t>1</w:t>
      </w:r>
      <w:r w:rsidR="007F5F20">
        <w:t>6</w:t>
      </w:r>
    </w:p>
    <w:p w14:paraId="1B2AE4D0" w14:textId="77777777" w:rsidR="00A22407" w:rsidRPr="00A22407" w:rsidRDefault="00A22407" w:rsidP="00A22407">
      <w:pPr>
        <w:rPr>
          <w:rFonts w:eastAsiaTheme="minorEastAsia"/>
        </w:rPr>
      </w:pPr>
    </w:p>
    <w:p w14:paraId="31BE0445" w14:textId="5AEC36C6" w:rsidR="005A35FF" w:rsidRDefault="005A35FF" w:rsidP="005A35FF">
      <w:pPr>
        <w:pStyle w:val="TOC2"/>
        <w:ind w:right="0"/>
        <w:rPr>
          <w:rFonts w:eastAsiaTheme="minorEastAsia"/>
          <w:noProof/>
        </w:rPr>
      </w:pPr>
      <w:r>
        <w:rPr>
          <w:noProof/>
        </w:rPr>
        <w:t xml:space="preserve">A. </w:t>
      </w:r>
      <w:r w:rsidR="00127C8B">
        <w:rPr>
          <w:rFonts w:ascii="Times" w:hAnsi="Times"/>
        </w:rPr>
        <w:t>Introduction</w:t>
      </w:r>
      <w:r>
        <w:rPr>
          <w:noProof/>
        </w:rPr>
        <w:tab/>
      </w:r>
      <w:r w:rsidR="00046CD6">
        <w:rPr>
          <w:noProof/>
        </w:rPr>
        <w:t>16</w:t>
      </w:r>
    </w:p>
    <w:p w14:paraId="61B6971E" w14:textId="5AC32D55" w:rsidR="005A35FF" w:rsidRDefault="005A35FF" w:rsidP="005A35FF">
      <w:pPr>
        <w:pStyle w:val="TOC2"/>
        <w:ind w:right="0"/>
        <w:rPr>
          <w:noProof/>
        </w:rPr>
      </w:pPr>
      <w:r>
        <w:rPr>
          <w:noProof/>
        </w:rPr>
        <w:t xml:space="preserve">B. </w:t>
      </w:r>
      <w:r w:rsidR="00127C8B">
        <w:rPr>
          <w:noProof/>
        </w:rPr>
        <w:t>Methods</w:t>
      </w:r>
      <w:r>
        <w:rPr>
          <w:noProof/>
        </w:rPr>
        <w:tab/>
      </w:r>
      <w:r w:rsidR="00046CD6">
        <w:rPr>
          <w:noProof/>
        </w:rPr>
        <w:t>19</w:t>
      </w:r>
    </w:p>
    <w:p w14:paraId="34D041C0" w14:textId="2F8B07DE" w:rsidR="005A35FF" w:rsidRDefault="005A35FF" w:rsidP="005A35FF">
      <w:pPr>
        <w:pStyle w:val="TOC2"/>
        <w:ind w:right="0"/>
        <w:rPr>
          <w:noProof/>
        </w:rPr>
      </w:pPr>
      <w:r>
        <w:rPr>
          <w:noProof/>
        </w:rPr>
        <w:t xml:space="preserve">C. </w:t>
      </w:r>
      <w:r w:rsidR="00127C8B">
        <w:rPr>
          <w:noProof/>
        </w:rPr>
        <w:t>Results</w:t>
      </w:r>
      <w:r>
        <w:rPr>
          <w:noProof/>
        </w:rPr>
        <w:tab/>
      </w:r>
      <w:r w:rsidR="00046CD6">
        <w:rPr>
          <w:noProof/>
        </w:rPr>
        <w:t>25</w:t>
      </w:r>
    </w:p>
    <w:p w14:paraId="34773326" w14:textId="129ED791" w:rsidR="005A35FF" w:rsidRDefault="005A35FF" w:rsidP="005A35FF">
      <w:pPr>
        <w:pStyle w:val="TOC2"/>
        <w:ind w:right="0"/>
        <w:rPr>
          <w:noProof/>
        </w:rPr>
      </w:pPr>
      <w:r>
        <w:rPr>
          <w:noProof/>
        </w:rPr>
        <w:t xml:space="preserve">D. </w:t>
      </w:r>
      <w:r w:rsidR="00127C8B">
        <w:rPr>
          <w:noProof/>
        </w:rPr>
        <w:t>Discussion</w:t>
      </w:r>
      <w:r>
        <w:rPr>
          <w:noProof/>
        </w:rPr>
        <w:tab/>
      </w:r>
      <w:r w:rsidR="00046CD6">
        <w:rPr>
          <w:noProof/>
        </w:rPr>
        <w:t>28</w:t>
      </w:r>
    </w:p>
    <w:p w14:paraId="7C24595B" w14:textId="77777777" w:rsidR="00FF4F0C" w:rsidRDefault="00FF4F0C" w:rsidP="00FF4F0C">
      <w:pPr>
        <w:rPr>
          <w:rFonts w:eastAsiaTheme="minorEastAsia"/>
        </w:rPr>
      </w:pPr>
    </w:p>
    <w:p w14:paraId="2BBF5BBE" w14:textId="5ED038BC" w:rsidR="009B2EC5" w:rsidRDefault="009B2EC5" w:rsidP="009B2EC5">
      <w:pPr>
        <w:pStyle w:val="TOC2"/>
        <w:ind w:left="720" w:right="0"/>
        <w:rPr>
          <w:rFonts w:eastAsiaTheme="minorEastAsia"/>
          <w:noProof/>
        </w:rPr>
      </w:pPr>
      <w:r>
        <w:t>3.</w:t>
      </w:r>
      <w:r>
        <w:tab/>
      </w:r>
      <w:r w:rsidR="00E641A6">
        <w:rPr>
          <w:rFonts w:ascii="Times" w:hAnsi="Times"/>
          <w:bCs/>
        </w:rPr>
        <w:t>MILD TBI CHRONICALLY IMPAIRS SLEEP- AND WAKE-DEPENDENT EMOTIONAL PROCESSING</w:t>
      </w:r>
      <w:r>
        <w:tab/>
      </w:r>
      <w:r w:rsidR="00211A87">
        <w:t>37</w:t>
      </w:r>
    </w:p>
    <w:p w14:paraId="672F5187" w14:textId="77777777" w:rsidR="009B2EC5" w:rsidRPr="00A22407" w:rsidRDefault="009B2EC5" w:rsidP="009B2EC5">
      <w:pPr>
        <w:rPr>
          <w:rFonts w:eastAsiaTheme="minorEastAsia"/>
        </w:rPr>
      </w:pPr>
    </w:p>
    <w:p w14:paraId="1D578927" w14:textId="0218DD3F" w:rsidR="009B2EC5" w:rsidRDefault="009B2EC5" w:rsidP="009B2EC5">
      <w:pPr>
        <w:pStyle w:val="TOC2"/>
        <w:ind w:right="0"/>
        <w:rPr>
          <w:rFonts w:eastAsiaTheme="minorEastAsia"/>
          <w:noProof/>
        </w:rPr>
      </w:pPr>
      <w:r>
        <w:rPr>
          <w:noProof/>
        </w:rPr>
        <w:t xml:space="preserve">A. </w:t>
      </w:r>
      <w:r>
        <w:rPr>
          <w:rFonts w:ascii="Times" w:hAnsi="Times"/>
        </w:rPr>
        <w:t>Introduction</w:t>
      </w:r>
      <w:r>
        <w:rPr>
          <w:noProof/>
        </w:rPr>
        <w:tab/>
      </w:r>
      <w:r w:rsidR="00211A87">
        <w:rPr>
          <w:noProof/>
        </w:rPr>
        <w:t>37</w:t>
      </w:r>
    </w:p>
    <w:p w14:paraId="4235603B" w14:textId="39FA1914" w:rsidR="009B2EC5" w:rsidRDefault="009B2EC5" w:rsidP="009B2EC5">
      <w:pPr>
        <w:pStyle w:val="TOC2"/>
        <w:ind w:right="0"/>
        <w:rPr>
          <w:noProof/>
        </w:rPr>
      </w:pPr>
      <w:r>
        <w:rPr>
          <w:noProof/>
        </w:rPr>
        <w:t>B. Methods</w:t>
      </w:r>
      <w:r>
        <w:rPr>
          <w:noProof/>
        </w:rPr>
        <w:tab/>
      </w:r>
      <w:r w:rsidR="00DB0F00">
        <w:rPr>
          <w:noProof/>
        </w:rPr>
        <w:t>40</w:t>
      </w:r>
    </w:p>
    <w:p w14:paraId="14B980B7" w14:textId="1793F93F" w:rsidR="009B2EC5" w:rsidRDefault="009B2EC5" w:rsidP="009B2EC5">
      <w:pPr>
        <w:pStyle w:val="TOC2"/>
        <w:ind w:right="0"/>
        <w:rPr>
          <w:noProof/>
        </w:rPr>
      </w:pPr>
      <w:r>
        <w:rPr>
          <w:noProof/>
        </w:rPr>
        <w:t>C. Results</w:t>
      </w:r>
      <w:r>
        <w:rPr>
          <w:noProof/>
        </w:rPr>
        <w:tab/>
      </w:r>
      <w:r w:rsidR="00DB0F00">
        <w:rPr>
          <w:noProof/>
        </w:rPr>
        <w:t>48</w:t>
      </w:r>
    </w:p>
    <w:p w14:paraId="2B8BB8AF" w14:textId="468C7EEB" w:rsidR="009B2EC5" w:rsidRDefault="009B2EC5" w:rsidP="009B2EC5">
      <w:pPr>
        <w:pStyle w:val="TOC2"/>
        <w:ind w:right="0"/>
        <w:rPr>
          <w:noProof/>
        </w:rPr>
      </w:pPr>
      <w:r>
        <w:rPr>
          <w:noProof/>
        </w:rPr>
        <w:t>D. Discussion</w:t>
      </w:r>
      <w:r>
        <w:rPr>
          <w:noProof/>
        </w:rPr>
        <w:tab/>
      </w:r>
      <w:r w:rsidR="00DB0F00">
        <w:rPr>
          <w:noProof/>
        </w:rPr>
        <w:t>55</w:t>
      </w:r>
    </w:p>
    <w:p w14:paraId="2BF34FA9" w14:textId="77777777" w:rsidR="00657729" w:rsidRDefault="00657729" w:rsidP="00657729"/>
    <w:p w14:paraId="32DF3EEF" w14:textId="3D85ABA1" w:rsidR="00657729" w:rsidRDefault="00D60637" w:rsidP="00657729">
      <w:pPr>
        <w:pStyle w:val="TOC2"/>
        <w:ind w:left="720" w:right="0"/>
        <w:rPr>
          <w:rFonts w:eastAsiaTheme="minorEastAsia"/>
          <w:noProof/>
        </w:rPr>
      </w:pPr>
      <w:r>
        <w:t>4</w:t>
      </w:r>
      <w:r w:rsidR="00657729">
        <w:t>.</w:t>
      </w:r>
      <w:r w:rsidR="00657729">
        <w:tab/>
      </w:r>
      <w:r w:rsidRPr="00CF40F2">
        <w:rPr>
          <w:rFonts w:ascii="Times" w:hAnsi="Times"/>
          <w:bCs/>
        </w:rPr>
        <w:t>EMOTION HABITUATION IN CHRONIC MILD TRAUMATIC BRAIN INJURY</w:t>
      </w:r>
      <w:r w:rsidR="00657729">
        <w:tab/>
      </w:r>
      <w:r w:rsidR="0040219D">
        <w:t>72</w:t>
      </w:r>
    </w:p>
    <w:p w14:paraId="397E1A1C" w14:textId="77777777" w:rsidR="00657729" w:rsidRPr="00A22407" w:rsidRDefault="00657729" w:rsidP="00657729">
      <w:pPr>
        <w:rPr>
          <w:rFonts w:eastAsiaTheme="minorEastAsia"/>
        </w:rPr>
      </w:pPr>
    </w:p>
    <w:p w14:paraId="35BC825C" w14:textId="03F0DE8F" w:rsidR="00657729" w:rsidRDefault="00657729" w:rsidP="00657729">
      <w:pPr>
        <w:pStyle w:val="TOC2"/>
        <w:ind w:right="0"/>
        <w:rPr>
          <w:rFonts w:eastAsiaTheme="minorEastAsia"/>
          <w:noProof/>
        </w:rPr>
      </w:pPr>
      <w:r>
        <w:rPr>
          <w:noProof/>
        </w:rPr>
        <w:t xml:space="preserve">A. </w:t>
      </w:r>
      <w:r>
        <w:rPr>
          <w:rFonts w:ascii="Times" w:hAnsi="Times"/>
        </w:rPr>
        <w:t>Introduction</w:t>
      </w:r>
      <w:r>
        <w:rPr>
          <w:noProof/>
        </w:rPr>
        <w:tab/>
      </w:r>
      <w:r w:rsidR="0040219D">
        <w:rPr>
          <w:noProof/>
        </w:rPr>
        <w:t>72</w:t>
      </w:r>
    </w:p>
    <w:p w14:paraId="1BE1C343" w14:textId="13B885EE" w:rsidR="00657729" w:rsidRDefault="00657729" w:rsidP="00657729">
      <w:pPr>
        <w:pStyle w:val="TOC2"/>
        <w:ind w:right="0"/>
        <w:rPr>
          <w:noProof/>
        </w:rPr>
      </w:pPr>
      <w:r>
        <w:rPr>
          <w:noProof/>
        </w:rPr>
        <w:t>B. Methods</w:t>
      </w:r>
      <w:r>
        <w:rPr>
          <w:noProof/>
        </w:rPr>
        <w:tab/>
      </w:r>
      <w:r w:rsidR="0040219D">
        <w:rPr>
          <w:noProof/>
        </w:rPr>
        <w:t>83</w:t>
      </w:r>
    </w:p>
    <w:p w14:paraId="3F0CB1E3" w14:textId="1C73A9E9" w:rsidR="00657729" w:rsidRDefault="00657729" w:rsidP="00657729">
      <w:pPr>
        <w:pStyle w:val="TOC2"/>
        <w:ind w:right="0"/>
        <w:rPr>
          <w:noProof/>
        </w:rPr>
      </w:pPr>
      <w:r>
        <w:rPr>
          <w:noProof/>
        </w:rPr>
        <w:t>C. Results</w:t>
      </w:r>
      <w:r>
        <w:rPr>
          <w:noProof/>
        </w:rPr>
        <w:tab/>
      </w:r>
      <w:r w:rsidR="0040219D">
        <w:rPr>
          <w:noProof/>
        </w:rPr>
        <w:t>94</w:t>
      </w:r>
    </w:p>
    <w:p w14:paraId="6511356B" w14:textId="61C4E722" w:rsidR="00657729" w:rsidRDefault="00657729" w:rsidP="00657729">
      <w:pPr>
        <w:pStyle w:val="TOC2"/>
        <w:ind w:right="0"/>
        <w:rPr>
          <w:noProof/>
        </w:rPr>
      </w:pPr>
      <w:r>
        <w:rPr>
          <w:noProof/>
        </w:rPr>
        <w:t>D. Discussion</w:t>
      </w:r>
      <w:r>
        <w:rPr>
          <w:noProof/>
        </w:rPr>
        <w:tab/>
      </w:r>
      <w:r w:rsidR="0040219D">
        <w:rPr>
          <w:noProof/>
        </w:rPr>
        <w:t>108</w:t>
      </w:r>
    </w:p>
    <w:p w14:paraId="3043C4BC" w14:textId="77777777" w:rsidR="00657729" w:rsidRDefault="00657729" w:rsidP="00657729"/>
    <w:p w14:paraId="78F9DA41" w14:textId="4D7F330C" w:rsidR="00A435F0" w:rsidRDefault="00A435F0" w:rsidP="00A435F0">
      <w:pPr>
        <w:pStyle w:val="TOC2"/>
        <w:ind w:left="720" w:right="0"/>
        <w:rPr>
          <w:rFonts w:eastAsiaTheme="minorEastAsia"/>
          <w:noProof/>
        </w:rPr>
      </w:pPr>
      <w:r>
        <w:t>5.</w:t>
      </w:r>
      <w:r>
        <w:tab/>
      </w:r>
      <w:r w:rsidR="00570A1C">
        <w:rPr>
          <w:rFonts w:ascii="Times" w:hAnsi="Times"/>
          <w:bCs/>
        </w:rPr>
        <w:t>GENERAL DISCUSSION</w:t>
      </w:r>
      <w:r>
        <w:tab/>
      </w:r>
      <w:r w:rsidR="006B32DE">
        <w:t>147</w:t>
      </w:r>
    </w:p>
    <w:p w14:paraId="2436DE22" w14:textId="77777777" w:rsidR="00A435F0" w:rsidRPr="00A22407" w:rsidRDefault="00A435F0" w:rsidP="00A435F0">
      <w:pPr>
        <w:rPr>
          <w:rFonts w:eastAsiaTheme="minorEastAsia"/>
        </w:rPr>
      </w:pPr>
    </w:p>
    <w:p w14:paraId="67F49531" w14:textId="69ADB96A" w:rsidR="00A435F0" w:rsidRDefault="00A435F0" w:rsidP="00A435F0">
      <w:pPr>
        <w:pStyle w:val="TOC2"/>
        <w:ind w:right="0"/>
        <w:rPr>
          <w:rFonts w:eastAsiaTheme="minorEastAsia"/>
          <w:noProof/>
        </w:rPr>
      </w:pPr>
      <w:r>
        <w:rPr>
          <w:noProof/>
        </w:rPr>
        <w:lastRenderedPageBreak/>
        <w:t xml:space="preserve">A. </w:t>
      </w:r>
      <w:r w:rsidR="00570A1C">
        <w:rPr>
          <w:rFonts w:ascii="Times" w:hAnsi="Times"/>
        </w:rPr>
        <w:t>Chronic mTBI</w:t>
      </w:r>
      <w:r>
        <w:rPr>
          <w:noProof/>
        </w:rPr>
        <w:tab/>
      </w:r>
      <w:r w:rsidR="006B32DE">
        <w:rPr>
          <w:noProof/>
        </w:rPr>
        <w:t>147</w:t>
      </w:r>
    </w:p>
    <w:p w14:paraId="2D0C66A6" w14:textId="7D283593" w:rsidR="00A435F0" w:rsidRDefault="00A435F0" w:rsidP="00A435F0">
      <w:pPr>
        <w:pStyle w:val="TOC2"/>
        <w:ind w:right="0"/>
        <w:rPr>
          <w:noProof/>
        </w:rPr>
      </w:pPr>
      <w:r>
        <w:rPr>
          <w:noProof/>
        </w:rPr>
        <w:t xml:space="preserve">B. </w:t>
      </w:r>
      <w:r w:rsidR="00570A1C">
        <w:rPr>
          <w:noProof/>
        </w:rPr>
        <w:t>The current work</w:t>
      </w:r>
      <w:r>
        <w:rPr>
          <w:noProof/>
        </w:rPr>
        <w:tab/>
      </w:r>
      <w:r w:rsidR="006B32DE">
        <w:rPr>
          <w:noProof/>
        </w:rPr>
        <w:t>148</w:t>
      </w:r>
    </w:p>
    <w:p w14:paraId="4FCAACB8" w14:textId="27F09B9D" w:rsidR="00A435F0" w:rsidRDefault="00A435F0" w:rsidP="00A435F0">
      <w:pPr>
        <w:pStyle w:val="TOC2"/>
        <w:ind w:right="0"/>
        <w:rPr>
          <w:noProof/>
        </w:rPr>
      </w:pPr>
      <w:r>
        <w:rPr>
          <w:noProof/>
        </w:rPr>
        <w:t xml:space="preserve">C. </w:t>
      </w:r>
      <w:r w:rsidR="00570A1C">
        <w:rPr>
          <w:noProof/>
        </w:rPr>
        <w:t>Miserable Minority</w:t>
      </w:r>
      <w:r>
        <w:rPr>
          <w:noProof/>
        </w:rPr>
        <w:tab/>
      </w:r>
      <w:r w:rsidR="006B32DE">
        <w:rPr>
          <w:noProof/>
        </w:rPr>
        <w:t>150</w:t>
      </w:r>
    </w:p>
    <w:p w14:paraId="2D50F473" w14:textId="4C11D05E" w:rsidR="00A435F0" w:rsidRDefault="00A435F0" w:rsidP="00A435F0">
      <w:pPr>
        <w:pStyle w:val="TOC2"/>
        <w:ind w:right="0"/>
        <w:rPr>
          <w:noProof/>
        </w:rPr>
      </w:pPr>
      <w:r>
        <w:rPr>
          <w:noProof/>
        </w:rPr>
        <w:t xml:space="preserve">D. </w:t>
      </w:r>
      <w:r w:rsidR="00570A1C">
        <w:rPr>
          <w:noProof/>
        </w:rPr>
        <w:t>Similarities and differences between studies</w:t>
      </w:r>
      <w:r>
        <w:rPr>
          <w:noProof/>
        </w:rPr>
        <w:tab/>
      </w:r>
      <w:r w:rsidR="008D62F7">
        <w:rPr>
          <w:noProof/>
        </w:rPr>
        <w:t>151</w:t>
      </w:r>
    </w:p>
    <w:p w14:paraId="21964B37" w14:textId="054C6FB7" w:rsidR="009F59C9" w:rsidRDefault="009F59C9" w:rsidP="009F59C9">
      <w:pPr>
        <w:pStyle w:val="TOC2"/>
        <w:ind w:right="0"/>
        <w:rPr>
          <w:noProof/>
        </w:rPr>
      </w:pPr>
      <w:r>
        <w:rPr>
          <w:noProof/>
        </w:rPr>
        <w:t>E. Pluses and minuses</w:t>
      </w:r>
      <w:r>
        <w:rPr>
          <w:noProof/>
        </w:rPr>
        <w:tab/>
      </w:r>
      <w:r w:rsidR="008D62F7">
        <w:rPr>
          <w:noProof/>
        </w:rPr>
        <w:t>152</w:t>
      </w:r>
    </w:p>
    <w:p w14:paraId="2D262753" w14:textId="4F061AA7" w:rsidR="009B2EC5" w:rsidRPr="00104B8D" w:rsidRDefault="009F59C9" w:rsidP="00104B8D">
      <w:pPr>
        <w:pStyle w:val="TOC2"/>
        <w:ind w:right="0"/>
        <w:rPr>
          <w:noProof/>
        </w:rPr>
      </w:pPr>
      <w:r>
        <w:rPr>
          <w:noProof/>
        </w:rPr>
        <w:t xml:space="preserve">F. </w:t>
      </w:r>
      <w:r w:rsidR="00E35B0A">
        <w:rPr>
          <w:noProof/>
        </w:rPr>
        <w:t>Contributions/importance of this work</w:t>
      </w:r>
      <w:r>
        <w:rPr>
          <w:noProof/>
        </w:rPr>
        <w:tab/>
      </w:r>
      <w:r w:rsidR="008D62F7">
        <w:rPr>
          <w:noProof/>
        </w:rPr>
        <w:t>155</w:t>
      </w:r>
    </w:p>
    <w:p w14:paraId="5A7E664B" w14:textId="77777777" w:rsidR="007C75FA" w:rsidRDefault="007C75FA">
      <w:pPr>
        <w:pStyle w:val="TOC3"/>
        <w:rPr>
          <w:noProof/>
        </w:rPr>
      </w:pPr>
    </w:p>
    <w:p w14:paraId="7926A7AC" w14:textId="2B574BDD" w:rsidR="00BD69BE" w:rsidRDefault="00BD69BE" w:rsidP="00717BB2">
      <w:pPr>
        <w:pStyle w:val="TOC1"/>
        <w:rPr>
          <w:rFonts w:eastAsiaTheme="minorEastAsia"/>
        </w:rPr>
      </w:pPr>
      <w:r>
        <w:t>BIBLIOGRAPHY</w:t>
      </w:r>
      <w:r>
        <w:tab/>
      </w:r>
      <w:r w:rsidR="00104B8D">
        <w:t>161</w:t>
      </w:r>
    </w:p>
    <w:p w14:paraId="5AFB5B48" w14:textId="77777777" w:rsidR="0062688F" w:rsidRDefault="00BD69BE">
      <w:pPr>
        <w:tabs>
          <w:tab w:val="left" w:pos="720"/>
          <w:tab w:val="left" w:pos="1440"/>
          <w:tab w:val="right" w:leader="dot" w:pos="8496"/>
        </w:tabs>
      </w:pPr>
      <w:r>
        <w:fldChar w:fldCharType="end"/>
      </w:r>
    </w:p>
    <w:p w14:paraId="77E9C546" w14:textId="77777777" w:rsidR="0062688F" w:rsidRDefault="0062688F" w:rsidP="00465C3C">
      <w:pPr>
        <w:pStyle w:val="Heading1"/>
      </w:pPr>
      <w:r>
        <w:br w:type="page"/>
      </w:r>
      <w:bookmarkStart w:id="16" w:name="_Toc311875601"/>
      <w:bookmarkStart w:id="17" w:name="_Toc315941720"/>
      <w:bookmarkStart w:id="18" w:name="_Toc318691095"/>
      <w:bookmarkStart w:id="19" w:name="_Toc318691265"/>
      <w:bookmarkStart w:id="20" w:name="_Toc318701136"/>
      <w:bookmarkStart w:id="21" w:name="_Toc318711831"/>
      <w:bookmarkStart w:id="22" w:name="_Toc318770800"/>
      <w:bookmarkStart w:id="23" w:name="_Toc318772652"/>
      <w:bookmarkStart w:id="24" w:name="_Toc318795621"/>
      <w:bookmarkStart w:id="25" w:name="_Toc319229667"/>
      <w:bookmarkStart w:id="26" w:name="_Toc319230124"/>
      <w:bookmarkStart w:id="27" w:name="_Toc319318459"/>
      <w:bookmarkStart w:id="28" w:name="_Toc338133102"/>
      <w:bookmarkStart w:id="29" w:name="_Toc347371754"/>
      <w:bookmarkStart w:id="30" w:name="_Toc134518994"/>
      <w:r>
        <w:lastRenderedPageBreak/>
        <w:t>LIST OF TABLES</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5E4212C0" w14:textId="77777777" w:rsidR="0062688F" w:rsidRDefault="0062688F" w:rsidP="00FD3613">
      <w:pPr>
        <w:tabs>
          <w:tab w:val="right" w:pos="8640"/>
        </w:tabs>
      </w:pPr>
      <w:r>
        <w:t>Table</w:t>
      </w:r>
      <w:r>
        <w:tab/>
        <w:t>Page</w:t>
      </w:r>
    </w:p>
    <w:p w14:paraId="25399728" w14:textId="77777777" w:rsidR="00291F10" w:rsidRDefault="00291F10" w:rsidP="00FD3613">
      <w:pPr>
        <w:tabs>
          <w:tab w:val="right" w:pos="8640"/>
        </w:tabs>
      </w:pPr>
    </w:p>
    <w:p w14:paraId="2D68A9B5" w14:textId="2642E3A5" w:rsidR="00291F10" w:rsidRDefault="00291F10" w:rsidP="00FD3613">
      <w:pPr>
        <w:tabs>
          <w:tab w:val="right" w:pos="8640"/>
        </w:tabs>
      </w:pPr>
      <w:r>
        <w:t>CHAPTER 3</w:t>
      </w:r>
    </w:p>
    <w:p w14:paraId="27D64790" w14:textId="77777777" w:rsidR="0062688F" w:rsidRDefault="0062688F"/>
    <w:p w14:paraId="00C704FB" w14:textId="1D4506E6" w:rsidR="00291F10" w:rsidRDefault="00291F10" w:rsidP="00291F10">
      <w:pPr>
        <w:pStyle w:val="TOC1"/>
        <w:spacing w:line="240" w:lineRule="auto"/>
      </w:pPr>
      <w:r>
        <w:t>1.</w:t>
      </w:r>
      <w:r>
        <w:tab/>
      </w:r>
      <w:r>
        <w:t xml:space="preserve"> </w:t>
      </w:r>
      <w:r w:rsidR="00BF38E4">
        <w:t>Participant d</w:t>
      </w:r>
      <w:r>
        <w:t>emographics</w:t>
      </w:r>
      <w:r>
        <w:tab/>
      </w:r>
      <w:r>
        <w:t>65</w:t>
      </w:r>
    </w:p>
    <w:p w14:paraId="5EE76F9D" w14:textId="6988132B" w:rsidR="00291F10" w:rsidRPr="00291F10" w:rsidRDefault="00291F10" w:rsidP="00291F10">
      <w:pPr>
        <w:pStyle w:val="TOC1"/>
        <w:spacing w:line="240" w:lineRule="auto"/>
      </w:pPr>
      <w:r>
        <w:t>2</w:t>
      </w:r>
      <w:r>
        <w:t>.</w:t>
      </w:r>
      <w:r>
        <w:tab/>
        <w:t xml:space="preserve"> </w:t>
      </w:r>
      <w:r w:rsidR="00BF38E4">
        <w:t>Concussion p</w:t>
      </w:r>
      <w:r>
        <w:t>arameters</w:t>
      </w:r>
      <w:r>
        <w:tab/>
      </w:r>
      <w:r>
        <w:t>66</w:t>
      </w:r>
    </w:p>
    <w:p w14:paraId="6FB1B080" w14:textId="4D9F24D9" w:rsidR="00291F10" w:rsidRPr="00291F10" w:rsidRDefault="00291F10" w:rsidP="00291F10">
      <w:pPr>
        <w:pStyle w:val="TOC1"/>
        <w:spacing w:line="240" w:lineRule="auto"/>
      </w:pPr>
      <w:r>
        <w:t>3</w:t>
      </w:r>
      <w:r>
        <w:t>.</w:t>
      </w:r>
      <w:r>
        <w:tab/>
        <w:t xml:space="preserve"> </w:t>
      </w:r>
      <w:r w:rsidR="00BF38E4">
        <w:t>Sleep c</w:t>
      </w:r>
      <w:r>
        <w:t>haracteristics</w:t>
      </w:r>
      <w:r>
        <w:tab/>
      </w:r>
      <w:r>
        <w:t>67</w:t>
      </w:r>
    </w:p>
    <w:p w14:paraId="0ECD0FDF" w14:textId="039E30D5" w:rsidR="00291F10" w:rsidRDefault="00291F10" w:rsidP="00291F10">
      <w:pPr>
        <w:pStyle w:val="TOC1"/>
        <w:spacing w:line="240" w:lineRule="auto"/>
      </w:pPr>
      <w:r>
        <w:t>4</w:t>
      </w:r>
      <w:r>
        <w:t>.</w:t>
      </w:r>
      <w:r>
        <w:tab/>
        <w:t xml:space="preserve"> </w:t>
      </w:r>
      <w:r w:rsidR="00BF38E4">
        <w:t>Valence r</w:t>
      </w:r>
      <w:r>
        <w:t>atings</w:t>
      </w:r>
      <w:r>
        <w:tab/>
      </w:r>
      <w:r>
        <w:t>68</w:t>
      </w:r>
    </w:p>
    <w:p w14:paraId="4A350EC2" w14:textId="77777777" w:rsidR="00291F10" w:rsidRDefault="00291F10" w:rsidP="00291F10"/>
    <w:p w14:paraId="26B6B45E" w14:textId="2C7BF8B2" w:rsidR="00291F10" w:rsidRDefault="00291F10" w:rsidP="00291F10">
      <w:pPr>
        <w:tabs>
          <w:tab w:val="right" w:pos="8640"/>
        </w:tabs>
      </w:pPr>
      <w:r>
        <w:t>CHAPTER 4</w:t>
      </w:r>
    </w:p>
    <w:p w14:paraId="4A3245AD" w14:textId="77777777" w:rsidR="00291F10" w:rsidRPr="00291F10" w:rsidRDefault="00291F10" w:rsidP="00291F10"/>
    <w:p w14:paraId="6CBB39BC" w14:textId="149D979B" w:rsidR="00291F10" w:rsidRDefault="00291F10" w:rsidP="00291F10">
      <w:pPr>
        <w:pStyle w:val="TOC1"/>
        <w:spacing w:line="240" w:lineRule="auto"/>
      </w:pPr>
      <w:r>
        <w:t>1.</w:t>
      </w:r>
      <w:r>
        <w:tab/>
        <w:t xml:space="preserve"> </w:t>
      </w:r>
      <w:r w:rsidR="00BF38E4" w:rsidRPr="00293065">
        <w:rPr>
          <w:rFonts w:ascii="Times" w:hAnsi="Times"/>
        </w:rPr>
        <w:t>Circadian testing distribution</w:t>
      </w:r>
      <w:r>
        <w:tab/>
        <w:t>1</w:t>
      </w:r>
      <w:r w:rsidR="003F4A32">
        <w:t>29</w:t>
      </w:r>
    </w:p>
    <w:p w14:paraId="65A2D3DC" w14:textId="7CCDC256" w:rsidR="00291F10" w:rsidRPr="00291F10" w:rsidRDefault="003B6C05" w:rsidP="00291F10">
      <w:pPr>
        <w:pStyle w:val="TOC1"/>
        <w:spacing w:line="240" w:lineRule="auto"/>
      </w:pPr>
      <w:r>
        <w:t>2</w:t>
      </w:r>
      <w:r w:rsidR="00291F10">
        <w:t>.</w:t>
      </w:r>
      <w:r w:rsidR="00291F10">
        <w:tab/>
        <w:t xml:space="preserve"> </w:t>
      </w:r>
      <w:r w:rsidR="00E73310" w:rsidRPr="00293065">
        <w:rPr>
          <w:rFonts w:ascii="Times" w:hAnsi="Times"/>
        </w:rPr>
        <w:t>Demographics table</w:t>
      </w:r>
      <w:r w:rsidR="00291F10">
        <w:tab/>
        <w:t>1</w:t>
      </w:r>
      <w:r w:rsidR="003F4A32">
        <w:t>30</w:t>
      </w:r>
    </w:p>
    <w:p w14:paraId="32A694C9" w14:textId="7CA563CF" w:rsidR="00291F10" w:rsidRPr="00291F10" w:rsidRDefault="003B6C05" w:rsidP="00291F10">
      <w:pPr>
        <w:pStyle w:val="TOC1"/>
        <w:spacing w:line="240" w:lineRule="auto"/>
      </w:pPr>
      <w:r>
        <w:t>3</w:t>
      </w:r>
      <w:r w:rsidR="00291F10">
        <w:t>.</w:t>
      </w:r>
      <w:r w:rsidR="00291F10">
        <w:tab/>
        <w:t xml:space="preserve"> </w:t>
      </w:r>
      <w:r w:rsidR="00E73310" w:rsidRPr="00293065">
        <w:rPr>
          <w:rFonts w:ascii="Times" w:hAnsi="Times"/>
        </w:rPr>
        <w:t>Correlations between psychological and cognitive tests</w:t>
      </w:r>
      <w:r w:rsidR="00291F10">
        <w:tab/>
        <w:t>1</w:t>
      </w:r>
      <w:r w:rsidR="003F4A32">
        <w:t>31</w:t>
      </w:r>
    </w:p>
    <w:p w14:paraId="3BA6B225" w14:textId="6FF30517" w:rsidR="00291F10" w:rsidRPr="00291F10" w:rsidRDefault="003B6C05" w:rsidP="00291F10">
      <w:pPr>
        <w:pStyle w:val="TOC1"/>
        <w:spacing w:line="240" w:lineRule="auto"/>
      </w:pPr>
      <w:r>
        <w:t>4</w:t>
      </w:r>
      <w:r w:rsidR="00291F10">
        <w:t>.</w:t>
      </w:r>
      <w:r w:rsidR="00291F10">
        <w:tab/>
        <w:t xml:space="preserve"> </w:t>
      </w:r>
      <w:r w:rsidR="00E73310" w:rsidRPr="00293065">
        <w:rPr>
          <w:rFonts w:ascii="Times" w:hAnsi="Times"/>
        </w:rPr>
        <w:t>Physical complaints of mTBI participants reported on the Rivermead scale</w:t>
      </w:r>
      <w:r w:rsidR="00291F10">
        <w:tab/>
        <w:t>1</w:t>
      </w:r>
      <w:r w:rsidR="003F4A32">
        <w:t>32</w:t>
      </w:r>
    </w:p>
    <w:p w14:paraId="386E9094" w14:textId="59173E29" w:rsidR="003B6C05" w:rsidRDefault="003B6C05" w:rsidP="003B6C05">
      <w:pPr>
        <w:pStyle w:val="TOC1"/>
        <w:spacing w:line="240" w:lineRule="auto"/>
      </w:pPr>
      <w:r>
        <w:t>5</w:t>
      </w:r>
      <w:r>
        <w:t>.</w:t>
      </w:r>
      <w:r>
        <w:tab/>
        <w:t xml:space="preserve"> </w:t>
      </w:r>
      <w:r w:rsidR="00E73310" w:rsidRPr="00293065">
        <w:rPr>
          <w:rFonts w:ascii="Times" w:hAnsi="Times"/>
        </w:rPr>
        <w:t>Correlations between mTBI characteristics and behavioral ratings</w:t>
      </w:r>
      <w:r>
        <w:tab/>
        <w:t>1</w:t>
      </w:r>
      <w:r w:rsidR="003F4A32">
        <w:t>33</w:t>
      </w:r>
    </w:p>
    <w:p w14:paraId="04AD4986" w14:textId="6BB8A001" w:rsidR="003B6C05" w:rsidRPr="00291F10" w:rsidRDefault="003B6C05" w:rsidP="003B6C05">
      <w:pPr>
        <w:pStyle w:val="TOC1"/>
        <w:spacing w:line="240" w:lineRule="auto"/>
      </w:pPr>
      <w:r>
        <w:t>6</w:t>
      </w:r>
      <w:r>
        <w:t>.</w:t>
      </w:r>
      <w:r>
        <w:tab/>
        <w:t xml:space="preserve"> </w:t>
      </w:r>
      <w:r w:rsidR="00E73310" w:rsidRPr="00293065">
        <w:rPr>
          <w:rFonts w:ascii="Times" w:hAnsi="Times"/>
        </w:rPr>
        <w:t>Correlations between mTBI characteristics and physiological measures</w:t>
      </w:r>
      <w:r>
        <w:tab/>
        <w:t>1</w:t>
      </w:r>
      <w:r w:rsidR="003F4A32">
        <w:t>34</w:t>
      </w:r>
    </w:p>
    <w:p w14:paraId="06EA564D" w14:textId="24DF42E5" w:rsidR="003B6C05" w:rsidRPr="00291F10" w:rsidRDefault="003B6C05" w:rsidP="003B6C05">
      <w:pPr>
        <w:pStyle w:val="TOC1"/>
        <w:spacing w:line="240" w:lineRule="auto"/>
      </w:pPr>
      <w:r>
        <w:t>7</w:t>
      </w:r>
      <w:r>
        <w:t>.</w:t>
      </w:r>
      <w:r>
        <w:tab/>
        <w:t xml:space="preserve"> </w:t>
      </w:r>
      <w:r w:rsidR="008B3A94" w:rsidRPr="00293065">
        <w:rPr>
          <w:rFonts w:ascii="Times" w:hAnsi="Times"/>
        </w:rPr>
        <w:t>Regression results for main effects predicting depressive symptoms</w:t>
      </w:r>
      <w:r>
        <w:tab/>
        <w:t>1</w:t>
      </w:r>
      <w:r w:rsidR="003F4A32">
        <w:t>35</w:t>
      </w:r>
    </w:p>
    <w:p w14:paraId="66FD796C" w14:textId="241620D6" w:rsidR="003B6C05" w:rsidRPr="00291F10" w:rsidRDefault="003B6C05" w:rsidP="003B6C05">
      <w:pPr>
        <w:pStyle w:val="TOC1"/>
        <w:spacing w:line="240" w:lineRule="auto"/>
      </w:pPr>
      <w:r>
        <w:t>8</w:t>
      </w:r>
      <w:r>
        <w:t>.</w:t>
      </w:r>
      <w:r>
        <w:tab/>
        <w:t xml:space="preserve"> </w:t>
      </w:r>
      <w:r w:rsidR="008B3A94" w:rsidRPr="00293065">
        <w:rPr>
          <w:rFonts w:ascii="Times" w:hAnsi="Times"/>
        </w:rPr>
        <w:t>Regression results for main effects predicting anxiety symptoms</w:t>
      </w:r>
      <w:r>
        <w:tab/>
        <w:t>1</w:t>
      </w:r>
      <w:r w:rsidR="003F4A32">
        <w:t>36</w:t>
      </w:r>
    </w:p>
    <w:p w14:paraId="25281FF1" w14:textId="7FF67CD1" w:rsidR="003B6C05" w:rsidRDefault="003B6C05" w:rsidP="003B6C05">
      <w:pPr>
        <w:pStyle w:val="TOC1"/>
        <w:spacing w:line="240" w:lineRule="auto"/>
      </w:pPr>
      <w:r>
        <w:t>9</w:t>
      </w:r>
      <w:r>
        <w:t>.</w:t>
      </w:r>
      <w:r>
        <w:tab/>
        <w:t xml:space="preserve"> </w:t>
      </w:r>
      <w:r w:rsidR="008B3A94" w:rsidRPr="00293065">
        <w:rPr>
          <w:rFonts w:ascii="Times" w:hAnsi="Times"/>
        </w:rPr>
        <w:t>Regression results for main effects predicting the combined outcome measure</w:t>
      </w:r>
      <w:r>
        <w:tab/>
        <w:t>1</w:t>
      </w:r>
      <w:r w:rsidR="003F4A32">
        <w:t>37</w:t>
      </w:r>
    </w:p>
    <w:p w14:paraId="0F5E361F" w14:textId="2E1F5E48" w:rsidR="003B6C05" w:rsidRPr="00291F10" w:rsidRDefault="003B6C05" w:rsidP="003B6C05">
      <w:pPr>
        <w:pStyle w:val="TOC1"/>
        <w:spacing w:line="240" w:lineRule="auto"/>
      </w:pPr>
      <w:r>
        <w:t>1</w:t>
      </w:r>
      <w:r>
        <w:t>0</w:t>
      </w:r>
      <w:r>
        <w:t>.</w:t>
      </w:r>
      <w:r>
        <w:tab/>
        <w:t xml:space="preserve"> </w:t>
      </w:r>
      <w:r w:rsidR="008D7A00" w:rsidRPr="00293065">
        <w:rPr>
          <w:rFonts w:ascii="Times" w:hAnsi="Times"/>
        </w:rPr>
        <w:t>Regression results for interactions predicting depressive symptoms</w:t>
      </w:r>
      <w:r>
        <w:tab/>
        <w:t>1</w:t>
      </w:r>
      <w:r w:rsidR="003F4A32">
        <w:t>38</w:t>
      </w:r>
    </w:p>
    <w:p w14:paraId="2C4F0760" w14:textId="0470A97B" w:rsidR="003B6C05" w:rsidRPr="00291F10" w:rsidRDefault="003B6C05" w:rsidP="003B6C05">
      <w:pPr>
        <w:pStyle w:val="TOC1"/>
        <w:spacing w:line="240" w:lineRule="auto"/>
      </w:pPr>
      <w:r>
        <w:t>1</w:t>
      </w:r>
      <w:r>
        <w:t>1</w:t>
      </w:r>
      <w:r>
        <w:t>.</w:t>
      </w:r>
      <w:r>
        <w:tab/>
        <w:t xml:space="preserve"> </w:t>
      </w:r>
      <w:r w:rsidR="008D7A00" w:rsidRPr="00293065">
        <w:rPr>
          <w:rFonts w:ascii="Times" w:hAnsi="Times"/>
        </w:rPr>
        <w:t>Regression results for interactions predicting anxiety symptoms</w:t>
      </w:r>
      <w:r>
        <w:tab/>
        <w:t>1</w:t>
      </w:r>
      <w:r w:rsidR="003F4A32">
        <w:t>39</w:t>
      </w:r>
    </w:p>
    <w:p w14:paraId="6EDAA59E" w14:textId="7122856F" w:rsidR="003B6C05" w:rsidRPr="00291F10" w:rsidRDefault="003B6C05" w:rsidP="003B6C05">
      <w:pPr>
        <w:pStyle w:val="TOC1"/>
        <w:spacing w:line="240" w:lineRule="auto"/>
      </w:pPr>
      <w:r>
        <w:t>1</w:t>
      </w:r>
      <w:r>
        <w:t>2</w:t>
      </w:r>
      <w:r>
        <w:t>.</w:t>
      </w:r>
      <w:r>
        <w:tab/>
        <w:t xml:space="preserve"> </w:t>
      </w:r>
      <w:r w:rsidR="008D7A00" w:rsidRPr="00293065">
        <w:rPr>
          <w:rFonts w:ascii="Times" w:hAnsi="Times"/>
        </w:rPr>
        <w:t>Regression results for interactions predicting anxiety symptoms</w:t>
      </w:r>
      <w:r>
        <w:tab/>
        <w:t>1</w:t>
      </w:r>
      <w:r w:rsidR="003F4A32">
        <w:t>40</w:t>
      </w:r>
    </w:p>
    <w:p w14:paraId="5510A3FF" w14:textId="5465E48A" w:rsidR="003B6C05" w:rsidRDefault="003B6C05" w:rsidP="003B6C05">
      <w:pPr>
        <w:pStyle w:val="TOC1"/>
        <w:spacing w:line="240" w:lineRule="auto"/>
      </w:pPr>
      <w:r>
        <w:t>1</w:t>
      </w:r>
      <w:r>
        <w:t>3</w:t>
      </w:r>
      <w:r>
        <w:t>.</w:t>
      </w:r>
      <w:r>
        <w:tab/>
        <w:t xml:space="preserve"> </w:t>
      </w:r>
      <w:r w:rsidR="008D7A00" w:rsidRPr="00293065">
        <w:rPr>
          <w:rFonts w:ascii="Times" w:hAnsi="Times"/>
        </w:rPr>
        <w:t>Comparing the Miserable Minority with the non-TBI group</w:t>
      </w:r>
      <w:r>
        <w:tab/>
        <w:t>1</w:t>
      </w:r>
      <w:r w:rsidR="003F4A32">
        <w:t>41</w:t>
      </w:r>
    </w:p>
    <w:p w14:paraId="22713D45" w14:textId="77777777" w:rsidR="00914D76" w:rsidRDefault="00914D76" w:rsidP="00914D76"/>
    <w:p w14:paraId="0B5A8EB5" w14:textId="62C05889" w:rsidR="00914D76" w:rsidRDefault="00440722" w:rsidP="00914D76">
      <w:pPr>
        <w:tabs>
          <w:tab w:val="right" w:pos="8640"/>
        </w:tabs>
      </w:pPr>
      <w:r>
        <w:t>CHAPTER 5</w:t>
      </w:r>
    </w:p>
    <w:p w14:paraId="2C216D47" w14:textId="77777777" w:rsidR="00914D76" w:rsidRPr="00291F10" w:rsidRDefault="00914D76" w:rsidP="00914D76"/>
    <w:p w14:paraId="196A0720" w14:textId="65BD9C65" w:rsidR="00914D76" w:rsidRDefault="00914D76" w:rsidP="00914D76">
      <w:pPr>
        <w:pStyle w:val="TOC1"/>
        <w:spacing w:line="240" w:lineRule="auto"/>
      </w:pPr>
      <w:r>
        <w:t>1.</w:t>
      </w:r>
      <w:r>
        <w:tab/>
        <w:t xml:space="preserve"> </w:t>
      </w:r>
      <w:r w:rsidR="0087144B" w:rsidRPr="00293065">
        <w:rPr>
          <w:rFonts w:ascii="Times" w:hAnsi="Times"/>
        </w:rPr>
        <w:t>Quantitative comparison of Studies 1-3</w:t>
      </w:r>
      <w:r>
        <w:tab/>
        <w:t>1</w:t>
      </w:r>
      <w:r w:rsidR="0087144B">
        <w:t>58</w:t>
      </w:r>
    </w:p>
    <w:p w14:paraId="13A0114C" w14:textId="60403E3D" w:rsidR="00914D76" w:rsidRPr="00291F10" w:rsidRDefault="00914D76" w:rsidP="00914D76">
      <w:pPr>
        <w:pStyle w:val="TOC1"/>
        <w:spacing w:line="240" w:lineRule="auto"/>
      </w:pPr>
      <w:r>
        <w:t>2.</w:t>
      </w:r>
      <w:r>
        <w:tab/>
        <w:t xml:space="preserve"> </w:t>
      </w:r>
      <w:r w:rsidR="0087144B" w:rsidRPr="00293065">
        <w:rPr>
          <w:rFonts w:ascii="Times" w:hAnsi="Times"/>
        </w:rPr>
        <w:t>Qualitative comparison of Studies 1-3</w:t>
      </w:r>
      <w:r>
        <w:tab/>
        <w:t>1</w:t>
      </w:r>
      <w:r w:rsidR="0087144B">
        <w:t>59</w:t>
      </w:r>
    </w:p>
    <w:p w14:paraId="6D4857BB" w14:textId="77777777" w:rsidR="00914D76" w:rsidRPr="00914D76" w:rsidRDefault="00914D76" w:rsidP="00914D76"/>
    <w:p w14:paraId="025E23B4" w14:textId="73BD8037" w:rsidR="0062688F" w:rsidRDefault="0062688F"/>
    <w:p w14:paraId="708C54A7" w14:textId="77777777" w:rsidR="00F23C79" w:rsidRDefault="00F23C79">
      <w:pPr>
        <w:suppressAutoHyphens w:val="0"/>
        <w:rPr>
          <w:b/>
          <w:caps/>
        </w:rPr>
      </w:pPr>
      <w:bookmarkStart w:id="31" w:name="_Toc311875602"/>
      <w:bookmarkStart w:id="32" w:name="_Toc315941721"/>
      <w:bookmarkStart w:id="33" w:name="_Toc318691096"/>
      <w:bookmarkStart w:id="34" w:name="_Toc318691266"/>
      <w:bookmarkStart w:id="35" w:name="_Toc318701137"/>
      <w:bookmarkStart w:id="36" w:name="_Toc318711832"/>
      <w:bookmarkStart w:id="37" w:name="_Toc318770801"/>
      <w:bookmarkStart w:id="38" w:name="_Toc318772653"/>
      <w:bookmarkStart w:id="39" w:name="_Toc318795622"/>
      <w:bookmarkStart w:id="40" w:name="_Toc319229668"/>
      <w:bookmarkStart w:id="41" w:name="_Toc319230125"/>
      <w:bookmarkStart w:id="42" w:name="_Toc319318460"/>
      <w:bookmarkStart w:id="43" w:name="_Toc338133103"/>
      <w:bookmarkStart w:id="44" w:name="_Toc347371755"/>
      <w:r>
        <w:br w:type="page"/>
      </w:r>
    </w:p>
    <w:p w14:paraId="52988793" w14:textId="77777777" w:rsidR="0062688F" w:rsidRDefault="0062688F" w:rsidP="00465C3C">
      <w:pPr>
        <w:pStyle w:val="Heading1"/>
      </w:pPr>
      <w:bookmarkStart w:id="45" w:name="_Toc134518995"/>
      <w:r>
        <w:lastRenderedPageBreak/>
        <w:t>LIST OF FIGURES</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4095FB61" w14:textId="77777777" w:rsidR="0062688F" w:rsidRDefault="0062688F" w:rsidP="00FD3613">
      <w:pPr>
        <w:tabs>
          <w:tab w:val="right" w:pos="8640"/>
        </w:tabs>
      </w:pPr>
      <w:r>
        <w:t>Figure</w:t>
      </w:r>
      <w:r>
        <w:tab/>
        <w:t>Page</w:t>
      </w:r>
    </w:p>
    <w:p w14:paraId="54D97E12" w14:textId="77777777" w:rsidR="0062688F" w:rsidRDefault="0062688F"/>
    <w:p w14:paraId="756DC92C" w14:textId="4A4B17FF" w:rsidR="00856A6C" w:rsidRDefault="007C717C" w:rsidP="00856A6C">
      <w:pPr>
        <w:tabs>
          <w:tab w:val="right" w:pos="8640"/>
        </w:tabs>
      </w:pPr>
      <w:r>
        <w:t>CHAPTER 2</w:t>
      </w:r>
    </w:p>
    <w:p w14:paraId="0FCB8A4F" w14:textId="77777777" w:rsidR="00856A6C" w:rsidRDefault="00856A6C" w:rsidP="00856A6C"/>
    <w:p w14:paraId="0E85ACC7" w14:textId="584F4B0D" w:rsidR="00856A6C" w:rsidRDefault="00856A6C" w:rsidP="00856A6C">
      <w:pPr>
        <w:pStyle w:val="TOC1"/>
        <w:spacing w:line="240" w:lineRule="auto"/>
      </w:pPr>
      <w:r>
        <w:t>1.</w:t>
      </w:r>
      <w:r>
        <w:tab/>
        <w:t xml:space="preserve"> </w:t>
      </w:r>
      <w:r w:rsidR="007C717C">
        <w:rPr>
          <w:rFonts w:ascii="Times" w:hAnsi="Times"/>
        </w:rPr>
        <w:t>Differences in intersession change between sleep and w</w:t>
      </w:r>
      <w:r w:rsidR="007C717C" w:rsidRPr="00293065">
        <w:rPr>
          <w:rFonts w:ascii="Times" w:hAnsi="Times"/>
        </w:rPr>
        <w:t>ake groups</w:t>
      </w:r>
      <w:r>
        <w:tab/>
      </w:r>
      <w:r w:rsidR="00A87349">
        <w:t>34</w:t>
      </w:r>
    </w:p>
    <w:p w14:paraId="39420AFC" w14:textId="7AFAB2FD" w:rsidR="00856A6C" w:rsidRPr="00291F10" w:rsidRDefault="00856A6C" w:rsidP="00856A6C">
      <w:pPr>
        <w:pStyle w:val="TOC1"/>
        <w:spacing w:line="240" w:lineRule="auto"/>
      </w:pPr>
      <w:r>
        <w:t>2.</w:t>
      </w:r>
      <w:r>
        <w:tab/>
        <w:t xml:space="preserve"> </w:t>
      </w:r>
      <w:r w:rsidR="004D77CA" w:rsidRPr="00293065">
        <w:rPr>
          <w:rFonts w:ascii="Times" w:hAnsi="Times"/>
        </w:rPr>
        <w:t>Percent total sleep time spent in each stage of sleep</w:t>
      </w:r>
      <w:r>
        <w:tab/>
      </w:r>
      <w:r w:rsidR="00A87349">
        <w:t>35</w:t>
      </w:r>
    </w:p>
    <w:p w14:paraId="35AC4455" w14:textId="7BD701F0" w:rsidR="00856A6C" w:rsidRPr="00291F10" w:rsidRDefault="00856A6C" w:rsidP="00856A6C">
      <w:pPr>
        <w:pStyle w:val="TOC1"/>
        <w:spacing w:line="240" w:lineRule="auto"/>
      </w:pPr>
      <w:r>
        <w:t>3.</w:t>
      </w:r>
      <w:r>
        <w:tab/>
        <w:t xml:space="preserve"> </w:t>
      </w:r>
      <w:r w:rsidR="004D77CA" w:rsidRPr="00293065">
        <w:rPr>
          <w:rFonts w:ascii="Times" w:hAnsi="Times"/>
        </w:rPr>
        <w:t>Change and percent of the night in NREM (%NREM2 + %SWS)</w:t>
      </w:r>
      <w:r>
        <w:tab/>
      </w:r>
      <w:r w:rsidR="00A87349">
        <w:t>36</w:t>
      </w:r>
    </w:p>
    <w:p w14:paraId="4CE2B563" w14:textId="77777777" w:rsidR="00856A6C" w:rsidRDefault="00856A6C" w:rsidP="00856A6C"/>
    <w:p w14:paraId="30557DEB" w14:textId="6586CD8F" w:rsidR="00856A6C" w:rsidRDefault="002F27D0" w:rsidP="00856A6C">
      <w:pPr>
        <w:tabs>
          <w:tab w:val="right" w:pos="8640"/>
        </w:tabs>
      </w:pPr>
      <w:r>
        <w:t>CHAPTER 3</w:t>
      </w:r>
    </w:p>
    <w:p w14:paraId="5ACC69E0" w14:textId="77777777" w:rsidR="00856A6C" w:rsidRPr="00291F10" w:rsidRDefault="00856A6C" w:rsidP="00856A6C"/>
    <w:p w14:paraId="6F06977B" w14:textId="4EA6F5B2" w:rsidR="00856A6C" w:rsidRDefault="00856A6C" w:rsidP="00856A6C">
      <w:pPr>
        <w:pStyle w:val="TOC1"/>
        <w:spacing w:line="240" w:lineRule="auto"/>
      </w:pPr>
      <w:r>
        <w:t>1.</w:t>
      </w:r>
      <w:r>
        <w:tab/>
        <w:t xml:space="preserve"> </w:t>
      </w:r>
      <w:r w:rsidR="00BB5306" w:rsidRPr="00293065">
        <w:rPr>
          <w:rFonts w:ascii="Times" w:hAnsi="Times"/>
        </w:rPr>
        <w:t>Emotional memory consolidation and memory processing task</w:t>
      </w:r>
      <w:r>
        <w:tab/>
      </w:r>
      <w:r w:rsidR="003731BB">
        <w:t>69</w:t>
      </w:r>
    </w:p>
    <w:p w14:paraId="6AEE331B" w14:textId="7B68C8F8" w:rsidR="00856A6C" w:rsidRPr="00291F10" w:rsidRDefault="00856A6C" w:rsidP="00856A6C">
      <w:pPr>
        <w:pStyle w:val="TOC1"/>
        <w:spacing w:line="240" w:lineRule="auto"/>
      </w:pPr>
      <w:r>
        <w:t>2.</w:t>
      </w:r>
      <w:r>
        <w:tab/>
        <w:t xml:space="preserve"> </w:t>
      </w:r>
      <w:r w:rsidR="00BB5306" w:rsidRPr="00293065">
        <w:rPr>
          <w:rFonts w:ascii="Times" w:hAnsi="Times"/>
        </w:rPr>
        <w:t>Emotional memory consolidation for neutral and negative stimuli</w:t>
      </w:r>
      <w:r>
        <w:tab/>
      </w:r>
      <w:r w:rsidR="003731BB">
        <w:t>70</w:t>
      </w:r>
    </w:p>
    <w:p w14:paraId="4F2B8287" w14:textId="77375F12" w:rsidR="00856A6C" w:rsidRDefault="00856A6C" w:rsidP="00856A6C">
      <w:pPr>
        <w:pStyle w:val="TOC1"/>
        <w:spacing w:line="240" w:lineRule="auto"/>
      </w:pPr>
      <w:r>
        <w:t>3.</w:t>
      </w:r>
      <w:r>
        <w:tab/>
        <w:t xml:space="preserve"> </w:t>
      </w:r>
      <w:r w:rsidR="00BB5306" w:rsidRPr="00293065">
        <w:rPr>
          <w:rFonts w:ascii="Times" w:hAnsi="Times"/>
        </w:rPr>
        <w:t>Change in valence and arousal for neutral and negative stimuli</w:t>
      </w:r>
      <w:r>
        <w:tab/>
      </w:r>
      <w:r w:rsidR="003731BB">
        <w:t>71</w:t>
      </w:r>
    </w:p>
    <w:p w14:paraId="3FB4ABA9" w14:textId="77777777" w:rsidR="005C5BE8" w:rsidRDefault="005C5BE8" w:rsidP="005C5BE8">
      <w:pPr>
        <w:rPr>
          <w:rFonts w:eastAsiaTheme="minorEastAsia"/>
        </w:rPr>
      </w:pPr>
    </w:p>
    <w:p w14:paraId="1B883054" w14:textId="00743070" w:rsidR="005C5BE8" w:rsidRDefault="00847B50" w:rsidP="005C5BE8">
      <w:pPr>
        <w:tabs>
          <w:tab w:val="right" w:pos="8640"/>
        </w:tabs>
      </w:pPr>
      <w:r>
        <w:t>CHAPTER 4</w:t>
      </w:r>
    </w:p>
    <w:p w14:paraId="52B2D125" w14:textId="77777777" w:rsidR="005C5BE8" w:rsidRPr="00291F10" w:rsidRDefault="005C5BE8" w:rsidP="005C5BE8"/>
    <w:p w14:paraId="310E4EFC" w14:textId="12C01B7D" w:rsidR="005C5BE8" w:rsidRDefault="005C5BE8" w:rsidP="005C5BE8">
      <w:pPr>
        <w:pStyle w:val="TOC1"/>
        <w:spacing w:line="240" w:lineRule="auto"/>
      </w:pPr>
      <w:r>
        <w:t>1.</w:t>
      </w:r>
      <w:r>
        <w:tab/>
        <w:t xml:space="preserve"> </w:t>
      </w:r>
      <w:r w:rsidR="00847B50" w:rsidRPr="00293065">
        <w:rPr>
          <w:rFonts w:ascii="Times" w:hAnsi="Times"/>
        </w:rPr>
        <w:t>Negative valence ratings in Study 2</w:t>
      </w:r>
      <w:r>
        <w:tab/>
      </w:r>
      <w:r w:rsidR="00E74CDD">
        <w:t>142</w:t>
      </w:r>
    </w:p>
    <w:p w14:paraId="0CF8EB86" w14:textId="528F552E" w:rsidR="005C5BE8" w:rsidRPr="00291F10" w:rsidRDefault="005C5BE8" w:rsidP="005C5BE8">
      <w:pPr>
        <w:pStyle w:val="TOC1"/>
        <w:spacing w:line="240" w:lineRule="auto"/>
      </w:pPr>
      <w:r>
        <w:t>2.</w:t>
      </w:r>
      <w:r>
        <w:tab/>
        <w:t xml:space="preserve"> </w:t>
      </w:r>
      <w:r w:rsidR="00847B50" w:rsidRPr="00293065">
        <w:rPr>
          <w:rFonts w:ascii="Times" w:hAnsi="Times"/>
        </w:rPr>
        <w:t>Habituation of valence ratings</w:t>
      </w:r>
      <w:r>
        <w:tab/>
      </w:r>
      <w:r w:rsidR="00E74CDD">
        <w:t>143</w:t>
      </w:r>
    </w:p>
    <w:p w14:paraId="44701C37" w14:textId="6D2EC884" w:rsidR="005C5BE8" w:rsidRDefault="005C5BE8" w:rsidP="005C5BE8">
      <w:pPr>
        <w:pStyle w:val="TOC1"/>
        <w:spacing w:line="240" w:lineRule="auto"/>
      </w:pPr>
      <w:r>
        <w:t>3.</w:t>
      </w:r>
      <w:r>
        <w:tab/>
        <w:t xml:space="preserve"> </w:t>
      </w:r>
      <w:r w:rsidR="00847B50" w:rsidRPr="00293065">
        <w:rPr>
          <w:rFonts w:ascii="Times" w:hAnsi="Times"/>
        </w:rPr>
        <w:t>Habituation of arousal ratings</w:t>
      </w:r>
      <w:r>
        <w:tab/>
      </w:r>
      <w:r w:rsidR="00E74CDD">
        <w:t>144</w:t>
      </w:r>
    </w:p>
    <w:p w14:paraId="31E81FE7" w14:textId="4BEF643B" w:rsidR="00E825DB" w:rsidRPr="00291F10" w:rsidRDefault="00E825DB" w:rsidP="00E825DB">
      <w:pPr>
        <w:pStyle w:val="TOC1"/>
        <w:spacing w:line="240" w:lineRule="auto"/>
      </w:pPr>
      <w:r>
        <w:t>4</w:t>
      </w:r>
      <w:r>
        <w:t>.</w:t>
      </w:r>
      <w:r>
        <w:tab/>
        <w:t xml:space="preserve"> </w:t>
      </w:r>
      <w:r w:rsidR="00847B50" w:rsidRPr="00293065">
        <w:rPr>
          <w:rFonts w:ascii="Times" w:hAnsi="Times"/>
        </w:rPr>
        <w:t>Valence ratings by hour of testing</w:t>
      </w:r>
      <w:r>
        <w:tab/>
      </w:r>
      <w:r w:rsidR="00E74CDD">
        <w:t>145</w:t>
      </w:r>
    </w:p>
    <w:p w14:paraId="311CB656" w14:textId="2238FDE8" w:rsidR="00E825DB" w:rsidRPr="00291F10" w:rsidRDefault="00E825DB" w:rsidP="00E825DB">
      <w:pPr>
        <w:pStyle w:val="TOC1"/>
        <w:spacing w:line="240" w:lineRule="auto"/>
      </w:pPr>
      <w:r>
        <w:t>5</w:t>
      </w:r>
      <w:r>
        <w:t>.</w:t>
      </w:r>
      <w:r>
        <w:tab/>
        <w:t xml:space="preserve"> </w:t>
      </w:r>
      <w:r w:rsidR="00847B50" w:rsidRPr="00293065">
        <w:rPr>
          <w:rFonts w:ascii="Times" w:hAnsi="Times"/>
        </w:rPr>
        <w:t>Arousal ratings by hour of testing</w:t>
      </w:r>
      <w:r>
        <w:tab/>
      </w:r>
      <w:r w:rsidR="00E74CDD">
        <w:t>146</w:t>
      </w:r>
    </w:p>
    <w:p w14:paraId="4D96EBFD" w14:textId="77777777" w:rsidR="00E825DB" w:rsidRPr="00E825DB" w:rsidRDefault="00E825DB" w:rsidP="00E825DB">
      <w:pPr>
        <w:rPr>
          <w:rFonts w:eastAsiaTheme="minorEastAsia"/>
        </w:rPr>
      </w:pPr>
    </w:p>
    <w:p w14:paraId="112A36E2" w14:textId="77777777" w:rsidR="005C5BE8" w:rsidRPr="005C5BE8" w:rsidRDefault="005C5BE8" w:rsidP="005C5BE8">
      <w:pPr>
        <w:rPr>
          <w:rFonts w:eastAsiaTheme="minorEastAsia"/>
        </w:rPr>
      </w:pPr>
    </w:p>
    <w:p w14:paraId="5E710FDA" w14:textId="7F36D3F1" w:rsidR="0062688F" w:rsidRDefault="0062688F">
      <w:pPr>
        <w:pStyle w:val="Paragraph-center"/>
      </w:pPr>
    </w:p>
    <w:p w14:paraId="3279FD95" w14:textId="77777777" w:rsidR="0062688F" w:rsidRDefault="0062688F"/>
    <w:p w14:paraId="0D01F960" w14:textId="77777777" w:rsidR="0062688F" w:rsidRDefault="0062688F">
      <w:pPr>
        <w:sectPr w:rsidR="0062688F">
          <w:footerReference w:type="default" r:id="rId9"/>
          <w:pgSz w:w="12240" w:h="15840" w:code="1"/>
          <w:pgMar w:top="1440" w:right="1440" w:bottom="1440" w:left="2160" w:header="720" w:footer="720" w:gutter="0"/>
          <w:paperSrc w:first="1" w:other="1"/>
          <w:pgNumType w:fmt="lowerRoman" w:start="5"/>
          <w:cols w:space="720"/>
        </w:sectPr>
      </w:pPr>
    </w:p>
    <w:p w14:paraId="5961BDD0" w14:textId="77777777" w:rsidR="00F7044C" w:rsidRDefault="00F7044C" w:rsidP="00F7044C">
      <w:pPr>
        <w:jc w:val="center"/>
        <w:outlineLvl w:val="0"/>
        <w:rPr>
          <w:rFonts w:ascii="Times" w:hAnsi="Times"/>
          <w:b/>
        </w:rPr>
      </w:pPr>
      <w:r>
        <w:rPr>
          <w:rFonts w:ascii="Times" w:hAnsi="Times"/>
          <w:b/>
        </w:rPr>
        <w:lastRenderedPageBreak/>
        <w:t>CHAPTER 1</w:t>
      </w:r>
    </w:p>
    <w:p w14:paraId="15BBBD2A" w14:textId="77777777" w:rsidR="00F7044C" w:rsidRDefault="00F7044C" w:rsidP="00F7044C">
      <w:pPr>
        <w:jc w:val="center"/>
        <w:outlineLvl w:val="0"/>
        <w:rPr>
          <w:rFonts w:ascii="Times" w:hAnsi="Times"/>
          <w:b/>
        </w:rPr>
      </w:pPr>
    </w:p>
    <w:p w14:paraId="5E54BD9C" w14:textId="77777777" w:rsidR="00F7044C" w:rsidRPr="00C421E4" w:rsidRDefault="00F7044C" w:rsidP="00F7044C">
      <w:pPr>
        <w:jc w:val="center"/>
        <w:outlineLvl w:val="0"/>
        <w:rPr>
          <w:rFonts w:ascii="Times" w:hAnsi="Times"/>
          <w:b/>
        </w:rPr>
      </w:pPr>
      <w:r>
        <w:rPr>
          <w:rFonts w:ascii="Times" w:hAnsi="Times"/>
          <w:b/>
        </w:rPr>
        <w:t>GENERAL INTRODUCTION</w:t>
      </w:r>
    </w:p>
    <w:p w14:paraId="73FB0334" w14:textId="77777777" w:rsidR="00F7044C" w:rsidRPr="00C421E4" w:rsidRDefault="00F7044C" w:rsidP="00F7044C">
      <w:pPr>
        <w:spacing w:line="480" w:lineRule="auto"/>
        <w:rPr>
          <w:rFonts w:ascii="Times" w:hAnsi="Times"/>
          <w:b/>
        </w:rPr>
      </w:pPr>
    </w:p>
    <w:p w14:paraId="7FB6D38E" w14:textId="77777777" w:rsidR="00F7044C" w:rsidRPr="009A1FEA" w:rsidRDefault="00F7044C" w:rsidP="00F7044C">
      <w:pPr>
        <w:spacing w:line="480" w:lineRule="auto"/>
        <w:jc w:val="center"/>
        <w:outlineLvl w:val="0"/>
        <w:rPr>
          <w:rFonts w:ascii="Times" w:hAnsi="Times"/>
          <w:b/>
          <w:u w:val="single"/>
        </w:rPr>
      </w:pPr>
      <w:r>
        <w:rPr>
          <w:rFonts w:ascii="Times" w:hAnsi="Times"/>
          <w:b/>
          <w:u w:val="single"/>
        </w:rPr>
        <w:t xml:space="preserve">A. </w:t>
      </w:r>
      <w:r w:rsidRPr="009A1FEA">
        <w:rPr>
          <w:rFonts w:ascii="Times" w:hAnsi="Times"/>
          <w:b/>
          <w:u w:val="single"/>
        </w:rPr>
        <w:t>Traumatic Brain Injury</w:t>
      </w:r>
    </w:p>
    <w:p w14:paraId="23DEDD8F" w14:textId="77777777" w:rsidR="00F7044C" w:rsidRPr="00C421E4" w:rsidRDefault="00F7044C" w:rsidP="00F7044C">
      <w:pPr>
        <w:spacing w:line="480" w:lineRule="auto"/>
        <w:rPr>
          <w:rFonts w:ascii="Times" w:hAnsi="Times"/>
        </w:rPr>
      </w:pPr>
      <w:r w:rsidRPr="00C421E4">
        <w:rPr>
          <w:rFonts w:ascii="Times" w:hAnsi="Times"/>
        </w:rPr>
        <w:t xml:space="preserve">Traumatic brain injury (TBI) is defined as any change in brain functioning resulting from blunt or penetrating force to the head </w:t>
      </w:r>
      <w:r w:rsidRPr="00C421E4">
        <w:rPr>
          <w:rFonts w:ascii="Times" w:hAnsi="Times"/>
        </w:rPr>
        <w:fldChar w:fldCharType="begin" w:fldLock="1"/>
      </w:r>
      <w:r w:rsidRPr="00C421E4">
        <w:rPr>
          <w:rFonts w:ascii="Times" w:hAnsi="Times"/>
        </w:rPr>
        <w:instrText xml:space="preserve"> ADDIN ZOTERO_ITEM CSL_CITATION {"citationID":"ONGPopG6","properties":{"formattedCitation":"(Bruns &amp; Hauser, 2003)","plainCitation":"(Bruns &amp; Hauser, 2003)"},"citationItems":[{"id":"ITEM-1","uris":["http://www.mendeley.com/documents/?uuid=7c721be3-2e25-4b5d-85fb-cd6ca2ffa091"],"uri":["http://www.mendeley.com/documents/?uuid=7c721be3-2e25-4b5d-85fb-cd6ca2ffa091"],"itemData":{"DOI":"10.1046/j.1528-1157.44.s10.3.x","ISBN":"1528-1167","ISSN":"0013-9580","PMID":"14511388","abstract":"PURPOSE: Traumatic brain injury (TBI) not only has considerable morbidity and mortality, but it is a major cause of epilepsy. We wish to determine the frequency of TBI, special groups at risk for TBI, and mortality from TBI. METHODS: We reviewed studies of TBI that are either population based or derived from definable catchment areas that allow determination of incidence, identification of risk groups, and mortality. We review methodology used in epidemiologic studies of TBI and try to distinguish this data from that of head injury not necessarily affecting the brain. We report epidemiologic characteristics of TBI, including incidence, differences by age, gender, race and ethnic group, and geographic variation, and mortality. RESULTS: Population-based studies in the United States suggest that the incidence of TBI is between 180 and 250 per 100,000 population per year. Incidence may be higher in Europe and South Africa. There are groups at high risk for TBI. This includes males and individuals living in regions characterized by socioeconomic deprivation. There are selective age groups at risk for TBI. This includes the very young, adolescents and young adults, and the elderly. Mortality varies by severity but is high in those with severe injury and in the elderly. CONCLUSIONS: TBI is a major public health problem as well as a major cause of epilepsy. If primary prevention is to be undertaken, we must understand the epidemiology of the condition. The primary causes of TBI vary by age, socioeconomic factors, and geographic region, so any planned interventions must be tailored accordingly.","author":[{"dropping-particle":"","family":"Bruns","given":"John","non-dropping-particle":"","parse-names":false,"suffix":""},{"dropping-particle":"","family":"Hauser","given":"W Allen","non-dropping-particle":"","parse-names":false,"suffix":""}],"container-title":"Epilepsia","id":"ITEM-1","issue":"2","issued":{"date-parts":[["2003"]]},"page":"2-10","title":"The epidemiology of traumatic brain injury: a review.","type":"article-journal","volume":"44 Suppl 1"}}],"schema":"https://github.com/citation-style-language/schema/raw/master/csl-citation.json"} </w:instrText>
      </w:r>
      <w:r w:rsidRPr="00C421E4">
        <w:rPr>
          <w:rFonts w:ascii="Times" w:hAnsi="Times"/>
        </w:rPr>
        <w:fldChar w:fldCharType="separate"/>
      </w:r>
      <w:r w:rsidRPr="00C421E4">
        <w:rPr>
          <w:rFonts w:ascii="Times" w:hAnsi="Times"/>
          <w:noProof/>
        </w:rPr>
        <w:t>(Bruns &amp; Hauser, 2003)</w:t>
      </w:r>
      <w:r w:rsidRPr="00C421E4">
        <w:rPr>
          <w:rFonts w:ascii="Times" w:hAnsi="Times"/>
        </w:rPr>
        <w:fldChar w:fldCharType="end"/>
      </w:r>
      <w:r w:rsidRPr="00C421E4">
        <w:rPr>
          <w:rFonts w:ascii="Times" w:hAnsi="Times"/>
        </w:rPr>
        <w:t xml:space="preserve">. An alteration in brain functioning may manifest as confusion, loss of consciousness, coma, seizure, or sensory/motor deficit. There are an estimated 1.4-3 million TBIs each year in the United States, and an additional 50,000 deaths resulting from TBI </w:t>
      </w:r>
      <w:r w:rsidRPr="00C421E4">
        <w:rPr>
          <w:rFonts w:ascii="Times" w:hAnsi="Times"/>
        </w:rPr>
        <w:fldChar w:fldCharType="begin" w:fldLock="1"/>
      </w:r>
      <w:r w:rsidRPr="00C421E4">
        <w:rPr>
          <w:rFonts w:ascii="Times" w:hAnsi="Times"/>
        </w:rPr>
        <w:instrText xml:space="preserve"> ADDIN ZOTERO_ITEM CSL_CITATION {"citationID":"GBXUYCbX","properties":{"formattedCitation":"(Rutland-Brown, Langlois, Thomas, &amp; Xi, 2006; Silver, McAllister, &amp; Yudofsky, 2005)","plainCitation":"(Rutland-Brown, Langlois, Thomas, &amp; Xi, 2006; Silver, McAllister, &amp; Yudofsky, 2005)"},"citationItems":[{"id":"ITEM-1","uris":["http://www.mendeley.com/documents/?uuid=96242a45-918e-449e-b606-cc54458e7238"],"uri":["http://www.mendeley.com/documents/?uuid=96242a45-918e-449e-b606-cc54458e7238"],"itemData":{"DOI":"10.1001/jama.293.17.2161-a","ISBN":"1585621056","ISSN":"00987484","abstract":"Extensively updated and expanded by recognized experts, this comprehensive textbook contains 40 chapters, including 15 new for this, and more than 100 informative figures and illustrations. New chapters address structural and functional imaging, electrophysiologic techniques, neuropsychological assessment, social issues, systems of care, and treatment modalities, including alternative therapies. Expanded chapters discuss the multiple neuropsychiatric sequelae but not encompassed by the usual psychiatric syndromes, including apathy, reduced awareness of deficits, fatigue, pain, headaches, balance problems, visual difficulties, and sports injuries.","author":[{"dropping-particle":"","family":"Silver","given":"Jonathan M","non-dropping-particle":"","parse-names":false,"suffix":""},{"dropping-particle":"","family":"McAllister","given":"Thomas W","non-dropping-particle":"","parse-names":false,"suffix":""},{"dropping-particle":"","family":"Yudofsky","given":"Stuart C","non-dropping-particle":"","parse-names":false,"suffix":""}],"container-title":"Jama The Journal Of The American Medical Association","id":"ITEM-1","issued":{"date-parts":[["2005"]]},"number-of-pages":"771","title":"Textbook of traumatic brain injury","type":"book","volume":"293"}},{"id":"ITEM-2","uris":["http://www.mendeley.com/documents/?uuid=a7f0ab34-3262-4272-8b3e-8efd02186e33"],"uri":["http://www.mendeley.com/documents/?uuid=a7f0ab34-3262-4272-8b3e-8efd02186e33"],"itemData":{"DOI":"00001199-200611000-00009 [pii]","ISBN":"0885-9701 (Print)\\r0885-9701 (Linking)","ISSN":"0885-9701","PMID":"17122685","abstract":"Traumatic brain injury (TBI) is an important public health problem in the United States. In 2003, there were an estimated 1,565,000 TBIs in the United States: 1,224,000 emergency department visits, 290,000 hospitalizations, and 51,000 deaths. Findings were similar to those from previous years in which rates of TBI were highest for young children (aged 0-4) and men, and the leading causes of TBI were falls and motor vehicle traffic.","author":[{"dropping-particle":"","family":"Rutland-Brown","given":"W","non-dropping-particle":"","parse-names":false,"suffix":""},{"dropping-particle":"","family":"Langlois","given":"J A","non-dropping-particle":"","parse-names":false,"suffix":""},{"dropping-particle":"","family":"Thomas","given":"K E","non-dropping-particle":"","parse-names":false,"suffix":""},{"dropping-particle":"","family":"Xi","given":"Y L","non-dropping-particle":"","parse-names":false,"suffix":""}],"container-title":"J Head Trauma Rehabil","id":"ITEM-2","issue":"6","issued":{"date-parts":[["2006"]]},"page":"544-548","title":"Incidence of traumatic brain injury in the United States, 2003","type":"article-journal","volume":"21"}}],"schema":"https://github.com/citation-style-language/schema/raw/master/csl-citation.json"} </w:instrText>
      </w:r>
      <w:r w:rsidRPr="00C421E4">
        <w:rPr>
          <w:rFonts w:ascii="Times" w:hAnsi="Times"/>
        </w:rPr>
        <w:fldChar w:fldCharType="separate"/>
      </w:r>
      <w:r w:rsidRPr="00C421E4">
        <w:rPr>
          <w:rFonts w:ascii="Times" w:hAnsi="Times"/>
          <w:noProof/>
        </w:rPr>
        <w:t>(Rutland-Brown, Langlois, Thomas, &amp; Xi, 2006; Silver, McAllister, &amp; Yudofsky, 2005)</w:t>
      </w:r>
      <w:r w:rsidRPr="00C421E4">
        <w:rPr>
          <w:rFonts w:ascii="Times" w:hAnsi="Times"/>
        </w:rPr>
        <w:fldChar w:fldCharType="end"/>
      </w:r>
      <w:r w:rsidRPr="00C421E4">
        <w:rPr>
          <w:rFonts w:ascii="Times" w:hAnsi="Times"/>
        </w:rPr>
        <w:t xml:space="preserve">. However, these approximations may be underestimated because it has been projected that 25% of all individuals with TBI do not seek medical treatment </w:t>
      </w:r>
      <w:r w:rsidRPr="00C421E4">
        <w:rPr>
          <w:rFonts w:ascii="Times" w:hAnsi="Times"/>
        </w:rPr>
        <w:fldChar w:fldCharType="begin" w:fldLock="1"/>
      </w:r>
      <w:r w:rsidRPr="00C421E4">
        <w:rPr>
          <w:rFonts w:ascii="Times" w:hAnsi="Times"/>
        </w:rPr>
        <w:instrText xml:space="preserve"> ADDIN ZOTERO_ITEM CSL_CITATION {"citationID":"Ca3hWLLi","properties":{"formattedCitation":"(Silver et al., 2005)","plainCitation":"(Silver et al., 2005)"},"citationItems":[{"id":"ITEM-1","uris":["http://www.mendeley.com/documents/?uuid=96242a45-918e-449e-b606-cc54458e7238"],"uri":["http://www.mendeley.com/documents/?uuid=96242a45-918e-449e-b606-cc54458e7238"],"itemData":{"DOI":"10.1001/jama.293.17.2161-a","ISBN":"1585621056","ISSN":"00987484","abstract":"Extensively updated and expanded by recognized experts, this comprehensive textbook contains 40 chapters, including 15 new for this, and more than 100 informative figures and illustrations. New chapters address structural and functional imaging, electrophysiologic techniques, neuropsychological assessment, social issues, systems of care, and treatment modalities, including alternative therapies. Expanded chapters discuss the multiple neuropsychiatric sequelae but not encompassed by the usual psychiatric syndromes, including apathy, reduced awareness of deficits, fatigue, pain, headaches, balance problems, visual difficulties, and sports injuries.","author":[{"dropping-particle":"","family":"Silver","given":"Jonathan M","non-dropping-particle":"","parse-names":false,"suffix":""},{"dropping-particle":"","family":"McAllister","given":"Thomas W","non-dropping-particle":"","parse-names":false,"suffix":""},{"dropping-particle":"","family":"Yudofsky","given":"Stuart C","non-dropping-particle":"","parse-names":false,"suffix":""}],"container-title":"Jama The Journal Of The American Medical Association","id":"ITEM-1","issued":{"date-parts":[["2005"]]},"number-of-pages":"771","title":"Textbook of traumatic brain injury","type":"book","volume":"293"}}],"schema":"https://github.com/citation-style-language/schema/raw/master/csl-citation.json"} </w:instrText>
      </w:r>
      <w:r w:rsidRPr="00C421E4">
        <w:rPr>
          <w:rFonts w:ascii="Times" w:hAnsi="Times"/>
        </w:rPr>
        <w:fldChar w:fldCharType="separate"/>
      </w:r>
      <w:r w:rsidRPr="00C421E4">
        <w:rPr>
          <w:rFonts w:ascii="Times" w:hAnsi="Times"/>
          <w:noProof/>
        </w:rPr>
        <w:t>(Silver et al., 2005)</w:t>
      </w:r>
      <w:r w:rsidRPr="00C421E4">
        <w:rPr>
          <w:rFonts w:ascii="Times" w:hAnsi="Times"/>
        </w:rPr>
        <w:fldChar w:fldCharType="end"/>
      </w:r>
      <w:r w:rsidRPr="00C421E4">
        <w:rPr>
          <w:rFonts w:ascii="Times" w:hAnsi="Times"/>
        </w:rPr>
        <w:t xml:space="preserve">. </w:t>
      </w:r>
    </w:p>
    <w:p w14:paraId="37E66AE0" w14:textId="77777777" w:rsidR="00F7044C" w:rsidRPr="00C421E4" w:rsidRDefault="00F7044C" w:rsidP="00F7044C">
      <w:pPr>
        <w:spacing w:line="480" w:lineRule="auto"/>
        <w:rPr>
          <w:rFonts w:ascii="Times" w:hAnsi="Times"/>
        </w:rPr>
      </w:pPr>
    </w:p>
    <w:p w14:paraId="1D9EE87F" w14:textId="77777777" w:rsidR="00F7044C" w:rsidRPr="00C421E4" w:rsidRDefault="00F7044C" w:rsidP="00F7044C">
      <w:pPr>
        <w:spacing w:line="480" w:lineRule="auto"/>
        <w:rPr>
          <w:rFonts w:ascii="Times" w:hAnsi="Times"/>
        </w:rPr>
      </w:pPr>
      <w:r w:rsidRPr="00C421E4">
        <w:rPr>
          <w:rFonts w:ascii="Times" w:hAnsi="Times"/>
        </w:rPr>
        <w:t xml:space="preserve">Severity of TBI is gauged via diagnostic interview or examination following injury. Using the Glasgow Coma Scale, individuals are determined to have a mild (13 or above), moderate (9-12), or severe (8 or below) head injury, based on patient responses to visual, motor, and verbal stimuli </w:t>
      </w:r>
      <w:r w:rsidRPr="00C421E4">
        <w:rPr>
          <w:rFonts w:ascii="Times" w:hAnsi="Times"/>
        </w:rPr>
        <w:fldChar w:fldCharType="begin" w:fldLock="1"/>
      </w:r>
      <w:r w:rsidRPr="00C421E4">
        <w:rPr>
          <w:rFonts w:ascii="Times" w:hAnsi="Times"/>
        </w:rPr>
        <w:instrText xml:space="preserve"> ADDIN ZOTERO_ITEM CSL_CITATION {"citationID":"Cy0RYlwL","properties":{"formattedCitation":"(Sande &amp; West, 2010)","plainCitation":"(Sande &amp; West, 2010)"},"citationItems":[{"id":"ITEM-1","uris":["http://www.mendeley.com/documents/?uuid=6c4535f3-7f97-492d-879c-dcdcf113c081"],"uri":["http://www.mendeley.com/documents/?uuid=6c4535f3-7f97-492d-879c-dcdcf113c081"],"itemData":{"DOI":"10.1111/j.1476-4431.2010.00527.x","ISBN":"1479-3261","ISSN":"14793261","PMID":"20487246","abstract":"To review current information regarding the pathophysiology associated with traumatic brain injury (TBI), and to outline appropriate patient assessment, diagnostic, and therapeutic options.","author":[{"dropping-particle":"","family":"Sande","given":"Allison","non-dropping-particle":"","parse-names":false,"suffix":""},{"dropping-particle":"","family":"West","given":"Chad","non-dropping-particle":"","parse-names":false,"suffix":""}],"container-title":"Journal of Veterinary Emergency and Critical Care","id":"ITEM-1","issue":"2","issued":{"date-parts":[["2010"]]},"page":"177-190","title":"Traumatic brain injury: A review of pathophysiology and management","type":"article","volume":"20"}}],"schema":"https://github.com/citation-style-language/schema/raw/master/csl-citation.json"} </w:instrText>
      </w:r>
      <w:r w:rsidRPr="00C421E4">
        <w:rPr>
          <w:rFonts w:ascii="Times" w:hAnsi="Times"/>
        </w:rPr>
        <w:fldChar w:fldCharType="separate"/>
      </w:r>
      <w:r w:rsidRPr="00C421E4">
        <w:rPr>
          <w:rFonts w:ascii="Times" w:hAnsi="Times"/>
          <w:noProof/>
        </w:rPr>
        <w:t>(Sande &amp; West, 2010)</w:t>
      </w:r>
      <w:r w:rsidRPr="00C421E4">
        <w:rPr>
          <w:rFonts w:ascii="Times" w:hAnsi="Times"/>
        </w:rPr>
        <w:fldChar w:fldCharType="end"/>
      </w:r>
      <w:r w:rsidRPr="00C421E4">
        <w:rPr>
          <w:rFonts w:ascii="Times" w:hAnsi="Times"/>
        </w:rPr>
        <w:t xml:space="preserve">. Severity may also be categorized based on time spent without consciousness, or based on time that the patient experienced retrograde amnesia, although this approach is less common. The majority of TBI cases are mild (80%), while moderate (10%) and severe (10%) injuries are less frequent </w:t>
      </w:r>
      <w:r w:rsidRPr="00C421E4">
        <w:rPr>
          <w:rFonts w:ascii="Times" w:hAnsi="Times"/>
        </w:rPr>
        <w:fldChar w:fldCharType="begin" w:fldLock="1"/>
      </w:r>
      <w:r w:rsidRPr="00C421E4">
        <w:rPr>
          <w:rFonts w:ascii="Times" w:hAnsi="Times"/>
        </w:rPr>
        <w:instrText xml:space="preserve"> ADDIN ZOTERO_ITEM CSL_CITATION {"citationID":"o38gMDOu","properties":{"formattedCitation":"(Bruns &amp; Hauser, 2003)","plainCitation":"(Bruns &amp; Hauser, 2003)"},"citationItems":[{"id":"ITEM-1","uris":["http://www.mendeley.com/documents/?uuid=7c721be3-2e25-4b5d-85fb-cd6ca2ffa091"],"uri":["http://www.mendeley.com/documents/?uuid=7c721be3-2e25-4b5d-85fb-cd6ca2ffa091"],"itemData":{"DOI":"10.1046/j.1528-1157.44.s10.3.x","ISBN":"1528-1167","ISSN":"0013-9580","PMID":"14511388","abstract":"PURPOSE: Traumatic brain injury (TBI) not only has considerable morbidity and mortality, but it is a major cause of epilepsy. We wish to determine the frequency of TBI, special groups at risk for TBI, and mortality from TBI. METHODS: We reviewed studies of TBI that are either population based or derived from definable catchment areas that allow determination of incidence, identification of risk groups, and mortality. We review methodology used in epidemiologic studies of TBI and try to distinguish this data from that of head injury not necessarily affecting the brain. We report epidemiologic characteristics of TBI, including incidence, differences by age, gender, race and ethnic group, and geographic variation, and mortality. RESULTS: Population-based studies in the United States suggest that the incidence of TBI is between 180 and 250 per 100,000 population per year. Incidence may be higher in Europe and South Africa. There are groups at high risk for TBI. This includes males and individuals living in regions characterized by socioeconomic deprivation. There are selective age groups at risk for TBI. This includes the very young, adolescents and young adults, and the elderly. Mortality varies by severity but is high in those with severe injury and in the elderly. CONCLUSIONS: TBI is a major public health problem as well as a major cause of epilepsy. If primary prevention is to be undertaken, we must understand the epidemiology of the condition. The primary causes of TBI vary by age, socioeconomic factors, and geographic region, so any planned interventions must be tailored accordingly.","author":[{"dropping-particle":"","family":"Bruns","given":"John","non-dropping-particle":"","parse-names":false,"suffix":""},{"dropping-particle":"","family":"Hauser","given":"W Allen","non-dropping-particle":"","parse-names":false,"suffix":""}],"container-title":"Epilepsia","id":"ITEM-1","issue":"2","issued":{"date-parts":[["2003"]]},"page":"2-10","title":"The epidemiology of traumatic brain injury: a review.","type":"article-journal","volume":"44 Suppl 1"}}],"schema":"https://github.com/citation-style-language/schema/raw/master/csl-citation.json"} </w:instrText>
      </w:r>
      <w:r w:rsidRPr="00C421E4">
        <w:rPr>
          <w:rFonts w:ascii="Times" w:hAnsi="Times"/>
        </w:rPr>
        <w:fldChar w:fldCharType="separate"/>
      </w:r>
      <w:r w:rsidRPr="00C421E4">
        <w:rPr>
          <w:rFonts w:ascii="Times" w:hAnsi="Times"/>
          <w:noProof/>
        </w:rPr>
        <w:t>(Bruns &amp; Hauser, 2003)</w:t>
      </w:r>
      <w:r w:rsidRPr="00C421E4">
        <w:rPr>
          <w:rFonts w:ascii="Times" w:hAnsi="Times"/>
        </w:rPr>
        <w:fldChar w:fldCharType="end"/>
      </w:r>
      <w:r w:rsidRPr="00C421E4">
        <w:rPr>
          <w:rFonts w:ascii="Times" w:hAnsi="Times"/>
        </w:rPr>
        <w:t xml:space="preserve">. Mild TBI (mTBI) is defined as acute brain dysfunction resulting from impact or acceleration/deceleration which causes temporary alteration of consciousness, a short period of anterograde amnesia, and/or brief loss of consciousness </w:t>
      </w:r>
      <w:r w:rsidRPr="00C421E4">
        <w:rPr>
          <w:rFonts w:ascii="Times" w:hAnsi="Times"/>
        </w:rPr>
        <w:fldChar w:fldCharType="begin"/>
      </w:r>
      <w:r w:rsidRPr="00C421E4">
        <w:rPr>
          <w:rFonts w:ascii="Times" w:hAnsi="Times"/>
        </w:rPr>
        <w:instrText xml:space="preserve"> ADDIN ZOTERO_ITEM CSL_CITATION {"citationID":"237ii7d1q0","properties":{"formattedCitation":"(Levin &amp; Diaz-Arrastia, 2015)","plainCitation":"(Levin &amp; Diaz-Arrastia, 2015)"},"citationItems":[{"id":965,"uris":["http://zotero.org/users/4141602/items/DZWDV4IV"],"uri":["http://zotero.org/users/4141602/items/DZWDV4IV"],"itemData":{"id":965,"type":"article-journal","title":"Diagnosis, prognosis, and clinical management of mild traumatic brain injury","container-title":"The Lancet Neurology","page":"506-517","volume":"14","issue":"5","author":[{"family":"Levin","given":"Harvey S."},{"family":"Diaz-Arrastia","given":"Ramon R."}],"issued":{"date-parts":[["2015"]]}}}],"schema":"https://github.com/citation-style-language/schema/raw/master/csl-citation.json"} </w:instrText>
      </w:r>
      <w:r w:rsidRPr="00C421E4">
        <w:rPr>
          <w:rFonts w:ascii="Times" w:hAnsi="Times"/>
        </w:rPr>
        <w:fldChar w:fldCharType="separate"/>
      </w:r>
      <w:r w:rsidRPr="00C421E4">
        <w:rPr>
          <w:rFonts w:ascii="Times" w:hAnsi="Times"/>
          <w:noProof/>
        </w:rPr>
        <w:t>(Levin &amp; Diaz-</w:t>
      </w:r>
      <w:r w:rsidRPr="00C421E4">
        <w:rPr>
          <w:rFonts w:ascii="Times" w:hAnsi="Times"/>
          <w:noProof/>
        </w:rPr>
        <w:lastRenderedPageBreak/>
        <w:t>Arrastia, 2015)</w:t>
      </w:r>
      <w:r w:rsidRPr="00C421E4">
        <w:rPr>
          <w:rFonts w:ascii="Times" w:hAnsi="Times"/>
        </w:rPr>
        <w:fldChar w:fldCharType="end"/>
      </w:r>
      <w:r w:rsidRPr="00C421E4">
        <w:rPr>
          <w:rFonts w:ascii="Times" w:hAnsi="Times"/>
        </w:rPr>
        <w:t>. Given the increasing prevalence of mTBI, it is critical to assess the sequelae that may come as a consequence of these injuries.</w:t>
      </w:r>
    </w:p>
    <w:p w14:paraId="744A10CC" w14:textId="77777777" w:rsidR="00F7044C" w:rsidRPr="00C421E4" w:rsidRDefault="00F7044C" w:rsidP="00F7044C">
      <w:pPr>
        <w:spacing w:line="480" w:lineRule="auto"/>
        <w:rPr>
          <w:rFonts w:ascii="Times" w:hAnsi="Times"/>
        </w:rPr>
      </w:pPr>
    </w:p>
    <w:p w14:paraId="587358F2" w14:textId="77777777" w:rsidR="00F7044C" w:rsidRPr="00424E01" w:rsidRDefault="00F7044C" w:rsidP="00F7044C">
      <w:pPr>
        <w:tabs>
          <w:tab w:val="left" w:pos="5533"/>
        </w:tabs>
        <w:spacing w:line="480" w:lineRule="auto"/>
        <w:jc w:val="center"/>
        <w:outlineLvl w:val="0"/>
        <w:rPr>
          <w:rFonts w:ascii="Times" w:hAnsi="Times"/>
          <w:b/>
          <w:u w:val="single"/>
        </w:rPr>
      </w:pPr>
      <w:r>
        <w:rPr>
          <w:rFonts w:ascii="Times" w:hAnsi="Times"/>
          <w:b/>
          <w:u w:val="single"/>
        </w:rPr>
        <w:t xml:space="preserve">B. </w:t>
      </w:r>
      <w:r w:rsidRPr="00424E01">
        <w:rPr>
          <w:rFonts w:ascii="Times" w:hAnsi="Times"/>
          <w:b/>
          <w:u w:val="single"/>
        </w:rPr>
        <w:t>Neurobiology of mTBI</w:t>
      </w:r>
    </w:p>
    <w:p w14:paraId="5C28190C" w14:textId="77777777" w:rsidR="00F7044C" w:rsidRPr="00C421E4" w:rsidRDefault="00F7044C" w:rsidP="00F7044C">
      <w:pPr>
        <w:spacing w:line="480" w:lineRule="auto"/>
        <w:rPr>
          <w:rFonts w:ascii="Times" w:hAnsi="Times"/>
        </w:rPr>
      </w:pPr>
      <w:r w:rsidRPr="00C421E4">
        <w:rPr>
          <w:rFonts w:ascii="Times" w:hAnsi="Times"/>
        </w:rPr>
        <w:t xml:space="preserve">Although each TBI differs in cause and severity, brain injury can induce two forms of damage </w:t>
      </w:r>
      <w:r w:rsidRPr="00C421E4">
        <w:rPr>
          <w:rFonts w:ascii="Times" w:hAnsi="Times"/>
        </w:rPr>
        <w:fldChar w:fldCharType="begin"/>
      </w:r>
      <w:r w:rsidRPr="00C421E4">
        <w:rPr>
          <w:rFonts w:ascii="Times" w:hAnsi="Times"/>
        </w:rPr>
        <w:instrText xml:space="preserve"> ADDIN ZOTERO_ITEM CSL_CITATION {"citationID":"177fn2j3n7","properties":{"formattedCitation":"(Blennow, Hardy, &amp; Zetterberg, 2012)","plainCitation":"(Blennow, Hardy, &amp; Zetterberg, 2012)"},"citationItems":[{"id":472,"uris":["http://zotero.org/users/4141602/items/F8B8GJVU"],"uri":["http://zotero.org/users/4141602/items/F8B8GJVU"],"itemData":{"id":472,"type":"article-journal","title":"The Neuropathology and Neurobiology of Traumatic Brain Injury","container-title":"Neuron","page":"886-899","volume":"76","issue":"5","abstract":"The acute and long-term consequences of traumatic brain injury (TBI) have received increased attention in recent years. In this Review, we discuss the neuropathology and neural mechanisms associated with TBI, drawing on findings from sports-induced TBI in athletes, in whom acute TBI damages axons and elicits both regenerative and degenerative tissue responses in the brain and in whom repeated concussions may initiate a long-term neurodegenerative process called dementia pugilistica or chronic traumatic encephalopathy (CTE). We also consider how the neuropathology and neurobiology of CTE in many ways resembles other neurodegenerative illnesses such as Alzheimer@s disease, particularly with respect to mismetabolism and aggregation of tau, ??-amyloid, and TDP-43. Finally, we explore how translational research in animal models of acceleration/deceleration types of injury relevant for concussion together with clinical studies employing imaging and biochemical markers may further elucidate the neurobiology of TBI and CTE.","DOI":"10.1016/j.neuron.2012.11.021","ISSN":"1097-4199 (Electronic)\\r0896-6273 (Linking)","author":[{"family":"Blennow","given":"Kaj"},{"family":"Hardy","given":"John"},{"family":"Zetterberg","given":"Henrik"}],"issued":{"date-parts":[["2012"]]}}}],"schema":"https://github.com/citation-style-language/schema/raw/master/csl-citation.json"} </w:instrText>
      </w:r>
      <w:r w:rsidRPr="00C421E4">
        <w:rPr>
          <w:rFonts w:ascii="Times" w:hAnsi="Times"/>
        </w:rPr>
        <w:fldChar w:fldCharType="separate"/>
      </w:r>
      <w:r w:rsidRPr="00C421E4">
        <w:rPr>
          <w:rFonts w:ascii="Times" w:hAnsi="Times"/>
          <w:noProof/>
        </w:rPr>
        <w:t>(Blennow, Hardy, &amp; Zetterberg, 2012)</w:t>
      </w:r>
      <w:r w:rsidRPr="00C421E4">
        <w:rPr>
          <w:rFonts w:ascii="Times" w:hAnsi="Times"/>
        </w:rPr>
        <w:fldChar w:fldCharType="end"/>
      </w:r>
      <w:r w:rsidRPr="00C421E4">
        <w:rPr>
          <w:rFonts w:ascii="Times" w:hAnsi="Times"/>
        </w:rPr>
        <w:t xml:space="preserve">. First, focal cellular/neurochemical damage may occur at the site of injury. These effects, which arise when neuronal membranes are stretched or bent from trauma, induce a chemical cascade that results in excitatory neurotransmitter release, acidosis and edema. Diffuse axonal injury, a second form of damage, occurs when axons are stretched or sheared by brain movement, rotational forces, and acceleration/deceleration. This type of damage can occur with or without an impact, as axons may be stretched or sheared by rotation within the brain </w:t>
      </w:r>
      <w:r w:rsidRPr="00C421E4">
        <w:rPr>
          <w:rFonts w:ascii="Times" w:hAnsi="Times"/>
        </w:rPr>
        <w:fldChar w:fldCharType="begin" w:fldLock="1"/>
      </w:r>
      <w:r w:rsidRPr="00C421E4">
        <w:rPr>
          <w:rFonts w:ascii="Times" w:hAnsi="Times"/>
        </w:rPr>
        <w:instrText xml:space="preserve"> ADDIN ZOTERO_ITEM CSL_CITATION {"citationID":"QKW3BL4L","properties":{"formattedCitation":"(Broglio et al., 2014)","plainCitation":"(Broglio et al., 2014)"},"citationItems":[{"id":"ITEM-1","uris":["http://www.mendeley.com/documents/?uuid=1b1c534a-3824-4fec-87cf-6af381225b0a"],"uri":["http://www.mendeley.com/documents/?uuid=1b1c534a-3824-4fec-87cf-6af381225b0a"],"itemData":{"DOI":"10.4085/1062-6050-49.1.07","ISBN":"1938-162X (Electronic)\\r1062-6050 (Linking)","ISSN":"10626050","PMID":"24601910","abstract":"Objective: To provide athletic trainers, physicians, and other health care professionals with best-practice guidelines for the management of sport-related concussions. Background: An estimated 3.8 million concussions occur each year in the United States as a result of sport and physical activity. Athletic trainers are commonly the first medical providers available onsite to identify and evaluate these injuries.","author":[{"dropping-particle":"","family":"Broglio","given":"Steven P.","non-dropping-particle":"","parse-names":false,"suffix":""},{"dropping-particle":"","family":"Cantu","given":"Robert C.","non-dropping-particle":"","parse-names":false,"suffix":""},{"dropping-particle":"","family":"Gioia","given":"Gerard A.","non-dropping-particle":"","parse-names":false,"suffix":""},{"dropping-particle":"","family":"Guskiewicz","given":"Kevin M.","non-dropping-particle":"","parse-names":false,"suffix":""},{"dropping-particle":"","family":"Kutcher","given":"Jeffrey","non-dropping-particle":"","parse-names":false,"suffix":""},{"dropping-particle":"","family":"Palm","given":"Michael","non-dropping-particle":"","parse-names":false,"suffix":""},{"dropping-particle":"","family":"McLeod","given":"Tamara C Valovich","non-dropping-particle":"","parse-names":false,"suffix":""}],"container-title":"Journal of Athletic Training","id":"ITEM-1","issue":"2","issued":{"date-parts":[["2014"]]},"page":"245-265","title":"National athletic trainers' association position statement: Management of sport concussion","type":"article-journal","volume":"49"}}],"schema":"https://github.com/citation-style-language/schema/raw/master/csl-citation.json"} </w:instrText>
      </w:r>
      <w:r w:rsidRPr="00C421E4">
        <w:rPr>
          <w:rFonts w:ascii="Times" w:hAnsi="Times"/>
        </w:rPr>
        <w:fldChar w:fldCharType="separate"/>
      </w:r>
      <w:r w:rsidRPr="00C421E4">
        <w:rPr>
          <w:rFonts w:ascii="Times" w:hAnsi="Times"/>
          <w:noProof/>
        </w:rPr>
        <w:t>(Broglio et al., 2014)</w:t>
      </w:r>
      <w:r w:rsidRPr="00C421E4">
        <w:rPr>
          <w:rFonts w:ascii="Times" w:hAnsi="Times"/>
        </w:rPr>
        <w:fldChar w:fldCharType="end"/>
      </w:r>
      <w:r w:rsidRPr="00C421E4">
        <w:rPr>
          <w:rFonts w:ascii="Times" w:hAnsi="Times"/>
        </w:rPr>
        <w:t xml:space="preserve">. Axonal injury results in disrupted axonal transport and/or axonal swelling, which can ultimately lead to degeneration. </w:t>
      </w:r>
    </w:p>
    <w:p w14:paraId="0955D919" w14:textId="77777777" w:rsidR="00F7044C" w:rsidRPr="00C421E4" w:rsidRDefault="00F7044C" w:rsidP="00F7044C">
      <w:pPr>
        <w:spacing w:line="480" w:lineRule="auto"/>
        <w:rPr>
          <w:rFonts w:ascii="Times" w:hAnsi="Times"/>
        </w:rPr>
      </w:pPr>
    </w:p>
    <w:p w14:paraId="3D765199" w14:textId="77777777" w:rsidR="00F7044C" w:rsidRPr="00C421E4" w:rsidRDefault="00F7044C" w:rsidP="00F7044C">
      <w:pPr>
        <w:spacing w:line="480" w:lineRule="auto"/>
        <w:rPr>
          <w:rFonts w:ascii="Times" w:hAnsi="Times"/>
        </w:rPr>
      </w:pPr>
      <w:r w:rsidRPr="00C421E4">
        <w:rPr>
          <w:rFonts w:ascii="Times" w:hAnsi="Times"/>
        </w:rPr>
        <w:t xml:space="preserve">There are deep brain regions that may be affected by brain injury even when the impact is on the surface of the skull. Specifically, rotational forces tend to impact the orbitofrontal cortex and regions of temporal lobes (including the hippocampus), because these brain regions are likely to scrape against bony prominences on the base of the skull during rotation </w:t>
      </w:r>
      <w:r w:rsidRPr="00C421E4">
        <w:rPr>
          <w:rFonts w:ascii="Times" w:hAnsi="Times"/>
        </w:rPr>
        <w:fldChar w:fldCharType="begin" w:fldLock="1"/>
      </w:r>
      <w:r w:rsidRPr="00C421E4">
        <w:rPr>
          <w:rFonts w:ascii="Times" w:hAnsi="Times"/>
        </w:rPr>
        <w:instrText xml:space="preserve"> ADDIN ZOTERO_ITEM CSL_CITATION {"citationID":"8VKne5a6","properties":{"formattedCitation":"(Warriner &amp; Velikonja, 2006)","plainCitation":"(Warriner &amp; Velikonja, 2006)"},"citationItems":[{"id":"ITEM-1","uris":["http://www.mendeley.com/documents/?uuid=5a7c590f-a238-41e7-a600-666cb42ce176"],"uri":["http://www.mendeley.com/documents/?uuid=5a7c590f-a238-41e7-a600-666cb42ce176"],"itemData":{"DOI":"10.1007/s11920-006-0083-2","ISBN":"1523-3812 (Print)\\r1523-3812 (Linking)","ISSN":"1523-3812","PMID":"16513045","abstract":"Traumatic brain injuries (TBI) are frequently accompanied by psychiatric disturbances, which can include striking to relatively minor alterations in personality, behavior, and emotional regulation. The persistence of these neurobehavioral syndromes often leads to deleterious effects on recovery and rehabilitation outcomes. A recent surge of studies has emerged in the past several years to quantify the extent of psychiatric disorders in TBI and to describe differential clinical presentations. Various pre- and post-injury factors also have been hypothesized to contribute to the development and maintenance of psychiatric symptoms in survivors of brain injuries. The identification of high-risk individuals with distinct neuropathophysiological and psychosocial features permits the development of multidisciplinary and tailored approaches to the assessment, prevention, and management of the negative effects of personality and behavioral changes in TBI. This article summarizes the most recent research in these areas and highlights the gaps that need to be filled in subsequent future.","author":[{"dropping-particle":"","family":"Warriner","given":"Erin M","non-dropping-particle":"","parse-names":false,"suffix":""},{"dropping-particle":"","family":"Velikonja","given":"Diana","non-dropping-particle":"","parse-names":false,"suffix":""}],"container-title":"Current psychiatry reports","id":"ITEM-1","issue":"1","issued":{"date-parts":[["2006"]]},"page":"73-80","title":"Psychiatric disturbances after traumatic brain injury: neurobehavioral and personality changes.","type":"article-journal","volume":"8"}}],"schema":"https://github.com/citation-style-language/schema/raw/master/csl-citation.json"} </w:instrText>
      </w:r>
      <w:r w:rsidRPr="00C421E4">
        <w:rPr>
          <w:rFonts w:ascii="Times" w:hAnsi="Times"/>
        </w:rPr>
        <w:fldChar w:fldCharType="separate"/>
      </w:r>
      <w:r w:rsidRPr="00C421E4">
        <w:rPr>
          <w:rFonts w:ascii="Times" w:hAnsi="Times"/>
          <w:noProof/>
        </w:rPr>
        <w:t>(Warriner &amp; Velikonja, 2006)</w:t>
      </w:r>
      <w:r w:rsidRPr="00C421E4">
        <w:rPr>
          <w:rFonts w:ascii="Times" w:hAnsi="Times"/>
        </w:rPr>
        <w:fldChar w:fldCharType="end"/>
      </w:r>
      <w:r w:rsidRPr="00C421E4">
        <w:rPr>
          <w:rFonts w:ascii="Times" w:hAnsi="Times"/>
        </w:rPr>
        <w:t xml:space="preserve">. Prefrontal and temporal damage may lead to the disruption of the structurally linked limbic system, which is involved in memory, affective processing, and modulation of emotion. </w:t>
      </w:r>
    </w:p>
    <w:p w14:paraId="7F25394A" w14:textId="77777777" w:rsidR="00F7044C" w:rsidRPr="00C421E4" w:rsidRDefault="00F7044C" w:rsidP="00F7044C">
      <w:pPr>
        <w:spacing w:line="480" w:lineRule="auto"/>
        <w:rPr>
          <w:rFonts w:ascii="Times" w:hAnsi="Times"/>
        </w:rPr>
      </w:pPr>
    </w:p>
    <w:p w14:paraId="5213BC80" w14:textId="77777777" w:rsidR="00F7044C" w:rsidRPr="00C421E4" w:rsidRDefault="00F7044C" w:rsidP="00F7044C">
      <w:pPr>
        <w:spacing w:line="480" w:lineRule="auto"/>
        <w:rPr>
          <w:rFonts w:ascii="Times" w:hAnsi="Times"/>
        </w:rPr>
      </w:pPr>
      <w:r w:rsidRPr="00C421E4">
        <w:rPr>
          <w:rFonts w:ascii="Times" w:hAnsi="Times"/>
        </w:rPr>
        <w:lastRenderedPageBreak/>
        <w:t xml:space="preserve">Neuroimaging studies have identified subtle but potentially meaningful axonal damage years after an mTBI. The most compelling evidence comes from studies utilizing diffusion tensor imaging (DTI). DTI gauges white matter tract integrity by calculating diffusion of water in the brain. The most typical measure of DTI, factional anisotropy (FA) measures diffusivity of water within a tract, ranging from 0 (i.e., unrestricted, random flow) to 1 (flow occurring in the same direction). In theory, unbroken, strong myelin tracts, which would facilitate a strong connection between cortical areas, will restrict water flow, resulting in a high FA. Consequently, low FA represents “broken” or weak connectivity between cortical areas. White matter (comprising axons) is vulnerable to the shearing forces associated with brain injury </w:t>
      </w:r>
      <w:r w:rsidRPr="00C421E4">
        <w:rPr>
          <w:rFonts w:ascii="Times" w:hAnsi="Times"/>
        </w:rPr>
        <w:fldChar w:fldCharType="begin" w:fldLock="1"/>
      </w:r>
      <w:r w:rsidRPr="00C421E4">
        <w:rPr>
          <w:rFonts w:ascii="Times" w:hAnsi="Times"/>
        </w:rPr>
        <w:instrText xml:space="preserve"> ADDIN ZOTERO_ITEM CSL_CITATION {"citationID":"i2tWHBVq","properties":{"formattedCitation":"(Frost, 2011)","plainCitation":"(Frost, 2011)"},"citationItems":[{"id":"ITEM-1","uris":["http://www.mendeley.com/documents/?uuid=4d00d7f8-35d6-41e2-821a-586e9ea98fde"],"uri":["http://www.mendeley.com/documents/?uuid=4d00d7f8-35d6-41e2-821a-586e9ea98fde"],"itemData":{"author":[{"dropping-particle":"","family":"Frost","given":"C","non-dropping-particle":"","parse-names":false,"suffix":""}],"container-title":"Dissertation","id":"ITEM-1","issued":{"date-parts":[["2011"]]},"title":"Anatomy of the Concussion: More Serious than Meets the Eye?","type":"article-journal"}}],"schema":"https://github.com/citation-style-language/schema/raw/master/csl-citation.json"} </w:instrText>
      </w:r>
      <w:r w:rsidRPr="00C421E4">
        <w:rPr>
          <w:rFonts w:ascii="Times" w:hAnsi="Times"/>
        </w:rPr>
        <w:fldChar w:fldCharType="separate"/>
      </w:r>
      <w:r w:rsidRPr="00C421E4">
        <w:rPr>
          <w:rFonts w:ascii="Times" w:hAnsi="Times"/>
          <w:noProof/>
        </w:rPr>
        <w:t>(Frost, 2011)</w:t>
      </w:r>
      <w:r w:rsidRPr="00C421E4">
        <w:rPr>
          <w:rFonts w:ascii="Times" w:hAnsi="Times"/>
        </w:rPr>
        <w:fldChar w:fldCharType="end"/>
      </w:r>
      <w:r w:rsidRPr="00C421E4">
        <w:rPr>
          <w:rFonts w:ascii="Times" w:hAnsi="Times"/>
        </w:rPr>
        <w:t xml:space="preserve">, and it follows that FA reductions have been identified globally </w:t>
      </w:r>
      <w:r w:rsidRPr="00C421E4">
        <w:rPr>
          <w:rFonts w:ascii="Times" w:hAnsi="Times"/>
        </w:rPr>
        <w:fldChar w:fldCharType="begin" w:fldLock="1"/>
      </w:r>
      <w:r w:rsidRPr="00C421E4">
        <w:rPr>
          <w:rFonts w:ascii="Times" w:hAnsi="Times"/>
        </w:rPr>
        <w:instrText xml:space="preserve"> ADDIN ZOTERO_ITEM CSL_CITATION {"citationID":"YUz9RUX8","properties":{"formattedCitation":"(Lipton et al., 2008)","plainCitation":"(Lipton et al., 2008)"},"citationItems":[{"id":"ITEM-1","uris":["http://www.mendeley.com/documents/?uuid=0649c427-bd19-4a03-a068-70c070071a67"],"uri":["http://www.mendeley.com/documents/?uuid=0649c427-bd19-4a03-a068-70c070071a67"],"itemData":{"DOI":"10.1089/neu.2008.0547","ISBN":"0897-7151 (Print)\\r0897-7151 (Linking)","ISSN":"0897-7151","PMID":"19061376","abstract":"The purpose of the present study is to identify otherwise occult white matter abnormalities in patients suffering persistent cognitive impairment due to mild traumatic brain injury (TBI). The study had Institutional Review Board (IRB) approval, included informed consent and complied with the U.S. Health Insurance Portability and Accountability Act (HIPAA) of 1996. We retrospectively analyzed diffusion tensor MRI (DTI) of 17 patients (nine women, eight men; age range 26-70 years) who had cognitive impairment due to mild TBI that occurred 8 months to 3 years prior to imaging. Comparison was made to 10 healthy controls. Fractional anisotropy (FA) and mean diffusivity (MD) images derived from DTI (1.5 T; 25 directions; b = 1000) were compared using whole brain histogram and voxel-wise analyses. Histograms of white matter FA show an overall shift toward lower FA in patients. Areas of significantly decreased FA (p &lt; 0.005) were found in the subject group in corpus callosum, subcortical white matter, and internal capsules bilaterally. Co-located elevation of mean diffusivity (MD) was found in the patients within each region. Similar, though less extensive, findings were demonstrated in each individual patient. Multiple foci of low white matter FA and high MD are present in cognitively impaired mild TBI patients, with a distribution that conforms to that of diffuse axonal injury. Evaluation of single subjects also reveals foci of low FA, suggesting that DTI may ultimately be useful for clinical evaluation of individual patients.","author":[{"dropping-particle":"","family":"Lipton","given":"Michael L","non-dropping-particle":"","parse-names":false,"suffix":""},{"dropping-particle":"","family":"Gellella","given":"Erik","non-dropping-particle":"","parse-names":false,"suffix":""},{"dropping-particle":"","family":"Lo","given":"Calvin","non-dropping-particle":"","parse-names":false,"suffix":""},{"dropping-particle":"","family":"Gold","given":"Tamar","non-dropping-particle":"","parse-names":false,"suffix":""},{"dropping-particle":"","family":"Ardekani","given":"Babak a","non-dropping-particle":"","parse-names":false,"suffix":""},{"dropping-particle":"","family":"Shifteh","given":"Keivan","non-dropping-particle":"","parse-names":false,"suffix":""},{"dropping-particle":"","family":"Bello","given":"Jacqueline a","non-dropping-particle":"","parse-names":false,"suffix":""},{"dropping-particle":"","family":"Branch","given":"Craig a","non-dropping-particle":"","parse-names":false,"suffix":""}],"container-title":"Journal of neurotrauma","id":"ITEM-1","issue":"11","issued":{"date-parts":[["2008"]]},"page":"1335-1342","title":"Multifocal white matter ultrastructural abnormalities in mild traumatic brain injury with cognitive disability: a voxel-wise analysis of diffusion tensor imaging.","type":"article-journal","volume":"25"}}],"schema":"https://github.com/citation-style-language/schema/raw/master/csl-citation.json"} </w:instrText>
      </w:r>
      <w:r w:rsidRPr="00C421E4">
        <w:rPr>
          <w:rFonts w:ascii="Times" w:hAnsi="Times"/>
        </w:rPr>
        <w:fldChar w:fldCharType="separate"/>
      </w:r>
      <w:r w:rsidRPr="00C421E4">
        <w:rPr>
          <w:rFonts w:ascii="Times" w:hAnsi="Times"/>
          <w:noProof/>
        </w:rPr>
        <w:t>(Lipton et al., 2008)</w:t>
      </w:r>
      <w:r w:rsidRPr="00C421E4">
        <w:rPr>
          <w:rFonts w:ascii="Times" w:hAnsi="Times"/>
        </w:rPr>
        <w:fldChar w:fldCharType="end"/>
      </w:r>
      <w:r w:rsidRPr="00C421E4">
        <w:rPr>
          <w:rFonts w:ascii="Times" w:hAnsi="Times"/>
        </w:rPr>
        <w:t xml:space="preserve">, in the corpus callosum </w:t>
      </w:r>
      <w:r w:rsidRPr="00C421E4">
        <w:rPr>
          <w:rFonts w:ascii="Times" w:hAnsi="Times"/>
        </w:rPr>
        <w:fldChar w:fldCharType="begin" w:fldLock="1"/>
      </w:r>
      <w:r w:rsidRPr="00C421E4">
        <w:rPr>
          <w:rFonts w:ascii="Times" w:hAnsi="Times"/>
        </w:rPr>
        <w:instrText xml:space="preserve"> ADDIN ZOTERO_ITEM CSL_CITATION {"citationID":"J6IhPKTw","properties":{"formattedCitation":"(Grossman et al., 2012; Lipton et al., 2008; Lo, Shifteh, Gold, Bello, &amp; Lipton, 2009)","plainCitation":"(Grossman et al., 2012; Lipton et al., 2008; Lo, Shifteh, Gold, Bello, &amp; Lipton, 2009)"},"citationItems":[{"id":"ITEM-1","uris":["http://www.mendeley.com/documents/?uuid=0649c427-bd19-4a03-a068-70c070071a67"],"uri":["http://www.mendeley.com/documents/?uuid=0649c427-bd19-4a03-a068-70c070071a67"],"itemData":{"DOI":"10.1089/neu.2008.0547","ISBN":"0897-7151 (Print)\\r0897-7151 (Linking)","ISSN":"0897-7151","PMID":"19061376","abstract":"The purpose of the present study is to identify otherwise occult white matter abnormalities in patients suffering persistent cognitive impairment due to mild traumatic brain injury (TBI). The study had Institutional Review Board (IRB) approval, included informed consent and complied with the U.S. Health Insurance Portability and Accountability Act (HIPAA) of 1996. We retrospectively analyzed diffusion tensor MRI (DTI) of 17 patients (nine women, eight men; age range 26-70 years) who had cognitive impairment due to mild TBI that occurred 8 months to 3 years prior to imaging. Comparison was made to 10 healthy controls. Fractional anisotropy (FA) and mean diffusivity (MD) images derived from DTI (1.5 T; 25 directions; b = 1000) were compared using whole brain histogram and voxel-wise analyses. Histograms of white matter FA show an overall shift toward lower FA in patients. Areas of significantly decreased FA (p &lt; 0.005) were found in the subject group in corpus callosum, subcortical white matter, and internal capsules bilaterally. Co-located elevation of mean diffusivity (MD) was found in the patients within each region. Similar, though less extensive, findings were demonstrated in each individual patient. Multiple foci of low white matter FA and high MD are present in cognitively impaired mild TBI patients, with a distribution that conforms to that of diffuse axonal injury. Evaluation of single subjects also reveals foci of low FA, suggesting that DTI may ultimately be useful for clinical evaluation of individual patients.","author":[{"dropping-particle":"","family":"Lipton","given":"Michael L","non-dropping-particle":"","parse-names":false,"suffix":""},{"dropping-particle":"","family":"Gellella","given":"Erik","non-dropping-particle":"","parse-names":false,"suffix":""},{"dropping-particle":"","family":"Lo","given":"Calvin","non-dropping-particle":"","parse-names":false,"suffix":""},{"dropping-particle":"","family":"Gold","given":"Tamar","non-dropping-particle":"","parse-names":false,"suffix":""},{"dropping-particle":"","family":"Ardekani","given":"Babak a","non-dropping-particle":"","parse-names":false,"suffix":""},{"dropping-particle":"","family":"Shifteh","given":"Keivan","non-dropping-particle":"","parse-names":false,"suffix":""},{"dropping-particle":"","family":"Bello","given":"Jacqueline a","non-dropping-particle":"","parse-names":false,"suffix":""},{"dropping-particle":"","family":"Branch","given":"Craig a","non-dropping-particle":"","parse-names":false,"suffix":""}],"container-title":"Journal of neurotrauma","id":"ITEM-1","issue":"11","issued":{"date-parts":[["2008"]]},"page":"1335-1342","title":"Multifocal white matter ultrastructural abnormalities in mild traumatic brain injury with cognitive disability: a voxel-wise analysis of diffusion tensor imaging.","type":"article-journal","volume":"25"}},{"id":"ITEM-2","uris":["http://www.mendeley.com/documents/?uuid=6e4f72e8-d669-4a34-a78c-1f8fdbdf13dd"],"uri":["http://www.mendeley.com/documents/?uuid=6e4f72e8-d669-4a34-a78c-1f8fdbdf13dd"],"itemData":{"DOI":"10.1097/RCT.0b013e31817579d1","ISBN":"1532-3145 (Electronic)\\r0363-8715 (Linking)","PMID":"19346863","abstract":"OBJECTIVE: To determine if diffusion tensor imaging can differentiate patients with chronic cognitive impairment after mild traumatic brain injury (TBI) from normal controls. METHODS: Ten patients with persistent cognitive impairment after mild TBI were evaluated at least 2 years after injury. Fractional anisotropy (FA) and apparent diffusion coefficient (ADC) were measured at white matter regions susceptible to axonal injury after TBI. Comparison was made to 10 normal controls. RESULTS: Fractional anisotropy was significantly lower (4.5%; P = 0.01) and ADC higher (7.1%; P = 0.04) in patients at the left side of the genu of the corpus callosum. The mild TBI group also demonstrated a significant increase in FA within the posterior limb of the internal capsule bilaterally (left, 5.1%; P = 0.03; right, 1.9%; P = 0.04). CONCLUSIONS: These results demonstrate low FA and high ADC in the genu of the corpus callosum of mild TBI patients with persistent cognitive impairment, suggesting that permanent white matter ultrastructural damage occurs in mild TBI, and that such damage may be associated with persistent cognitive disability. Further longitudinal studies are warranted to elucidate the full importance of the findings.","author":[{"dropping-particle":"","family":"Lo","given":"C","non-dropping-particle":"","parse-names":false,"suffix":""},{"dropping-particle":"","family":"Shifteh","given":"K","non-dropping-particle":"","parse-names":false,"suffix":""},{"dropping-particle":"","family":"Gold","given":"T","non-dropping-particle":"","parse-names":false,"suffix":""},{"dropping-particle":"","family":"Bello","given":"J A","non-dropping-particle":"","parse-names":false,"suffix":""},{"dropping-particle":"","family":"Lipton","given":"M L","non-dropping-particle":"","parse-names":false,"suffix":""}],"container-title":"J Comput Assist Tomogr","id":"ITEM-2","issued":{"date-parts":[["2009"]]},"page":"293-297","title":"Diffusion tensor imaging abnormalities in patients with mild traumatic brain injury and neurocognitive impairment","type":"article-journal","volume":"33"}},{"id":"ITEM-3","uris":["http://www.mendeley.com/documents/?uuid=a90a6f09-4357-47f7-9311-f87312c0489f"],"uri":["http://www.mendeley.com/documents/?uuid=a90a6f09-4357-47f7-9311-f87312c0489f"],"itemData":{"DOI":"10.1089/neu.2011.1763","ISBN":"1557-9042 (Electronic)\\r0897-7151 (Linking)","ISSN":"0897-7151","PMID":"21639753","abstract":"Conventional imaging is unable to detect damage that accounts for permanent cognitive impairment in patients with mild traumatic brain injury (mTBI). While diffusion tensor imaging (DTI) can help to detect diffuse axonal injury (DAI), it is a limited indicator of tissue complexity. It has also been suggested that the thalamus may play an important role in the development of clinical sequelae in mTBI. The purpose of this study was to determine if diffusional kurtosis imaging (DKI), a novel quantitative magnetic resonance imaging (MRI) technique, can provide early detection of damage in the thalamus and white matter (WM) of mTBI patients, and can help ascertain if thalamic injury is associated with cognitive impairment. Twenty-two mTBI patients and 14 controls underwent MRI and neuropsychological testing. Mean kurtosis (MK), fractional anisotropy (FA), and mean diffusivity (MD) were measured in the thalamus and several WM regions classically identified with DAI. Compared to controls, patients examined within 1 year after injury exhibited variously altered DTI- and DKI-derived measures in the thalamus and the internal capsule, while in addition to these regions, patients examined more than 1 year after injury also showed similar differences in the splenium of the corpus callosum and the centrum semiovale. Cognitive impairment was correlated with MK in the thalamus and the internal capsule. These findings suggest that combined use of DTI and DKI provides a more sensitive tool for identifying brain injury. In addition, MK in the thalamus might be useful for early prediction of permanent brain damage and cognitive outcome.","author":[{"dropping-particle":"","family":"Grossman","given":"Elan J.","non-dropping-particle":"","parse-names":false,"suffix":""},{"dropping-particle":"","family":"Ge","given":"Yulin","non-dropping-particle":"","parse-names":false,"suffix":""},{"dropping-particle":"","family":"Jensen","given":"Jens H.","non-dropping-particle":"","parse-names":false,"suffix":""},{"dropping-particle":"","family":"Babb","given":"James S.","non-dropping-particle":"","parse-names":false,"suffix":""},{"dropping-particle":"","family":"Miles","given":"Laura","non-dropping-particle":"","parse-names":false,"suffix":""},{"dropping-particle":"","family":"Reaume","given":"Joseph","non-dropping-particle":"","parse-names":false,"suffix":""},{"dropping-particle":"","family":"Silver","given":"Jonathan M.","non-dropping-particle":"","parse-names":false,"suffix":""},{"dropping-particle":"","family":"Grossman","given":"Robert I.","non-dropping-particle":"","parse-names":false,"suffix":""},{"dropping-particle":"","family":"Inglese","given":"Matilde","non-dropping-particle":"","parse-names":false,"suffix":""}],"container-title":"Journal of Neurotrauma","id":"ITEM-3","issued":{"date-parts":[["2012"]]},"page":"2318-2327","title":"Thalamus and Cognitive Impairment in Mild Traumatic Brain Injury: A Diffusional Kurtosis Imaging Study","type":"article-journal","volume":"29"}}],"schema":"https://github.com/citation-style-language/schema/raw/master/csl-citation.json"} </w:instrText>
      </w:r>
      <w:r w:rsidRPr="00C421E4">
        <w:rPr>
          <w:rFonts w:ascii="Times" w:hAnsi="Times"/>
        </w:rPr>
        <w:fldChar w:fldCharType="separate"/>
      </w:r>
      <w:r w:rsidRPr="00C421E4">
        <w:rPr>
          <w:rFonts w:ascii="Times" w:hAnsi="Times"/>
          <w:noProof/>
        </w:rPr>
        <w:t>(Grossman et al., 2012; Lipton et al., 2008; Lo, Shifteh, Gold, Bello, &amp; Lipton, 2009)</w:t>
      </w:r>
      <w:r w:rsidRPr="00C421E4">
        <w:rPr>
          <w:rFonts w:ascii="Times" w:hAnsi="Times"/>
        </w:rPr>
        <w:fldChar w:fldCharType="end"/>
      </w:r>
      <w:r w:rsidRPr="00C421E4">
        <w:rPr>
          <w:rFonts w:ascii="Times" w:hAnsi="Times"/>
        </w:rPr>
        <w:t xml:space="preserve">, surrounding the dorsolateral prefrontal cortex </w:t>
      </w:r>
      <w:r w:rsidRPr="00C421E4">
        <w:rPr>
          <w:rFonts w:ascii="Times" w:hAnsi="Times"/>
        </w:rPr>
        <w:fldChar w:fldCharType="begin" w:fldLock="1"/>
      </w:r>
      <w:r w:rsidRPr="00C421E4">
        <w:rPr>
          <w:rFonts w:ascii="Times" w:hAnsi="Times"/>
        </w:rPr>
        <w:instrText xml:space="preserve"> ADDIN ZOTERO_ITEM CSL_CITATION {"citationID":"yxcj8IHS","properties":{"formattedCitation":"(Lipton et al., 2008)","plainCitation":"(Lipton et al., 2008)"},"citationItems":[{"id":"ITEM-1","uris":["http://www.mendeley.com/documents/?uuid=0649c427-bd19-4a03-a068-70c070071a67"],"uri":["http://www.mendeley.com/documents/?uuid=0649c427-bd19-4a03-a068-70c070071a67"],"itemData":{"DOI":"10.1089/neu.2008.0547","ISBN":"0897-7151 (Print)\\r0897-7151 (Linking)","ISSN":"0897-7151","PMID":"19061376","abstract":"The purpose of the present study is to identify otherwise occult white matter abnormalities in patients suffering persistent cognitive impairment due to mild traumatic brain injury (TBI). The study had Institutional Review Board (IRB) approval, included informed consent and complied with the U.S. Health Insurance Portability and Accountability Act (HIPAA) of 1996. We retrospectively analyzed diffusion tensor MRI (DTI) of 17 patients (nine women, eight men; age range 26-70 years) who had cognitive impairment due to mild TBI that occurred 8 months to 3 years prior to imaging. Comparison was made to 10 healthy controls. Fractional anisotropy (FA) and mean diffusivity (MD) images derived from DTI (1.5 T; 25 directions; b = 1000) were compared using whole brain histogram and voxel-wise analyses. Histograms of white matter FA show an overall shift toward lower FA in patients. Areas of significantly decreased FA (p &lt; 0.005) were found in the subject group in corpus callosum, subcortical white matter, and internal capsules bilaterally. Co-located elevation of mean diffusivity (MD) was found in the patients within each region. Similar, though less extensive, findings were demonstrated in each individual patient. Multiple foci of low white matter FA and high MD are present in cognitively impaired mild TBI patients, with a distribution that conforms to that of diffuse axonal injury. Evaluation of single subjects also reveals foci of low FA, suggesting that DTI may ultimately be useful for clinical evaluation of individual patients.","author":[{"dropping-particle":"","family":"Lipton","given":"Michael L","non-dropping-particle":"","parse-names":false,"suffix":""},{"dropping-particle":"","family":"Gellella","given":"Erik","non-dropping-particle":"","parse-names":false,"suffix":""},{"dropping-particle":"","family":"Lo","given":"Calvin","non-dropping-particle":"","parse-names":false,"suffix":""},{"dropping-particle":"","family":"Gold","given":"Tamar","non-dropping-particle":"","parse-names":false,"suffix":""},{"dropping-particle":"","family":"Ardekani","given":"Babak a","non-dropping-particle":"","parse-names":false,"suffix":""},{"dropping-particle":"","family":"Shifteh","given":"Keivan","non-dropping-particle":"","parse-names":false,"suffix":""},{"dropping-particle":"","family":"Bello","given":"Jacqueline a","non-dropping-particle":"","parse-names":false,"suffix":""},{"dropping-particle":"","family":"Branch","given":"Craig a","non-dropping-particle":"","parse-names":false,"suffix":""}],"container-title":"Journal of neurotrauma","id":"ITEM-1","issue":"11","issued":{"date-parts":[["2008"]]},"page":"1335-1342","title":"Multifocal white matter ultrastructural abnormalities in mild traumatic brain injury with cognitive disability: a voxel-wise analysis of diffusion tensor imaging.","type":"article-journal","volume":"25"}}],"schema":"https://github.com/citation-style-language/schema/raw/master/csl-citation.json"} </w:instrText>
      </w:r>
      <w:r w:rsidRPr="00C421E4">
        <w:rPr>
          <w:rFonts w:ascii="Times" w:hAnsi="Times"/>
        </w:rPr>
        <w:fldChar w:fldCharType="separate"/>
      </w:r>
      <w:r w:rsidRPr="00C421E4">
        <w:rPr>
          <w:rFonts w:ascii="Times" w:hAnsi="Times"/>
          <w:noProof/>
        </w:rPr>
        <w:t>(Lipton et al., 2008)</w:t>
      </w:r>
      <w:r w:rsidRPr="00C421E4">
        <w:rPr>
          <w:rFonts w:ascii="Times" w:hAnsi="Times"/>
        </w:rPr>
        <w:fldChar w:fldCharType="end"/>
      </w:r>
      <w:r w:rsidRPr="00C421E4">
        <w:rPr>
          <w:rFonts w:ascii="Times" w:hAnsi="Times"/>
        </w:rPr>
        <w:t xml:space="preserve">, in the internal capsule, </w:t>
      </w:r>
      <w:r w:rsidRPr="00C421E4">
        <w:rPr>
          <w:rFonts w:ascii="Times" w:hAnsi="Times"/>
        </w:rPr>
        <w:fldChar w:fldCharType="begin" w:fldLock="1"/>
      </w:r>
      <w:r w:rsidRPr="00C421E4">
        <w:rPr>
          <w:rFonts w:ascii="Times" w:hAnsi="Times"/>
        </w:rPr>
        <w:instrText xml:space="preserve"> ADDIN ZOTERO_ITEM CSL_CITATION {"citationID":"UBpGEUKP","properties":{"formattedCitation":"(Grossman et al., 2012; Lipton et al., 2009)","plainCitation":"(Grossman et al., 2012; Lipton et al., 2009)"},"citationItems":[{"id":"ITEM-1","uris":["http://www.mendeley.com/documents/?uuid=a90a6f09-4357-47f7-9311-f87312c0489f"],"uri":["http://www.mendeley.com/documents/?uuid=a90a6f09-4357-47f7-9311-f87312c0489f"],"itemData":{"DOI":"10.1089/neu.2011.1763","ISBN":"1557-9042 (Electronic)\\r0897-7151 (Linking)","ISSN":"0897-7151","PMID":"21639753","abstract":"Conventional imaging is unable to detect damage that accounts for permanent cognitive impairment in patients with mild traumatic brain injury (mTBI). While diffusion tensor imaging (DTI) can help to detect diffuse axonal injury (DAI), it is a limited indicator of tissue complexity. It has also been suggested that the thalamus may play an important role in the development of clinical sequelae in mTBI. The purpose of this study was to determine if diffusional kurtosis imaging (DKI), a novel quantitative magnetic resonance imaging (MRI) technique, can provide early detection of damage in the thalamus and white matter (WM) of mTBI patients, and can help ascertain if thalamic injury is associated with cognitive impairment. Twenty-two mTBI patients and 14 controls underwent MRI and neuropsychological testing. Mean kurtosis (MK), fractional anisotropy (FA), and mean diffusivity (MD) were measured in the thalamus and several WM regions classically identified with DAI. Compared to controls, patients examined within 1 year after injury exhibited variously altered DTI- and DKI-derived measures in the thalamus and the internal capsule, while in addition to these regions, patients examined more than 1 year after injury also showed similar differences in the splenium of the corpus callosum and the centrum semiovale. Cognitive impairment was correlated with MK in the thalamus and the internal capsule. These findings suggest that combined use of DTI and DKI provides a more sensitive tool for identifying brain injury. In addition, MK in the thalamus might be useful for early prediction of permanent brain damage and cognitive outcome.","author":[{"dropping-particle":"","family":"Grossman","given":"Elan J.","non-dropping-particle":"","parse-names":false,"suffix":""},{"dropping-particle":"","family":"Ge","given":"Yulin","non-dropping-particle":"","parse-names":false,"suffix":""},{"dropping-particle":"","family":"Jensen","given":"Jens H.","non-dropping-particle":"","parse-names":false,"suffix":""},{"dropping-particle":"","family":"Babb","given":"James S.","non-dropping-particle":"","parse-names":false,"suffix":""},{"dropping-particle":"","family":"Miles","given":"Laura","non-dropping-particle":"","parse-names":false,"suffix":""},{"dropping-particle":"","family":"Reaume","given":"Joseph","non-dropping-particle":"","parse-names":false,"suffix":""},{"dropping-particle":"","family":"Silver","given":"Jonathan M.","non-dropping-particle":"","parse-names":false,"suffix":""},{"dropping-particle":"","family":"Grossman","given":"Robert I.","non-dropping-particle":"","parse-names":false,"suffix":""},{"dropping-particle":"","family":"Inglese","given":"Matilde","non-dropping-particle":"","parse-names":false,"suffix":""}],"container-title":"Journal of Neurotrauma","id":"ITEM-1","issued":{"date-parts":[["2012"]]},"page":"2318-2327","title":"Thalamus and Cognitive Impairment in Mild Traumatic Brain Injury: A Diffusional Kurtosis Imaging Study","type":"article-journal","volume":"29"}},{"id":"ITEM-2","uris":["http://www.mendeley.com/documents/?uuid=43e4f44a-0f9c-4f08-8db9-606d0df1ada7"],"uri":["http://www.mendeley.com/documents/?uuid=43e4f44a-0f9c-4f08-8db9-606d0df1ada7"],"itemData":{"DOI":"10.1148/radiol.2523081584","ISBN":"1527-1315 (Electronic)\\r0033-8419 (Linking)","ISSN":"1527-1315","PMID":"19567646","abstract":"To determine whether frontal white matter diffusion abnormalities can help predict acute executive function impairment after mild traumatic brain injury (mTBI).","author":[{"dropping-particle":"","family":"Lipton","given":"Michael L","non-dropping-particle":"","parse-names":false,"suffix":""},{"dropping-particle":"","family":"Gulko","given":"Edwin","non-dropping-particle":"","parse-names":false,"suffix":""},{"dropping-particle":"","family":"Zimmerman","given":"Molly E","non-dropping-particle":"","parse-names":false,"suffix":""},{"dropping-particle":"","family":"Friedman","given":"Benjamin W","non-dropping-particle":"","parse-names":false,"suffix":""},{"dropping-particle":"","family":"Kim","given":"Mimi","non-dropping-particle":"","parse-names":false,"suffix":""},{"dropping-particle":"","family":"Gellella","given":"Erik","non-dropping-particle":"","parse-names":false,"suffix":""},{"dropping-particle":"","family":"Gold","given":"Tamar","non-dropping-particle":"","parse-names":false,"suffix":""},{"dropping-particle":"","family":"Shifteh","given":"Keivan","non-dropping-particle":"","parse-names":false,"suffix":""},{"dropping-particle":"","family":"Ardekani","given":"Babak A","non-dropping-particle":"","parse-names":false,"suffix":""},{"dropping-particle":"","family":"Branch","given":"Craig A","non-dropping-particle":"","parse-names":false,"suffix":""}],"container-title":"Radiology","id":"ITEM-2","issue":"3","issued":{"date-parts":[["2009"]]},"page":"816-24","title":"Diffusion-tensor imaging implicates prefrontal axonal injury in executive function impairment following very mild traumatic brain injury.","type":"article-journal","volume":"252"}}],"schema":"https://github.com/citation-style-language/schema/raw/master/csl-citation.json"} </w:instrText>
      </w:r>
      <w:r w:rsidRPr="00C421E4">
        <w:rPr>
          <w:rFonts w:ascii="Times" w:hAnsi="Times"/>
        </w:rPr>
        <w:fldChar w:fldCharType="separate"/>
      </w:r>
      <w:r w:rsidRPr="00C421E4">
        <w:rPr>
          <w:rFonts w:ascii="Times" w:hAnsi="Times"/>
          <w:noProof/>
        </w:rPr>
        <w:t>(Grossman et al., 2012; Lipton et al., 2009)</w:t>
      </w:r>
      <w:r w:rsidRPr="00C421E4">
        <w:rPr>
          <w:rFonts w:ascii="Times" w:hAnsi="Times"/>
        </w:rPr>
        <w:fldChar w:fldCharType="end"/>
      </w:r>
      <w:r w:rsidRPr="00C421E4">
        <w:rPr>
          <w:rFonts w:ascii="Times" w:hAnsi="Times"/>
        </w:rPr>
        <w:t xml:space="preserve">, and in the thalamus </w:t>
      </w:r>
      <w:r w:rsidRPr="00C421E4">
        <w:rPr>
          <w:rFonts w:ascii="Times" w:hAnsi="Times"/>
        </w:rPr>
        <w:fldChar w:fldCharType="begin" w:fldLock="1"/>
      </w:r>
      <w:r w:rsidRPr="00C421E4">
        <w:rPr>
          <w:rFonts w:ascii="Times" w:hAnsi="Times"/>
        </w:rPr>
        <w:instrText xml:space="preserve"> ADDIN ZOTERO_ITEM CSL_CITATION {"citationID":"Hdqi8Qhk","properties":{"formattedCitation":"(Grossman et al., 2012)","plainCitation":"(Grossman et al., 2012)"},"citationItems":[{"id":"ITEM-1","uris":["http://www.mendeley.com/documents/?uuid=a90a6f09-4357-47f7-9311-f87312c0489f"],"uri":["http://www.mendeley.com/documents/?uuid=a90a6f09-4357-47f7-9311-f87312c0489f"],"itemData":{"DOI":"10.1089/neu.2011.1763","ISBN":"1557-9042 (Electronic)\\r0897-7151 (Linking)","ISSN":"0897-7151","PMID":"21639753","abstract":"Conventional imaging is unable to detect damage that accounts for permanent cognitive impairment in patients with mild traumatic brain injury (mTBI). While diffusion tensor imaging (DTI) can help to detect diffuse axonal injury (DAI), it is a limited indicator of tissue complexity. It has also been suggested that the thalamus may play an important role in the development of clinical sequelae in mTBI. The purpose of this study was to determine if diffusional kurtosis imaging (DKI), a novel quantitative magnetic resonance imaging (MRI) technique, can provide early detection of damage in the thalamus and white matter (WM) of mTBI patients, and can help ascertain if thalamic injury is associated with cognitive impairment. Twenty-two mTBI patients and 14 controls underwent MRI and neuropsychological testing. Mean kurtosis (MK), fractional anisotropy (FA), and mean diffusivity (MD) were measured in the thalamus and several WM regions classically identified with DAI. Compared to controls, patients examined within 1 year after injury exhibited variously altered DTI- and DKI-derived measures in the thalamus and the internal capsule, while in addition to these regions, patients examined more than 1 year after injury also showed similar differences in the splenium of the corpus callosum and the centrum semiovale. Cognitive impairment was correlated with MK in the thalamus and the internal capsule. These findings suggest that combined use of DTI and DKI provides a more sensitive tool for identifying brain injury. In addition, MK in the thalamus might be useful for early prediction of permanent brain damage and cognitive outcome.","author":[{"dropping-particle":"","family":"Grossman","given":"Elan J.","non-dropping-particle":"","parse-names":false,"suffix":""},{"dropping-particle":"","family":"Ge","given":"Yulin","non-dropping-particle":"","parse-names":false,"suffix":""},{"dropping-particle":"","family":"Jensen","given":"Jens H.","non-dropping-particle":"","parse-names":false,"suffix":""},{"dropping-particle":"","family":"Babb","given":"James S.","non-dropping-particle":"","parse-names":false,"suffix":""},{"dropping-particle":"","family":"Miles","given":"Laura","non-dropping-particle":"","parse-names":false,"suffix":""},{"dropping-particle":"","family":"Reaume","given":"Joseph","non-dropping-particle":"","parse-names":false,"suffix":""},{"dropping-particle":"","family":"Silver","given":"Jonathan M.","non-dropping-particle":"","parse-names":false,"suffix":""},{"dropping-particle":"","family":"Grossman","given":"Robert I.","non-dropping-particle":"","parse-names":false,"suffix":""},{"dropping-particle":"","family":"Inglese","given":"Matilde","non-dropping-particle":"","parse-names":false,"suffix":""}],"container-title":"Journal of Neurotrauma","id":"ITEM-1","issued":{"date-parts":[["2012"]]},"page":"2318-2327","title":"Thalamus and Cognitive Impairment in Mild Traumatic Brain Injury: A Diffusional Kurtosis Imaging Study","type":"article-journal","volume":"29"}}],"schema":"https://github.com/citation-style-language/schema/raw/master/csl-citation.json"} </w:instrText>
      </w:r>
      <w:r w:rsidRPr="00C421E4">
        <w:rPr>
          <w:rFonts w:ascii="Times" w:hAnsi="Times"/>
        </w:rPr>
        <w:fldChar w:fldCharType="separate"/>
      </w:r>
      <w:r w:rsidRPr="00C421E4">
        <w:rPr>
          <w:rFonts w:ascii="Times" w:hAnsi="Times"/>
          <w:noProof/>
        </w:rPr>
        <w:t>(Grossman et al., 2012)</w:t>
      </w:r>
      <w:r w:rsidRPr="00C421E4">
        <w:rPr>
          <w:rFonts w:ascii="Times" w:hAnsi="Times"/>
        </w:rPr>
        <w:fldChar w:fldCharType="end"/>
      </w:r>
      <w:r w:rsidRPr="00C421E4">
        <w:rPr>
          <w:rFonts w:ascii="Times" w:hAnsi="Times"/>
        </w:rPr>
        <w:t xml:space="preserve"> following chronic mTBI. </w:t>
      </w:r>
    </w:p>
    <w:p w14:paraId="5A3354A3" w14:textId="77777777" w:rsidR="00F7044C" w:rsidRPr="00C421E4" w:rsidRDefault="00F7044C" w:rsidP="00F7044C">
      <w:pPr>
        <w:spacing w:line="480" w:lineRule="auto"/>
        <w:rPr>
          <w:rFonts w:ascii="Times" w:hAnsi="Times"/>
        </w:rPr>
      </w:pPr>
    </w:p>
    <w:p w14:paraId="7E42DEC2" w14:textId="77777777" w:rsidR="00F7044C" w:rsidRPr="00C421E4" w:rsidRDefault="00F7044C" w:rsidP="00F7044C">
      <w:pPr>
        <w:spacing w:line="480" w:lineRule="auto"/>
        <w:rPr>
          <w:rFonts w:ascii="Times" w:hAnsi="Times"/>
        </w:rPr>
      </w:pPr>
      <w:r w:rsidRPr="00C421E4">
        <w:rPr>
          <w:rFonts w:ascii="Times" w:hAnsi="Times"/>
        </w:rPr>
        <w:t xml:space="preserve">Damage to white matter may, in turn, influence gray matter integrity. A recent study that utilized magnetoencephalography (MEG), which measures electric currents in the brain, found abnormal low-frequency neuronal signals generating from 4-8 cortical (gray matter) regions within each mTBI participant. In the non-injured controls, however, these electric signals were not seen in a single region </w:t>
      </w:r>
      <w:r w:rsidRPr="00C421E4">
        <w:rPr>
          <w:rFonts w:ascii="Times" w:hAnsi="Times"/>
        </w:rPr>
        <w:fldChar w:fldCharType="begin" w:fldLock="1"/>
      </w:r>
      <w:r w:rsidRPr="00C421E4">
        <w:rPr>
          <w:rFonts w:ascii="Times" w:hAnsi="Times"/>
        </w:rPr>
        <w:instrText xml:space="preserve"> ADDIN ZOTERO_ITEM CSL_CITATION {"citationID":"NESW3NDe","properties":{"formattedCitation":"(Huang et al., 2012)","plainCitation":"(Huang et al., 2012)"},"citationItems":[{"id":"ITEM-1","uris":["http://www.mendeley.com/documents/?uuid=916be62c-a552-4c5d-af9a-a43c1dad3af9"],"uri":["http://www.mendeley.com/documents/?uuid=916be62c-a552-4c5d-af9a-a43c1dad3af9"],"itemData":{"author":[{"dropping-particle":"","family":"Huang","given":"M.X.","non-dropping-particle":"","parse-names":false,"suffix":""},{"dropping-particle":"","family":"Nichols","given":"S.","non-dropping-particle":"","parse-names":false,"suffix":""},{"dropping-particle":"","family":"Robb","given":"A.","non-dropping-particle":"","parse-names":false,"suffix":""},{"dropping-particle":"","family":"Angeles","given":"A.","non-dropping-particle":"","parse-names":false,"suffix":""},{"dropping-particle":"","family":"Drake","given":"A.","non-dropping-particle":"","parse-names":false,"suffix":""},{"dropping-particle":"","family":"Holland","given":"M.","non-dropping-particle":"","parse-names":false,"suffix":""},{"dropping-particle":"","family":"Asmussen","given":"S.","non-dropping-particle":"","parse-names":false,"suffix":""},{"dropping-particle":"","family":"D'Andrea","given":"J.","non-dropping-particle":"","parse-names":false,"suffix":""},{"dropping-particle":"","family":"Chun","given":"W.","non-dropping-particle":"","parse-names":false,"suffix":""},{"dropping-particle":"","family":"Levy","given":"M.","non-dropping-particle":"","parse-names":false,"suffix":""},{"dropping-particle":"","family":"Cui","given":"L.","non-dropping-particle":"","parse-names":false,"suffix":""}],"container-title":"NeuroImage","id":"ITEM-1","issue":"4","issued":{"date-parts":[["2012"]]},"page":"1067-1082","title":"An automatic MEG low-frequency source imaging approach for detecting injuries in mild and moderate TBI patients with blast and non-blast causes","type":"article-journal","volume":"61"}}],"schema":"https://github.com/citation-style-language/schema/raw/master/csl-citation.json"} </w:instrText>
      </w:r>
      <w:r w:rsidRPr="00C421E4">
        <w:rPr>
          <w:rFonts w:ascii="Times" w:hAnsi="Times"/>
        </w:rPr>
        <w:fldChar w:fldCharType="separate"/>
      </w:r>
      <w:r w:rsidRPr="00C421E4">
        <w:rPr>
          <w:rFonts w:ascii="Times" w:hAnsi="Times"/>
          <w:noProof/>
        </w:rPr>
        <w:t>(Huang et al., 2012)</w:t>
      </w:r>
      <w:r w:rsidRPr="00C421E4">
        <w:rPr>
          <w:rFonts w:ascii="Times" w:hAnsi="Times"/>
        </w:rPr>
        <w:fldChar w:fldCharType="end"/>
      </w:r>
      <w:r w:rsidRPr="00C421E4">
        <w:rPr>
          <w:rFonts w:ascii="Times" w:hAnsi="Times"/>
        </w:rPr>
        <w:t xml:space="preserve">. An additional study demonstrated that abnormal cortical signals were generated by regions of cortex tethered to white matter fibers with reduced FA </w:t>
      </w:r>
      <w:r w:rsidRPr="00C421E4">
        <w:rPr>
          <w:rFonts w:ascii="Times" w:hAnsi="Times"/>
        </w:rPr>
        <w:fldChar w:fldCharType="begin" w:fldLock="1"/>
      </w:r>
      <w:r w:rsidRPr="00C421E4">
        <w:rPr>
          <w:rFonts w:ascii="Times" w:hAnsi="Times"/>
        </w:rPr>
        <w:instrText xml:space="preserve"> ADDIN ZOTERO_ITEM CSL_CITATION {"citationID":"d5QlCoMd","properties":{"formattedCitation":"(Huang et al., 2009)","plainCitation":"(Huang et al., 2009)"},"citationItems":[{"id":"ITEM-1","uris":["http://www.mendeley.com/documents/?uuid=f8419eac-ed88-46c1-8a39-e1b19736476a"],"uri":["http://www.mendeley.com/documents/?uuid=f8419eac-ed88-46c1-8a39-e1b19736476a"],"itemData":{"author":[{"dropping-particle":"","family":"Huang","given":"M.X.","non-dropping-particle":"","parse-names":false,"suffix":""},{"dropping-particle":"","family":"Theilmann","given":"R.J.","non-dropping-particle":"","parse-names":false,"suffix":""},{"dropping-particle":"","family":"Robb","given":"A.","non-dropping-particle":"","parse-names":false,"suffix":""},{"dropping-particle":"","family":"Angeles","given":"A.","non-dropping-particle":"","parse-names":false,"suffix":""},{"dropping-particle":"","family":"Nichols","given":"S.","non-dropping-particle":"","parse-names":false,"suffix":""},{"dropping-particle":"","family":"Drake","given":"A.","non-dropping-particle":"","parse-names":false,"suffix":""},{"dropping-particle":"","family":"D'Andrea","given":"J.","non-dropping-particle":"","parse-names":false,"suffix":""},{"dropping-particle":"","family":"Levy","given":"M.","non-dropping-particle":"","parse-names":false,"suffix":""},{"dropping-particle":"","family":"Holland","given":"M.","non-dropping-particle":"","parse-names":false,"suffix":""},{"dropping-particle":"","family":"Song","given":"T.","non-dropping-particle":"","parse-names":false,"suffix":""},{"dropping-particle":"","family":"Ge","given":"S.","non-dropping-particle":"","parse-names":false,"suffix":""}],"container-title":"Journal of neurotrauma","id":"ITEM-1","issue":"8","issued":{"date-parts":[["2009"]]},"page":"1213-1226","title":"Integrated imaging approach with MEG and DTI to detect mild traumatic brain injury in military and civilian patients","type":"article-journal","volume":"26"}}],"schema":"https://github.com/citation-style-language/schema/raw/master/csl-citation.json"} </w:instrText>
      </w:r>
      <w:r w:rsidRPr="00C421E4">
        <w:rPr>
          <w:rFonts w:ascii="Times" w:hAnsi="Times"/>
        </w:rPr>
        <w:fldChar w:fldCharType="separate"/>
      </w:r>
      <w:r w:rsidRPr="00C421E4">
        <w:rPr>
          <w:rFonts w:ascii="Times" w:hAnsi="Times"/>
          <w:noProof/>
        </w:rPr>
        <w:t>(Huang et al., 2009)</w:t>
      </w:r>
      <w:r w:rsidRPr="00C421E4">
        <w:rPr>
          <w:rFonts w:ascii="Times" w:hAnsi="Times"/>
        </w:rPr>
        <w:fldChar w:fldCharType="end"/>
      </w:r>
      <w:r w:rsidRPr="00C421E4">
        <w:rPr>
          <w:rFonts w:ascii="Times" w:hAnsi="Times"/>
        </w:rPr>
        <w:t xml:space="preserve">. Thus, injury-induced </w:t>
      </w:r>
      <w:r w:rsidRPr="00C421E4">
        <w:rPr>
          <w:rFonts w:ascii="Times" w:hAnsi="Times"/>
        </w:rPr>
        <w:lastRenderedPageBreak/>
        <w:t xml:space="preserve">decreases in white matter integrity may underlie cortical abnormalities following brain injury. These findings have recently been corroborated by a second group of researchers who found that abnormal bursts of low frequency activity occur during wake in chronic mTBI participants (4.8 years since mTBI) and also in mice that underwent experimental mTBI </w:t>
      </w:r>
      <w:r w:rsidRPr="00C421E4">
        <w:rPr>
          <w:rFonts w:ascii="Times" w:hAnsi="Times"/>
        </w:rPr>
        <w:fldChar w:fldCharType="begin"/>
      </w:r>
      <w:r w:rsidRPr="00C421E4">
        <w:rPr>
          <w:rFonts w:ascii="Times" w:hAnsi="Times"/>
        </w:rPr>
        <w:instrText xml:space="preserve"> ADDIN ZOTERO_ITEM CSL_CITATION {"citationID":"m1gjuh435","properties":{"formattedCitation":"(Modarres, Kuzma, Kretzmer, Pack, &amp; Lim, 2016a)","plainCitation":"(Modarres, Kuzma, Kretzmer, Pack, &amp; Lim, 2016a)"},"citationItems":[{"id":29,"uris":["http://zotero.org/users/4141602/items/E9ZWNSE3"],"uri":["http://zotero.org/users/4141602/items/E9ZWNSE3"],"itemData":{"id":29,"type":"article-journal","title":"EEG slow waves in traumatic brain injury: Convergent findings in mouse and man","container-title":"Neurobiology of Sleep and Circadian Rhythms","page":"59-70","volume":"2","author":[{"family":"Modarres","given":"M. H."},{"family":"Kuzma","given":"N. N."},{"family":"Kretzmer","given":"T."},{"family":"Pack","given":"A. I."},{"family":"Lim","given":"M. M."}],"issued":{"date-parts":[["2016"]]}}}],"schema":"https://github.com/citation-style-language/schema/raw/master/csl-citation.json"} </w:instrText>
      </w:r>
      <w:r w:rsidRPr="00C421E4">
        <w:rPr>
          <w:rFonts w:ascii="Times" w:hAnsi="Times"/>
        </w:rPr>
        <w:fldChar w:fldCharType="separate"/>
      </w:r>
      <w:r w:rsidRPr="00C421E4">
        <w:rPr>
          <w:rFonts w:ascii="Times" w:hAnsi="Times"/>
          <w:noProof/>
        </w:rPr>
        <w:t>(Modarres, Kuzma, Kretzmer, Pack, &amp; Lim, 2016)</w:t>
      </w:r>
      <w:r w:rsidRPr="00C421E4">
        <w:rPr>
          <w:rFonts w:ascii="Times" w:hAnsi="Times"/>
        </w:rPr>
        <w:fldChar w:fldCharType="end"/>
      </w:r>
      <w:r w:rsidRPr="00C421E4">
        <w:rPr>
          <w:rFonts w:ascii="Times" w:hAnsi="Times"/>
        </w:rPr>
        <w:t>.</w:t>
      </w:r>
    </w:p>
    <w:p w14:paraId="6668A7BE" w14:textId="77777777" w:rsidR="00F7044C" w:rsidRPr="00C421E4" w:rsidRDefault="00F7044C" w:rsidP="00F7044C">
      <w:pPr>
        <w:spacing w:line="480" w:lineRule="auto"/>
        <w:rPr>
          <w:rFonts w:ascii="Times" w:hAnsi="Times"/>
        </w:rPr>
      </w:pPr>
    </w:p>
    <w:p w14:paraId="57F81A2F" w14:textId="77777777" w:rsidR="00F7044C" w:rsidRPr="00E87A66" w:rsidRDefault="00F7044C" w:rsidP="00F7044C">
      <w:pPr>
        <w:spacing w:line="480" w:lineRule="auto"/>
        <w:jc w:val="center"/>
        <w:outlineLvl w:val="0"/>
        <w:rPr>
          <w:rFonts w:ascii="Times" w:hAnsi="Times"/>
          <w:b/>
          <w:u w:val="single"/>
        </w:rPr>
      </w:pPr>
      <w:r>
        <w:rPr>
          <w:rFonts w:ascii="Times" w:hAnsi="Times"/>
          <w:b/>
          <w:u w:val="single"/>
        </w:rPr>
        <w:t xml:space="preserve">C. </w:t>
      </w:r>
      <w:r w:rsidRPr="00E87A66">
        <w:rPr>
          <w:rFonts w:ascii="Times" w:hAnsi="Times"/>
          <w:b/>
          <w:u w:val="single"/>
        </w:rPr>
        <w:t>Long-term Dysfunction following mTBI</w:t>
      </w:r>
    </w:p>
    <w:p w14:paraId="64116812" w14:textId="77777777" w:rsidR="00F7044C" w:rsidRPr="00C421E4" w:rsidRDefault="00F7044C" w:rsidP="00F7044C">
      <w:pPr>
        <w:spacing w:line="480" w:lineRule="auto"/>
        <w:rPr>
          <w:rFonts w:ascii="Times" w:hAnsi="Times"/>
        </w:rPr>
      </w:pPr>
      <w:r w:rsidRPr="00C421E4">
        <w:rPr>
          <w:rFonts w:ascii="Times" w:hAnsi="Times"/>
        </w:rPr>
        <w:t xml:space="preserve">The Center for Disease Control and Prevention (CDC) groups the sequelae of mTBI into four clusters: (1) thinking/remembering, (2) physical, (3) mood/emotional, and (4) sleep. The CDC also notes that whereas most of the effects of mTBI occur and dissipate in a short period of time (e.g., a couple of hours to a couple of days), other effects may not become visible until months after injury. Further, these domains have features that potentially overlap or interact. </w:t>
      </w:r>
    </w:p>
    <w:p w14:paraId="0AD26311" w14:textId="77777777" w:rsidR="00F7044C" w:rsidRPr="00C421E4" w:rsidRDefault="00F7044C" w:rsidP="00F7044C">
      <w:pPr>
        <w:spacing w:line="480" w:lineRule="auto"/>
        <w:rPr>
          <w:rFonts w:ascii="Times" w:hAnsi="Times"/>
        </w:rPr>
      </w:pPr>
    </w:p>
    <w:p w14:paraId="442F4590" w14:textId="77777777" w:rsidR="00F7044C" w:rsidRPr="00FB06FF" w:rsidRDefault="00F7044C" w:rsidP="00F7044C">
      <w:pPr>
        <w:spacing w:line="480" w:lineRule="auto"/>
        <w:jc w:val="center"/>
        <w:outlineLvl w:val="0"/>
        <w:rPr>
          <w:rFonts w:ascii="Times" w:hAnsi="Times"/>
          <w:b/>
        </w:rPr>
      </w:pPr>
      <w:r w:rsidRPr="00FB06FF">
        <w:rPr>
          <w:rFonts w:ascii="Times" w:hAnsi="Times"/>
          <w:b/>
        </w:rPr>
        <w:t>1. Thinking/Remembering</w:t>
      </w:r>
    </w:p>
    <w:p w14:paraId="648C7C9A" w14:textId="77777777" w:rsidR="00F7044C" w:rsidRPr="00C421E4" w:rsidRDefault="00F7044C" w:rsidP="00F7044C">
      <w:pPr>
        <w:spacing w:line="480" w:lineRule="auto"/>
        <w:rPr>
          <w:rFonts w:ascii="Times" w:hAnsi="Times"/>
        </w:rPr>
      </w:pPr>
      <w:r w:rsidRPr="00C421E4">
        <w:rPr>
          <w:rFonts w:ascii="Times" w:hAnsi="Times"/>
        </w:rPr>
        <w:t xml:space="preserve">Cognitive deficits have been observed chronically after an individual has sustained an mTBI but not consistently and not in all persons. Broadly, mTBI may subtly impact executive functioning, working memory and memory consolidation. For instance, 5 years after injury, information processing (serial addition test) was reduced following chronic mTBI </w:t>
      </w:r>
      <w:r w:rsidRPr="00C421E4">
        <w:rPr>
          <w:rFonts w:ascii="Times" w:hAnsi="Times"/>
        </w:rPr>
        <w:fldChar w:fldCharType="begin" w:fldLock="1"/>
      </w:r>
      <w:r w:rsidRPr="00C421E4">
        <w:rPr>
          <w:rFonts w:ascii="Times" w:hAnsi="Times"/>
        </w:rPr>
        <w:instrText xml:space="preserve"> ADDIN ZOTERO_ITEM CSL_CITATION {"citationID":"WU6WQMMx","properties":{"formattedCitation":"{\\rtf (O\\uc0\\u8217{}Jile et al., 2006)}","plainCitation":"(O’Jile et al., 2006)"},"citationItems":[{"id":"ITEM-1","uris":["http://www.mendeley.com/documents/?uuid=67ca396d-4ab2-42a1-9df1-cf519a05dd47"],"uri":["http://www.mendeley.com/documents/?uuid=67ca396d-4ab2-42a1-9df1-cf519a05dd47"],"itemData":{"DOI":"10.1016/j.acn.2006.03.003","ISSN":"0887-6177","PMID":"16765017","abstract":"Research has shown that individuals who have sustained mild head injury demonstrate a slowed speed of processing that is exacerbated by fatigue/stress. We administered the Paced Auditory Serial Addition Test (PASAT) at the beginning and at the end of a 4-h experimental protocol to determine whether fatigue or a stressor would result in poorer scores for individuals who had previously sustained mild head injury. A significant improvement was found between the first and second administration for both head-injured and control subjects, but difference scores revealed a significant between-groups difference for the first of the four trials, with the head-injured participants performing worse than controls. Apparently, head-injured participants were slower to develop, as well as slower to regain, a means of efficiently processing rapidly presented information.","author":[{"dropping-particle":"","family":"O'Jile","given":"Judith R","non-dropping-particle":"","parse-names":false,"suffix":""},{"dropping-particle":"","family":"Ryan","given":"Laurie M","non-dropping-particle":"","parse-names":false,"suffix":""},{"dropping-particle":"","family":"Betz","given":"Brian","non-dropping-particle":"","parse-names":false,"suffix":""},{"dropping-particle":"","family":"Parks-Levy","given":"Judith","non-dropping-particle":"","parse-names":false,"suffix":""},{"dropping-particle":"","family":"Hilsabeck","given":"Robin C","non-dropping-particle":"","parse-names":false,"suffix":""},{"dropping-particle":"","family":"Rhudy","given":"Jamie L","non-dropping-particle":"","parse-names":false,"suffix":""},{"dropping-particle":"","family":"Gouvier","given":"Wm Drew","non-dropping-particle":"","parse-names":false,"suffix":""}],"container-title":"Archives of clinical neuropsychology : the official journal of the National Academy of Neuropsychologists","id":"ITEM-1","issue":"4","issued":{"date-parts":[["2006"]]},"page":"293-296","title":"Information processing following mild head injury.","type":"article-journal","volume":"21"}}],"schema":"https://github.com/citation-style-language/schema/raw/master/csl-citation.json"} </w:instrText>
      </w:r>
      <w:r w:rsidRPr="00C421E4">
        <w:rPr>
          <w:rFonts w:ascii="Times" w:hAnsi="Times"/>
        </w:rPr>
        <w:fldChar w:fldCharType="separate"/>
      </w:r>
      <w:r w:rsidRPr="00C421E4">
        <w:rPr>
          <w:rFonts w:ascii="Times" w:hAnsi="Times"/>
        </w:rPr>
        <w:t>(O’Jile et al., 2006)</w:t>
      </w:r>
      <w:r w:rsidRPr="00C421E4">
        <w:rPr>
          <w:rFonts w:ascii="Times" w:hAnsi="Times"/>
        </w:rPr>
        <w:fldChar w:fldCharType="end"/>
      </w:r>
      <w:r w:rsidRPr="00C421E4">
        <w:rPr>
          <w:rFonts w:ascii="Times" w:hAnsi="Times"/>
        </w:rPr>
        <w:t xml:space="preserve">. However, differences between groups did not emerge until the most difficult condition. Furthermore, mTBI participants were found to exhibit memory consolidation (delayed cued recall) deficits roughly 6 years after injury </w:t>
      </w:r>
      <w:r w:rsidRPr="00C421E4">
        <w:rPr>
          <w:rFonts w:ascii="Times" w:hAnsi="Times"/>
        </w:rPr>
        <w:fldChar w:fldCharType="begin" w:fldLock="1"/>
      </w:r>
      <w:r w:rsidRPr="00C421E4">
        <w:rPr>
          <w:rFonts w:ascii="Times" w:hAnsi="Times"/>
        </w:rPr>
        <w:instrText xml:space="preserve"> ADDIN ZOTERO_ITEM CSL_CITATION {"citationID":"pMRGk0wb","properties":{"formattedCitation":"(Konrad et al., 2011)","plainCitation":"(Konrad et al., 2011)"},"citationItems":[{"id":"ITEM-1","uris":["http://www.mendeley.com/documents/?uuid=28f0f7e5-c429-4cea-9c8b-b629b0032703"],"uri":["http://www.mendeley.com/documents/?uuid=28f0f7e5-c429-4cea-9c8b-b629b0032703"],"itemData":{"DOI":"10.1017/S0033291710001728","ISBN":"1469-8978 (Electronic)\\r0033-2917 (Linking)","ISSN":"1469-8978","PMID":"20860865","abstract":"BACKGROUND: The objective of this study was to investigate long-term cognitive and emotional sequelae of mild traumatic brain injury (mTBI), as previous research has remained inconclusive with respect to their prevalence and extent.\\n\\nMETHOD: Thirty-three individuals who had sustained mTBI on average 6 years prior to the study and 33 healthy control subjects were matched according to age, gender and education. Structural brain damage at time of testing was excluded by magnetic resonance imaging (MRI). A comprehensive neuropsychological test battery was conducted to assess learning, recall, working memory, attention and executive function. Psychiatric symptoms were assessed by the Structured Clinical Interview for DSM-IV Axis I Disorders (SCID-I) and the Beck Depression Inventory (BDI). Possible negative response bias was ruled out by implementing the Word Memory Test (WMT).\\n\\nRESULTS: The mTBI individuals had significant impairments in all cognitive domains compared to the healthy control subjects. Effect sizes of cognitive deficits were medium to large, and could not be accounted for by self-perceived deficits, depression, compensation claims or negative response bias. BDI scores were significantly higher in the patient group, and three patients fulfilled DSM-IV criteria for a mild episode of major depression.\\n\\nCONCLUSIONS: Primarily, well-recovered individuals who had sustained a minor trauma more than half a decade ago continue to have long-term cognitive and emotional sequelae relevant for everyday social and professional life. mTBI may lead to a lasting disruption of neurofunctional circuits not detectable by standard structural MRI and needs to be taken seriously in clinical and forensic evaluations.","author":[{"dropping-particle":"","family":"Konrad","given":"C.","non-dropping-particle":"","parse-names":false,"suffix":""},{"dropping-particle":"","family":"Geburek","given":"a. J.","non-dropping-particle":"","parse-names":false,"suffix":""},{"dropping-particle":"","family":"Rist","given":"F.","non-dropping-particle":"","parse-names":false,"suffix":""},{"dropping-particle":"","family":"Blumenroth","given":"H.","non-dropping-particle":"","parse-names":false,"suffix":""},{"dropping-particle":"","family":"Fischer","given":"B.","non-dropping-particle":"","parse-names":false,"suffix":""},{"dropping-particle":"","family":"Husstedt","given":"I.","non-dropping-particle":"","parse-names":false,"suffix":""},{"dropping-particle":"","family":"Arolt","given":"V.","non-dropping-particle":"","parse-names":false,"suffix":""},{"dropping-particle":"","family":"Schiffbauer","given":"H.","non-dropping-particle":"","parse-names":false,"suffix":""},{"dropping-particle":"","family":"Lohmann","given":"H.","non-dropping-particle":"","parse-names":false,"suffix":""}],"container-title":"Psychological medicine","id":"ITEM-1","issue":"6","issued":{"date-parts":[["2011"]]},"page":"1197-1211","title":"Long-term cognitive and emotional consequences of mild traumatic brain injury.","type":"article-journal","volume":"41"}}],"schema":"https://github.com/citation-style-language/schema/raw/master/csl-citation.json"} </w:instrText>
      </w:r>
      <w:r w:rsidRPr="00C421E4">
        <w:rPr>
          <w:rFonts w:ascii="Times" w:hAnsi="Times"/>
        </w:rPr>
        <w:fldChar w:fldCharType="separate"/>
      </w:r>
      <w:r w:rsidRPr="00C421E4">
        <w:rPr>
          <w:rFonts w:ascii="Times" w:hAnsi="Times"/>
          <w:noProof/>
        </w:rPr>
        <w:t>(Konrad et al., 2011)</w:t>
      </w:r>
      <w:r w:rsidRPr="00C421E4">
        <w:rPr>
          <w:rFonts w:ascii="Times" w:hAnsi="Times"/>
        </w:rPr>
        <w:fldChar w:fldCharType="end"/>
      </w:r>
      <w:r w:rsidRPr="00C421E4">
        <w:rPr>
          <w:rFonts w:ascii="Times" w:hAnsi="Times"/>
        </w:rPr>
        <w:t xml:space="preserve">. Similarly, 7 years after mild injury, Sterr and colleagues found participants have </w:t>
      </w:r>
      <w:r w:rsidRPr="00C421E4">
        <w:rPr>
          <w:rFonts w:ascii="Times" w:hAnsi="Times"/>
        </w:rPr>
        <w:lastRenderedPageBreak/>
        <w:t xml:space="preserve">difficulty with shifting attention and working memory, yet this was only true for subjects with cognitive complaints </w:t>
      </w:r>
      <w:r w:rsidRPr="00C421E4">
        <w:rPr>
          <w:rFonts w:ascii="Times" w:hAnsi="Times"/>
        </w:rPr>
        <w:fldChar w:fldCharType="begin" w:fldLock="1"/>
      </w:r>
      <w:r w:rsidRPr="00C421E4">
        <w:rPr>
          <w:rFonts w:ascii="Times" w:hAnsi="Times"/>
        </w:rPr>
        <w:instrText xml:space="preserve"> ADDIN ZOTERO_ITEM CSL_CITATION {"citationID":"yzjXyOAI","properties":{"formattedCitation":"(Sterr, Herron, Hayward, &amp; Montaldi, 2006)","plainCitation":"(Sterr, Herron, Hayward, &amp; Montaldi, 2006)"},"citationItems":[{"id":"ITEM-1","uris":["http://www.mendeley.com/documents/?uuid=7c99d74d-8fe2-4ae3-9c8f-e31e373b0b1d"],"uri":["http://www.mendeley.com/documents/?uuid=7c99d74d-8fe2-4ae3-9c8f-e31e373b0b1d"],"itemData":{"DOI":"10.1186/1471-2377-6-7","ISBN":"1471-2377 (Electronic)\\r1471-2377 (Linking)","ISSN":"1471-2377","PMID":"16460567","abstract":"BACKGROUND: Mild traumatic brain injury (MTBI) can sometimes lead to persistent postconcussion symptoms. One well accepted hypothesis claims that chronic PCS has a neural origin, and is related to neurobehavioral deficits. But the evidence is not conclusive. In the attempt to characterise chronic MTBI consequences, the present experiment used a group comparison design, which contrasted persons (a) with MTBI and PCS, (b) MTBI without PCS, and (c) matched controls. We predicted that participants who have experienced MTBI but show no signs of PCS would perform similar to controls. At the same time, a subgroup of MTBI participants would show PCS symptoms and only these volunteers would have poorer cognitive performance. Thereby, the performance deficits should be most noticeable in participants with highest PCS severity. METHOD: 38 patients with a single MTBI that had occurred at least 12 month prior to testing, and 38 matched controls, participated in the experiment. A combination of questionnaires and neuropsychological test batteries were used to assess the extent of PCS and related deficits in neurobehavioral performance. RESULTS: 11 out of 38 MTBI participants (29%) were found to suffer from PCS. This subgroup of MTBI patients performed poorly on neuropsychological test batteries. Thereby, a correlation was found between PCS symptom severity and test performance suggesting that participants with more pronounced PCS symptoms performed worse in cognitive tasks. In contrast, MTBI patients with no PCS showed performed similar to matched control. We further found that loss of consciousness, a key criterion for PCS diagnosis, was not predictive of sustained PCS. CONCLUSION: The results support the idea that MTBI can have sustained consequences, and that the subjectively experienced symptoms and difficulties in everyday situations are related to objectively measurable parameters in neurocognitive function.","author":[{"dropping-particle":"","family":"Sterr","given":"Annette","non-dropping-particle":"","parse-names":false,"suffix":""},{"dropping-particle":"","family":"Herron","given":"Katherine a","non-dropping-particle":"","parse-names":false,"suffix":""},{"dropping-particle":"","family":"Hayward","given":"Chantal","non-dropping-particle":"","parse-names":false,"suffix":""},{"dropping-particle":"","family":"Montaldi","given":"Daniela","non-dropping-particle":"","parse-names":false,"suffix":""}],"container-title":"BMC neurology","id":"ITEM-1","issued":{"date-parts":[["2006"]]},"page":"7","title":"Are mild head injuries as mild as we think? Neurobehavioral concomitants of chronic post-concussion syndrome.","type":"article-journal","volume":"6"}}],"schema":"https://github.com/citation-style-language/schema/raw/master/csl-citation.json"} </w:instrText>
      </w:r>
      <w:r w:rsidRPr="00C421E4">
        <w:rPr>
          <w:rFonts w:ascii="Times" w:hAnsi="Times"/>
        </w:rPr>
        <w:fldChar w:fldCharType="separate"/>
      </w:r>
      <w:r w:rsidRPr="00C421E4">
        <w:rPr>
          <w:rFonts w:ascii="Times" w:hAnsi="Times"/>
          <w:noProof/>
        </w:rPr>
        <w:t>(Sterr, Herron, Hayward, &amp; Montaldi, 2006)</w:t>
      </w:r>
      <w:r w:rsidRPr="00C421E4">
        <w:rPr>
          <w:rFonts w:ascii="Times" w:hAnsi="Times"/>
        </w:rPr>
        <w:fldChar w:fldCharType="end"/>
      </w:r>
      <w:r w:rsidRPr="00C421E4">
        <w:rPr>
          <w:rFonts w:ascii="Times" w:hAnsi="Times"/>
        </w:rPr>
        <w:t xml:space="preserve">. Other investigations have failed to identify differences between mTBI and non-head injured populations on neuropsychological measures </w:t>
      </w:r>
      <w:r w:rsidRPr="00C421E4">
        <w:rPr>
          <w:rFonts w:ascii="Times" w:hAnsi="Times"/>
        </w:rPr>
        <w:fldChar w:fldCharType="begin" w:fldLock="1"/>
      </w:r>
      <w:r w:rsidRPr="00C421E4">
        <w:rPr>
          <w:rFonts w:ascii="Times" w:hAnsi="Times"/>
        </w:rPr>
        <w:instrText xml:space="preserve"> ADDIN ZOTERO_ITEM CSL_CITATION {"citationID":"VNr0KBs8","properties":{"formattedCitation":"(Belanger &amp; Vanderploeg, 2005a)","plainCitation":"(Belanger &amp; Vanderploeg, 2005a)"},"citationItems":[{"id":"ITEM-1","uris":["http://www.mendeley.com/documents/?uuid=7a7062cb-22c5-4c07-879a-d63b72d4b9c5"],"uri":["http://www.mendeley.com/documents/?uuid=7a7062cb-22c5-4c07-879a-d63b72d4b9c5"],"itemData":{"DOI":"10.1017/S1355617705050411","ISBN":"1355-6177 (Print)\\n1355-6177 (Linking)","ISSN":"1355-6177","PMID":"16209414","abstract":"There is increasing interest in the potential neuropsychological impact of sports-related concussion. A meta-analysis of the relevant literature was conducted to determine the impact of sports-related concussion across six cognitive domains. The analysis was based on 21 studies involving 790 cases of concussion and 2014 control cases. The overall effect of concussion (d = 0.49) was comparable to the effect found in the non-sports-related mild traumatic brain injury population (d = 0.54; Belanger et al., 2005). Using sports-concussed participants with a history of prior head injury appears to inflate the effect sizes associated with the current sports-related concussion. Acute effects (within 24 hr of injury) of concussion were greatest for delayed memory, memory acquisition, and global cognitive functioning (d = 1.00, 1.03, and 1.42, respectively). However, no residual neuropsychological impairments were found when testing was completed beyond 7 days postinjury. These findings were moderated by cognitive domain and comparison group (control group versus preconcussion self-control). Specifically, delayed memory in studies utilizing a control group remained problematic at 7 days. The implications and limitations of these findings are discussed.","author":[{"dropping-particle":"","family":"Belanger","given":"Heather G","non-dropping-particle":"","parse-names":false,"suffix":""},{"dropping-particle":"","family":"Vanderploeg","given":"Rodney D","non-dropping-particle":"","parse-names":false,"suffix":""}],"container-title":"Journal of the International Neuropsychological Society","id":"ITEM-1","issue":"04","issued":{"date-parts":[["2005"]]},"page":"345-357","title":"The neuropsychological impact of sports-related concussion: A meta-analysis.","type":"article-journal","volume":"11"}}],"schema":"https://github.com/citation-style-language/schema/raw/master/csl-citation.json"} </w:instrText>
      </w:r>
      <w:r w:rsidRPr="00C421E4">
        <w:rPr>
          <w:rFonts w:ascii="Times" w:hAnsi="Times"/>
        </w:rPr>
        <w:fldChar w:fldCharType="separate"/>
      </w:r>
      <w:r w:rsidRPr="00C421E4">
        <w:rPr>
          <w:rFonts w:ascii="Times" w:hAnsi="Times"/>
          <w:noProof/>
        </w:rPr>
        <w:t>(Belanger &amp; Vanderploeg, 2005)</w:t>
      </w:r>
      <w:r w:rsidRPr="00C421E4">
        <w:rPr>
          <w:rFonts w:ascii="Times" w:hAnsi="Times"/>
        </w:rPr>
        <w:fldChar w:fldCharType="end"/>
      </w:r>
      <w:r w:rsidRPr="00C421E4">
        <w:rPr>
          <w:rFonts w:ascii="Times" w:hAnsi="Times"/>
        </w:rPr>
        <w:t xml:space="preserve">.  Therefore, long-term cognitive deficits in mTBI may be subtle and hard to detect or may only exist in a minority of head injured individuals </w:t>
      </w:r>
      <w:r w:rsidRPr="00C421E4">
        <w:rPr>
          <w:rFonts w:ascii="Times" w:hAnsi="Times"/>
        </w:rPr>
        <w:fldChar w:fldCharType="begin" w:fldLock="1"/>
      </w:r>
      <w:r w:rsidRPr="00C421E4">
        <w:rPr>
          <w:rFonts w:ascii="Times" w:hAnsi="Times"/>
        </w:rPr>
        <w:instrText xml:space="preserve"> ADDIN ZOTERO_ITEM CSL_CITATION {"citationID":"F7M47855","properties":{"formattedCitation":"(R M Ruff et al., 1994)","plainCitation":"(R M Ruff et al., 1994)"},"citationItems":[{"id":"ITEM-1","uris":["http://www.mendeley.com/documents/?uuid=105100e2-6f81-49a6-8797-f615a66f8d70"],"uri":["http://www.mendeley.com/documents/?uuid=105100e2-6f81-49a6-8797-f615a66f8d70"],"itemData":{"DOI":"10.3109/02699059409150981","ISBN":"0269-9052 (Print)\\r0269-9052 (Linking)","ISSN":"0269-9052","PMID":"8081345","abstract":"Neuropsychological residua are common particularly in the early stages following a minor traumatic brain injury (TBI), however, a minority of individuals complain of persistent deficits following months or years post-accident. Nine such cases are presented with little or no evidence of brain damage demonstrated according to non-functional neuroimaging (for example CT, MRI), yet their neuropsychological examinations were positive. Since the introduction of positron emission tomography (PET), which captures a functional approach, the question arose as to what extent the two techniques (i.e. PET and neuropsychological examination) are interrelated. All nine minor TBI cases revealed a corroboration between the positive neuropsychological findings confirmed on the PET. The PET procedure documented neuropathology which frequently was pronounced in the frontal and anteriotemporo-frontal regions. Moreover, no significant differences were evident between those five cases with reported loss of consciousness vs. those four cases without.","author":[{"dropping-particle":"","family":"Ruff","given":"R M","non-dropping-particle":"","parse-names":false,"suffix":""},{"dropping-particle":"","family":"Crouch","given":"J A","non-dropping-particle":"","parse-names":false,"suffix":""},{"dropping-particle":"","family":"Tröster","given":"a I","non-dropping-particle":"","parse-names":false,"suffix":""},{"dropping-particle":"","family":"Marshall","given":"L F","non-dropping-particle":"","parse-names":false,"suffix":""},{"dropping-particle":"","family":"Buchsbaum","given":"M S","non-dropping-particle":"","parse-names":false,"suffix":""},{"dropping-particle":"","family":"Lottenberg","given":"S","non-dropping-particle":"","parse-names":false,"suffix":""},{"dropping-particle":"","family":"Somers","given":"L M","non-dropping-particle":"","parse-names":false,"suffix":""}],"container-title":"Brain injury : [BI]","id":"ITEM-1","issue":"4","issued":{"date-parts":[["1994"]]},"page":"297-308","title":"Selected cases of poor outcome following a minor brain trauma: comparing neuropsychological and positron emission tomography assessment.","type":"article-journal","volume":"8"}}],"schema":"https://github.com/citation-style-language/schema/raw/master/csl-citation.json"} </w:instrText>
      </w:r>
      <w:r w:rsidRPr="00C421E4">
        <w:rPr>
          <w:rFonts w:ascii="Times" w:hAnsi="Times"/>
        </w:rPr>
        <w:fldChar w:fldCharType="separate"/>
      </w:r>
      <w:r w:rsidRPr="00C421E4">
        <w:rPr>
          <w:rFonts w:ascii="Times" w:hAnsi="Times"/>
          <w:noProof/>
        </w:rPr>
        <w:t>(Ruff et al., 1994)</w:t>
      </w:r>
      <w:r w:rsidRPr="00C421E4">
        <w:rPr>
          <w:rFonts w:ascii="Times" w:hAnsi="Times"/>
        </w:rPr>
        <w:fldChar w:fldCharType="end"/>
      </w:r>
      <w:r w:rsidRPr="00C421E4">
        <w:rPr>
          <w:rFonts w:ascii="Times" w:hAnsi="Times"/>
        </w:rPr>
        <w:t xml:space="preserve">. </w:t>
      </w:r>
    </w:p>
    <w:p w14:paraId="7C95113C" w14:textId="77777777" w:rsidR="00F7044C" w:rsidRPr="00C421E4" w:rsidRDefault="00F7044C" w:rsidP="00F7044C">
      <w:pPr>
        <w:spacing w:line="480" w:lineRule="auto"/>
        <w:rPr>
          <w:rFonts w:ascii="Times" w:hAnsi="Times"/>
        </w:rPr>
      </w:pPr>
    </w:p>
    <w:p w14:paraId="7DC31D35" w14:textId="77777777" w:rsidR="00F7044C" w:rsidRPr="00CC0883" w:rsidRDefault="00F7044C" w:rsidP="00F7044C">
      <w:pPr>
        <w:spacing w:line="480" w:lineRule="auto"/>
        <w:jc w:val="center"/>
        <w:outlineLvl w:val="0"/>
        <w:rPr>
          <w:rFonts w:ascii="Times" w:hAnsi="Times"/>
          <w:b/>
        </w:rPr>
      </w:pPr>
      <w:r>
        <w:rPr>
          <w:rFonts w:ascii="Times" w:hAnsi="Times"/>
          <w:b/>
        </w:rPr>
        <w:t xml:space="preserve">2. </w:t>
      </w:r>
      <w:r w:rsidRPr="00CC0883">
        <w:rPr>
          <w:rFonts w:ascii="Times" w:hAnsi="Times"/>
          <w:b/>
        </w:rPr>
        <w:t>Physical</w:t>
      </w:r>
    </w:p>
    <w:p w14:paraId="4144888B" w14:textId="77777777" w:rsidR="00F7044C" w:rsidRPr="00C421E4" w:rsidRDefault="00F7044C" w:rsidP="00F7044C">
      <w:pPr>
        <w:spacing w:line="480" w:lineRule="auto"/>
        <w:rPr>
          <w:rFonts w:ascii="Times" w:hAnsi="Times"/>
        </w:rPr>
      </w:pPr>
      <w:r w:rsidRPr="00C421E4">
        <w:rPr>
          <w:rFonts w:ascii="Times" w:hAnsi="Times"/>
        </w:rPr>
        <w:t xml:space="preserve">The majority of the physical sequelae of mTBI (e.g., headache, dizziness, vomiting) occur immediately after injury </w:t>
      </w:r>
      <w:r w:rsidRPr="00C421E4">
        <w:rPr>
          <w:rFonts w:ascii="Times" w:hAnsi="Times"/>
        </w:rPr>
        <w:fldChar w:fldCharType="begin" w:fldLock="1"/>
      </w:r>
      <w:r w:rsidRPr="00C421E4">
        <w:rPr>
          <w:rFonts w:ascii="Times" w:hAnsi="Times"/>
        </w:rPr>
        <w:instrText xml:space="preserve"> ADDIN ZOTERO_ITEM CSL_CITATION {"citationID":"Kr26ASsL","properties":{"formattedCitation":"{\\rtf (\\uc0\\u8220{}Centers for Disease control and Prevention. What are the signs and symptoms of concussion?,\\uc0\\u8221{} n.d.)}","plainCitation":"(“Centers for Disease control and Prevention. What are the signs and symptoms of concussion?,” n.d.)"},"citationItems":[{"id":"ITEM-1","uris":["http://www.mendeley.com/documents/?uuid=a97e06dc-a2b3-4083-afba-324fc67c6543"],"uri":["http://www.mendeley.com/documents/?uuid=a97e06dc-a2b3-4083-afba-324fc67c6543"],"itemData":{"id":"ITEM-1","issued":{"date-parts":[["0"]]},"page":"http://www.cdc.gov/ traumaticbraininjury/symptoms.","title":"Centers for Disease control and Prevention. What are the signs and symptoms of concussion?","type":"webpage"}}],"schema":"https://github.com/citation-style-language/schema/raw/master/csl-citation.json"} </w:instrText>
      </w:r>
      <w:r w:rsidRPr="00C421E4">
        <w:rPr>
          <w:rFonts w:ascii="Times" w:hAnsi="Times"/>
        </w:rPr>
        <w:fldChar w:fldCharType="separate"/>
      </w:r>
      <w:r w:rsidRPr="00C421E4">
        <w:rPr>
          <w:rFonts w:ascii="Times" w:hAnsi="Times"/>
        </w:rPr>
        <w:t>(Centers for Disease Control and Prevention)</w:t>
      </w:r>
      <w:r w:rsidRPr="00C421E4">
        <w:rPr>
          <w:rFonts w:ascii="Times" w:hAnsi="Times"/>
        </w:rPr>
        <w:fldChar w:fldCharType="end"/>
      </w:r>
      <w:r w:rsidRPr="00C421E4">
        <w:rPr>
          <w:rFonts w:ascii="Times" w:hAnsi="Times"/>
        </w:rPr>
        <w:t xml:space="preserve">. However, fatigue is a physical symptom that may be chronic. Fatigue is a subjective feeling of lethargy or weakness, an “indescribable” tiredness that is separate from sleepiness </w:t>
      </w:r>
      <w:r w:rsidRPr="00C421E4">
        <w:rPr>
          <w:rFonts w:ascii="Times" w:hAnsi="Times"/>
        </w:rPr>
        <w:fldChar w:fldCharType="begin"/>
      </w:r>
      <w:r w:rsidRPr="00C421E4">
        <w:rPr>
          <w:rFonts w:ascii="Times" w:hAnsi="Times"/>
        </w:rPr>
        <w:instrText xml:space="preserve"> ADDIN ZOTERO_ITEM CSL_CITATION {"citationID":"ffavvko41","properties":{"formattedCitation":"(Neu et al., 2010)","plainCitation":"(Neu et al., 2010)"},"citationItems":[{"id":966,"uris":["http://zotero.org/users/4141602/items/ARZHD55S"],"uri":["http://zotero.org/users/4141602/items/ARZHD55S"],"itemData":{"id":966,"type":"article-journal","title":"Do ‘sleepy’and ‘tired’go together? Rasch analysis of the relationships between sleepiness, fatigue and nonrestorative sleep complaints in a nonclinical population sample","container-title":"Neuroepidemiology","page":"1-11","volume":"35","issue":"1","author":[{"family":"Neu","given":"Daniel"},{"family":"Mairesse","given":"Olivier"},{"family":"Hoffmann","given":"Guy"},{"family":"Valsamis","given":"Jean-Baptiste"},{"family":"Verbanck","given":"Paul"},{"family":"Linkowski","given":"Paul"},{"family":"Le Bon","given":"Olivier"}],"issued":{"date-parts":[["2010"]]}}}],"schema":"https://github.com/citation-style-language/schema/raw/master/csl-citation.json"} </w:instrText>
      </w:r>
      <w:r w:rsidRPr="00C421E4">
        <w:rPr>
          <w:rFonts w:ascii="Times" w:hAnsi="Times"/>
        </w:rPr>
        <w:fldChar w:fldCharType="separate"/>
      </w:r>
      <w:r w:rsidRPr="00C421E4">
        <w:rPr>
          <w:rFonts w:ascii="Times" w:hAnsi="Times"/>
          <w:noProof/>
        </w:rPr>
        <w:t>(Neu et al., 2010)</w:t>
      </w:r>
      <w:r w:rsidRPr="00C421E4">
        <w:rPr>
          <w:rFonts w:ascii="Times" w:hAnsi="Times"/>
        </w:rPr>
        <w:fldChar w:fldCharType="end"/>
      </w:r>
      <w:r w:rsidRPr="00C421E4">
        <w:rPr>
          <w:rFonts w:ascii="Times" w:hAnsi="Times"/>
        </w:rPr>
        <w:t xml:space="preserve">. Fatigue overlaps with the other symptom clusters of mTBI: a recent study investigating the prevalence of fatigue in a community-dwelling sample of TBI participants found fatigue to be associated with elevated levels of depression, anxiety, and cognitive disturbances </w:t>
      </w:r>
      <w:r w:rsidRPr="00C421E4">
        <w:rPr>
          <w:rFonts w:ascii="Times" w:hAnsi="Times"/>
        </w:rPr>
        <w:fldChar w:fldCharType="begin" w:fldLock="1"/>
      </w:r>
      <w:r w:rsidRPr="00C421E4">
        <w:rPr>
          <w:rFonts w:ascii="Times" w:hAnsi="Times"/>
        </w:rPr>
        <w:instrText xml:space="preserve"> ADDIN ZOTERO_ITEM CSL_CITATION {"citationID":"sYJwctdK","properties":{"formattedCitation":"(Ouellet &amp; Morin, 2006)","plainCitation":"(Ouellet &amp; Morin, 2006)"},"citationItems":[{"id":"ITEM-1","uris":["http://www.mendeley.com/documents/?uuid=9b40724e-a6c8-497a-a64a-293cfef35e50"],"uri":["http://www.mendeley.com/documents/?uuid=9b40724e-a6c8-497a-a64a-293cfef35e50"],"itemData":{"DOI":"10.1037/0090-5550.51.2.140","ISBN":"00905550","ISSN":"0090-5550","abstract":"Objectives: To document the frequency, characteristics, and factors associated with fatigue following traumatic brain injury (TBI). Design: Survey methodology and multivariate statistical design. Setting: Rehabilitation center and community. Participants: 452 participants aged 16 years and over with minor to severe TBI who answered a questionnaire measuring diverse aspects of fatigue as well as different dimensions of psychological distress, pain, and sleep quality. Measures: Proportion of participants reporting being significantly fatigued. Validated measures of fatigue, sleep quality, and psychological distress. Results of a logistic regression analysis. Results: Significant fatigue was reported by 68.5% of participants. Mental fatigue was the most prominent type of fatigue, followed by physical fatigue. Fatigue was present even several years following the accident and had many perceived impacts on day-to-day function. Factors associated with fatigue were a shorter time since injury; being on long-term disability leave; and higher levels of sleep problems, cognitive disturbances, and anxiety. Conclusion: Fatigue is a prevalent problem after TBI that requires more clinical and scientific attention because it probably has important repercussions on the quality of rehabilitation. (PsycINFO Database Record (c) 2012 APA, all rights reserved) (journal abstract)","author":[{"dropping-particle":"","family":"Ouellet","given":"Marie-Christine","non-dropping-particle":"","parse-names":false,"suffix":""},{"dropping-particle":"","family":"Morin","given":"Charles M.","non-dropping-particle":"","parse-names":false,"suffix":""}],"container-title":"Rehabilitation Psychology","id":"ITEM-1","issue":"2","issued":{"date-parts":[["2006"]]},"page":"140-149","title":"Fatigue Following Traumatic Brain Injury: Frequency, Characteristics, and Associated Factors.","type":"article-journal","volume":"51"}}],"schema":"https://github.com/citation-style-language/schema/raw/master/csl-citation.json"} </w:instrText>
      </w:r>
      <w:r w:rsidRPr="00C421E4">
        <w:rPr>
          <w:rFonts w:ascii="Times" w:hAnsi="Times"/>
        </w:rPr>
        <w:fldChar w:fldCharType="separate"/>
      </w:r>
      <w:r w:rsidRPr="00C421E4">
        <w:rPr>
          <w:rFonts w:ascii="Times" w:hAnsi="Times"/>
          <w:noProof/>
        </w:rPr>
        <w:t>(Ouellet &amp; Morin, 2006)</w:t>
      </w:r>
      <w:r w:rsidRPr="00C421E4">
        <w:rPr>
          <w:rFonts w:ascii="Times" w:hAnsi="Times"/>
        </w:rPr>
        <w:fldChar w:fldCharType="end"/>
      </w:r>
      <w:r w:rsidRPr="00C421E4">
        <w:rPr>
          <w:rFonts w:ascii="Times" w:hAnsi="Times"/>
        </w:rPr>
        <w:t xml:space="preserve">. Therefore, fatigue may either exacerbate other symptoms, or alternatively, cognitive and emotional symptoms may bring about feelings of fatigue. </w:t>
      </w:r>
    </w:p>
    <w:p w14:paraId="7D3713EF" w14:textId="77777777" w:rsidR="00F7044C" w:rsidRPr="00C421E4" w:rsidRDefault="00F7044C" w:rsidP="00F7044C">
      <w:pPr>
        <w:spacing w:line="480" w:lineRule="auto"/>
        <w:rPr>
          <w:rFonts w:ascii="Times" w:hAnsi="Times"/>
          <w:i/>
        </w:rPr>
      </w:pPr>
    </w:p>
    <w:p w14:paraId="4504B70D" w14:textId="77777777" w:rsidR="00F7044C" w:rsidRPr="00CC0883" w:rsidRDefault="00F7044C" w:rsidP="00F7044C">
      <w:pPr>
        <w:spacing w:line="480" w:lineRule="auto"/>
        <w:jc w:val="center"/>
        <w:outlineLvl w:val="0"/>
        <w:rPr>
          <w:rFonts w:ascii="Times" w:hAnsi="Times"/>
          <w:b/>
        </w:rPr>
      </w:pPr>
      <w:r>
        <w:rPr>
          <w:rFonts w:ascii="Times" w:hAnsi="Times"/>
          <w:b/>
        </w:rPr>
        <w:t xml:space="preserve">3. </w:t>
      </w:r>
      <w:r w:rsidRPr="00CC0883">
        <w:rPr>
          <w:rFonts w:ascii="Times" w:hAnsi="Times"/>
          <w:b/>
        </w:rPr>
        <w:t>Mood/Emotional</w:t>
      </w:r>
    </w:p>
    <w:p w14:paraId="60EF580B" w14:textId="77777777" w:rsidR="00F7044C" w:rsidRPr="00C421E4" w:rsidRDefault="00F7044C" w:rsidP="00F7044C">
      <w:pPr>
        <w:spacing w:line="480" w:lineRule="auto"/>
        <w:rPr>
          <w:rFonts w:ascii="Times" w:hAnsi="Times"/>
        </w:rPr>
      </w:pPr>
      <w:r w:rsidRPr="00C421E4">
        <w:rPr>
          <w:rFonts w:ascii="Times" w:hAnsi="Times"/>
        </w:rPr>
        <w:t xml:space="preserve">There are well-documented long-term emotional outcomes following mTBI. Depression, specifically, has been identified in some individuals after mTBI, and post-TBI depression tends to last for years after injury </w:t>
      </w:r>
      <w:r w:rsidRPr="00C421E4">
        <w:rPr>
          <w:rFonts w:ascii="Times" w:hAnsi="Times"/>
        </w:rPr>
        <w:fldChar w:fldCharType="begin" w:fldLock="1"/>
      </w:r>
      <w:r w:rsidRPr="00C421E4">
        <w:rPr>
          <w:rFonts w:ascii="Times" w:hAnsi="Times"/>
        </w:rPr>
        <w:instrText xml:space="preserve"> ADDIN ZOTERO_ITEM CSL_CITATION {"citationID":"W4wE1CFL","properties":{"formattedCitation":"(Holsinger et al., 2002)","plainCitation":"(Holsinger et al., 2002)"},"citationItems":[{"id":"ITEM-1","uris":["http://www.mendeley.com/documents/?uuid=272706d6-03aa-4f17-a968-96b6b503294c"],"uri":["http://www.mendeley.com/documents/?uuid=272706d6-03aa-4f17-a968-96b6b503294c"],"itemData":{"DOI":"10.1001/archpsyc.59.1.17","ISBN":"0003-990X","ISSN":"0003-990X","PMID":"11779276","abstract":"BACKGROUND: Depressive symptoms are common and can be debilitating in the months after head injury. Head injury can also have long-term cognitive effects, but little is known about the long-term risk of depression associated with head injury. We investigated the lifetime rates of depressive illness 50 years after closed head injury. METHODS: Participants were male World War II veterans who served during 1944-1945 and were hospitalized at that time for a head injury, pneumonia, or laceration, puncture, or incision wounds. We used military medical records to establish the presence and severity of closed head injuries. Veterans with (n = 520) and without (n = 1198) head injuries were interviewed in 1996-1997 for their lifetime history of depressive illness. Men with dementia were excluded. RESULTS: Veterans with head injury were more likely to report major depression in subsequent years and were more often currently depressed. Using logistic regression and controlling for age and education, the lifetime prevalence of major depression in the head injured group was 18.5% vs 13.4% in those with no head injury (odds ratio = 1.54, 95% confidence interval = 1.17-2.04). Current major depression was detected in 11.2% of the veterans with head injuries vs 8.5% of those without head injury (odds ratio = 1.63, 95% confidence interval = 1.07-2.50). This increase in depression could not be explained by a history of myocardial infarction, a history of cerebrovascular accident, or history of alcohol abuse. The lifetime risk of depression increased with severity of the head injury. CONCLUSION: The risk of depression remains elevated for decades following head injury and seems to be highest in those who have had a severe head injury.","author":[{"dropping-particle":"","family":"Holsinger","given":"Tracey","non-dropping-particle":"","parse-names":false,"suffix":""},{"dropping-particle":"","family":"Steffens","given":"David C","non-dropping-particle":"","parse-names":false,"suffix":""},{"dropping-particle":"","family":"Phillips","given":"Caroline","non-dropping-particle":"","parse-names":false,"suffix":""},{"dropping-particle":"","family":"Helms","given":"Michael J","non-dropping-particle":"","parse-names":false,"suffix":""},{"dropping-particle":"","family":"Havlik","given":"Richard J","non-dropping-particle":"","parse-names":false,"suffix":""},{"dropping-particle":"","family":"Breitner","given":"John C S","non-dropping-particle":"","parse-names":false,"suffix":""},{"dropping-particle":"","family":"Guralnik","given":"Jack M","non-dropping-particle":"","parse-names":false,"suffix":""},{"dropping-particle":"","family":"Plassman","given":"Brenda L","non-dropping-particle":"","parse-names":false,"suffix":""}],"container-title":"Archives of general psychiatry","id":"ITEM-1","issue":"1","issued":{"date-parts":[["2002"]]},"page":"17-22","title":"Head injury in early adulthood and the lifetime risk of depression.","type":"article-journal","volume":"59"}}],"schema":"https://github.com/citation-style-language/schema/raw/master/csl-citation.json"} </w:instrText>
      </w:r>
      <w:r w:rsidRPr="00C421E4">
        <w:rPr>
          <w:rFonts w:ascii="Times" w:hAnsi="Times"/>
        </w:rPr>
        <w:fldChar w:fldCharType="separate"/>
      </w:r>
      <w:r w:rsidRPr="00C421E4">
        <w:rPr>
          <w:rFonts w:ascii="Times" w:hAnsi="Times"/>
          <w:noProof/>
        </w:rPr>
        <w:t>(Holsinger et al., 2002)</w:t>
      </w:r>
      <w:r w:rsidRPr="00C421E4">
        <w:rPr>
          <w:rFonts w:ascii="Times" w:hAnsi="Times"/>
        </w:rPr>
        <w:fldChar w:fldCharType="end"/>
      </w:r>
      <w:r w:rsidRPr="00C421E4">
        <w:rPr>
          <w:rFonts w:ascii="Times" w:hAnsi="Times"/>
        </w:rPr>
        <w:t>. For instance, 7 years after self-</w:t>
      </w:r>
      <w:r w:rsidRPr="00C421E4">
        <w:rPr>
          <w:rFonts w:ascii="Times" w:hAnsi="Times"/>
        </w:rPr>
        <w:lastRenderedPageBreak/>
        <w:t xml:space="preserve">reported mTBI, participants had a significantly higher risk for having depression, even when controlling for pre-morbid psychiatric illness </w:t>
      </w:r>
      <w:r w:rsidRPr="00C421E4">
        <w:rPr>
          <w:rFonts w:ascii="Times" w:hAnsi="Times"/>
        </w:rPr>
        <w:fldChar w:fldCharType="begin"/>
      </w:r>
      <w:r w:rsidRPr="00C421E4">
        <w:rPr>
          <w:rFonts w:ascii="Times" w:hAnsi="Times"/>
        </w:rPr>
        <w:instrText xml:space="preserve"> ADDIN ZOTERO_ITEM CSL_CITATION {"citationID":"28b6h1c9bs","properties":{"formattedCitation":"(Vanderploeg, Curtiss, Luis, &amp; Salazar, 2007)","plainCitation":"(Vanderploeg, Curtiss, Luis, &amp; Salazar, 2007)"},"citationItems":[{"id":"BO0Ho3pF/iqIGK45h","uris":["http://www.mendeley.com/documents/?uuid=e2368a35-e807-4d04-aff5-b68d312cd10a"],"uri":["http://www.mendeley.com/documents/?uuid=e2368a35-e807-4d04-aff5-b68d312cd10a"],"itemData":{"DOI":"10.1080/13803390600826587","ISBN":"1380-3395","ISSN":"1380-3395","PMID":"17691031","abstract":"The objective of this study was to examine the prevalence of long-term psychiatric, neurologic, and psychosocial morbidities of self-reported mild traumatic brain injury (MTBI). A cross-sectional cohort sample of three groups was examined: those who had not been injured in a motor vehicle accident nor had a MTBI (n = 3,214); those who had been injured in an accident but did not have a MTBI (n = 539); and those who had a MTBI with altered consciousness (n = 254). Logistic regression analyses were used to model odds ratios for the association between group and outcome variables while controlling demographic characteristics, comorbid medical conditions, and early-life psychiatric problems. Compared with uninjured controls, MTBI increased the likelihood of depression and postconcussion syndrome. MTBI also was associated with peripheral visual imperceptions and impaired tandem gait. Similarly, the MTBI group had poorer psychosocial outcomes including an increased likelihood of self-reported disability, underemployment, low income, and marital problems. Results suggest that MTBI can have adverse long-term psychiatric, neurologic, and psychosocial morbidities.","author":[{"dropping-particle":"","family":"Vanderploeg","given":"Rodney D","non-dropping-particle":"","parse-names":false,"suffix":""},{"dropping-particle":"","family":"Curtiss","given":"Glenn","non-dropping-particle":"","parse-names":false,"suffix":""},{"dropping-particle":"","family":"Luis","given":"Cheryl a","non-dropping-particle":"","parse-names":false,"suffix":""},{"dropping-particle":"","family":"Salazar","given":"Andres M","non-dropping-particle":"","parse-names":false,"suffix":""}],"container-title":"Journal of clinical and experimental neuropsychology","id":"BO0Ho3pF/iqIGK45h","issue":"6","issued":{"date-parts":[["2007"]]},"page":"585-98","title":"Long-term morbidities following self-reported mild traumatic brain injury.","type":"article-journal","volume":"29"}}],"schema":"https://github.com/citation-style-language/schema/raw/master/csl-citation.json"} </w:instrText>
      </w:r>
      <w:r w:rsidRPr="00C421E4">
        <w:rPr>
          <w:rFonts w:ascii="Times" w:hAnsi="Times"/>
        </w:rPr>
        <w:fldChar w:fldCharType="separate"/>
      </w:r>
      <w:r w:rsidRPr="00C421E4">
        <w:rPr>
          <w:rFonts w:ascii="Times" w:hAnsi="Times"/>
          <w:noProof/>
        </w:rPr>
        <w:t>(Vanderploeg, Curtiss, Luis, &amp; Salazar, 2007)</w:t>
      </w:r>
      <w:r w:rsidRPr="00C421E4">
        <w:rPr>
          <w:rFonts w:ascii="Times" w:hAnsi="Times"/>
        </w:rPr>
        <w:fldChar w:fldCharType="end"/>
      </w:r>
      <w:r w:rsidRPr="00C421E4">
        <w:rPr>
          <w:rFonts w:ascii="Times" w:hAnsi="Times"/>
        </w:rPr>
        <w:t xml:space="preserve">. Further, a recent meta-analysis, which aggregated findings from nine studies, found post-TBI anxiety, namely Acute Distress Disorder, to be a robust occurrence </w:t>
      </w:r>
      <w:r w:rsidRPr="00C421E4">
        <w:rPr>
          <w:rFonts w:ascii="Times" w:hAnsi="Times"/>
        </w:rPr>
        <w:fldChar w:fldCharType="begin" w:fldLock="1"/>
      </w:r>
      <w:r w:rsidRPr="00C421E4">
        <w:rPr>
          <w:rFonts w:ascii="Times" w:hAnsi="Times"/>
        </w:rPr>
        <w:instrText xml:space="preserve"> ADDIN ZOTERO_ITEM CSL_CITATION {"citationID":"0DqgCZQb","properties":{"formattedCitation":"(Scholten et al., 2016)","plainCitation":"(Scholten et al., 2016)"},"citationItems":[{"id":"ITEM-1","uris":["http://www.mendeley.com/documents/?uuid=80d108a7-06d0-4376-a1da-3f0a0fe8722b"],"uri":["http://www.mendeley.com/documents/?uuid=80d108a7-06d0-4376-a1da-3f0a0fe8722b"],"itemData":{"DOI":"10.1089/neu.2015.4252","ISSN":"1557-9042","PMID":"26729611","abstract":"This review examined the pre- and post-injury prevalence of and risk factors for anxiety disorders and depressive disorders following traumatic brain injury (TBI), based on evidence from structured diagnostic interviews. A systematic literature search was conducted in EMBASE, MEDLINE, Cochrane Central, PubMed, PsycINFO, and Google Scholar. We identified studies in civilian adults with TBI reporting on the prevalence of anxiety and depressive disorders using structured diagnostic interviews, and assessed their quality. Pooled pre- and post-injury prevalence estimates of anxiety disorders and depressive disorders were computed. A total of 34 studies described in 68 publications were identified, often assessing anxiety disorders (n=9), depressive disorders (n=7), or a combination of disorders (n=6). Prevalence rates of psychiatric disorders varied widely. Pooled prevalence estimates of anxiety and depressive disorders were 19% and 13% prior to TBI, and 21% and 17% in the first year after TBI. Pooled prevalence estimates increased over time, and indicated high long-term prevalence of Axis I disorders (54%), including anxiety disorders (36%) or depressive disorders (43%). Females, those without employment, and those with a psychiatric history before TBI were at higher risk for anxiety and depressive disorders following TBI. We conclude that a substantial number of patients encounter anxiety and depressive disorders following TBI, and that these problems persist over time. All healthcare settings should pay attention to the occurrence of psychiatric symptoms in the aftermath of TBI to enable early identification and treatment of these disorders and to enhance the recovery and quality of life of TBI survivors.","author":[{"dropping-particle":"","family":"Scholten","given":"Annemieke C","non-dropping-particle":"","parse-names":false,"suffix":""},{"dropping-particle":"","family":"Haagsma","given":"Juanita Antje","non-dropping-particle":"","parse-names":false,"suffix":""},{"dropping-particle":"","family":"Cnossen","given":"Maryse Catharina","non-dropping-particle":"","parse-names":false,"suffix":""},{"dropping-particle":"","family":"Olff","given":"Miranda","non-dropping-particle":"","parse-names":false,"suffix":""},{"dropping-particle":"","family":"Beeck","given":"Ed F","non-dropping-particle":"Van","parse-names":false,"suffix":""},{"dropping-particle":"","family":"Polinder","given":"Suzanne","non-dropping-particle":"","parse-names":false,"suffix":""}],"container-title":"Journal of neurotrauma","id":"ITEM-1","issued":{"date-parts":[["2016"]]},"title":"Prevalence and risk factors of anxiety and depressive disorders following traumatic brain injury: a systematic review.","type":"article-journal"}}],"schema":"https://github.com/citation-style-language/schema/raw/master/csl-citation.json"} </w:instrText>
      </w:r>
      <w:r w:rsidRPr="00C421E4">
        <w:rPr>
          <w:rFonts w:ascii="Times" w:hAnsi="Times"/>
        </w:rPr>
        <w:fldChar w:fldCharType="separate"/>
      </w:r>
      <w:r w:rsidRPr="00C421E4">
        <w:rPr>
          <w:rFonts w:ascii="Times" w:hAnsi="Times"/>
          <w:noProof/>
        </w:rPr>
        <w:t>(Scholten et al., 2016)</w:t>
      </w:r>
      <w:r w:rsidRPr="00C421E4">
        <w:rPr>
          <w:rFonts w:ascii="Times" w:hAnsi="Times"/>
        </w:rPr>
        <w:fldChar w:fldCharType="end"/>
      </w:r>
      <w:r w:rsidRPr="00C421E4">
        <w:rPr>
          <w:rFonts w:ascii="Times" w:hAnsi="Times"/>
        </w:rPr>
        <w:t xml:space="preserve">, albeit not as robust as depression. Finally, perhaps as a consequence of increased depression and anxiety, suicide rates are higher 6 years after a single mTBI than in controls. This is true even when controlling for pre-injury psychiatric issues </w:t>
      </w:r>
      <w:r w:rsidRPr="00C421E4">
        <w:rPr>
          <w:rFonts w:ascii="Times" w:hAnsi="Times"/>
        </w:rPr>
        <w:fldChar w:fldCharType="begin" w:fldLock="1"/>
      </w:r>
      <w:r w:rsidRPr="00C421E4">
        <w:rPr>
          <w:rFonts w:ascii="Times" w:hAnsi="Times"/>
        </w:rPr>
        <w:instrText xml:space="preserve"> ADDIN ZOTERO_ITEM CSL_CITATION {"citationID":"BqKG9nZY","properties":{"formattedCitation":"(Fralick, Thiruchelvam, Tien, &amp; Redelmeier, 2016)","plainCitation":"(Fralick, Thiruchelvam, Tien, &amp; Redelmeier, 2016)"},"citationItems":[{"id":"ITEM-1","uris":["http://www.mendeley.com/documents/?uuid=5385d56f-9853-467d-a9fe-7f85b96d65c3"],"uri":["http://www.mendeley.com/documents/?uuid=5385d56f-9853-467d-a9fe-7f85b96d65c3"],"itemData":{"DOI":"10.1503/cmaj.150790","ISSN":"14882329","PMID":"26858348","abstract":"BACKGROUND: Head injuries have been associated with subsequent suicide among military personnel, but outcomes after a concussion in the community are uncertain. We assessed the long-term risk of suicide after concussions occurring on weekends or weekdays in the community. METHODS: We performed a longitudinal cohort analysis of adults with diagnosis of a concussion in Ontario, Canada, from Apr. 1, 1992, to Mar. 31, 2012 (a 20-yr period), excluding severe cases that resulted in hospital admission. The primary outcome was the long-term risk of suicide after a weekend or weekday concussion. RESULTS: We identified 235 110 patients with a concussion. Their mean age was 41 years, 52% were men, and most (86%) lived in an urban location. A total of 667 subsequent suicides occurred over a median follow-up of 9.3 years, equivalent to 31 deaths per 100 000 patients annually or 3 times the population norm. Weekend concussions were associated with a one-third further increased risk of suicide compared with weekday concussions (relative risk 1.36, 95% confidence interval 1.14-1.64). The increased risk applied regardless of patients' demographic characteristics, was independent of past psychiatric conditions, became accentuated with time and exceeded the risk among military personnel. Half of these patients had visited a physician in the last week of life. INTERPRETATION: Adults with a diagnosis of concussion had an increased long-term risk of suicide, particularly after concussions on weekends. Greater attention to the long-term care of patients after a concussion in the community might save lives because deaths from suicide can be prevented. Language: en","author":[{"dropping-particle":"","family":"Fralick","given":"Michael","non-dropping-particle":"","parse-names":false,"suffix":""},{"dropping-particle":"","family":"Thiruchelvam","given":"Deva","non-dropping-particle":"","parse-names":false,"suffix":""},{"dropping-particle":"","family":"Tien","given":"Homer C.","non-dropping-particle":"","parse-names":false,"suffix":""},{"dropping-particle":"","family":"Redelmeier","given":"Donald A.","non-dropping-particle":"","parse-names":false,"suffix":""}],"container-title":"CMAJ","id":"ITEM-1","issue":"7","issued":{"date-parts":[["2016"]]},"page":"497-504","title":"Risk of suicide after a concussion","type":"article-journal","volume":"188"}}],"schema":"https://github.com/citation-style-language/schema/raw/master/csl-citation.json"} </w:instrText>
      </w:r>
      <w:r w:rsidRPr="00C421E4">
        <w:rPr>
          <w:rFonts w:ascii="Times" w:hAnsi="Times"/>
        </w:rPr>
        <w:fldChar w:fldCharType="separate"/>
      </w:r>
      <w:r w:rsidRPr="00C421E4">
        <w:rPr>
          <w:rFonts w:ascii="Times" w:hAnsi="Times"/>
          <w:noProof/>
        </w:rPr>
        <w:t>(Fralick, Thiruchelvam, Tien, &amp; Redelmeier, 2016)</w:t>
      </w:r>
      <w:r w:rsidRPr="00C421E4">
        <w:rPr>
          <w:rFonts w:ascii="Times" w:hAnsi="Times"/>
        </w:rPr>
        <w:fldChar w:fldCharType="end"/>
      </w:r>
      <w:r w:rsidRPr="00C421E4">
        <w:rPr>
          <w:rFonts w:ascii="Times" w:hAnsi="Times"/>
        </w:rPr>
        <w:t>.</w:t>
      </w:r>
    </w:p>
    <w:p w14:paraId="59119488" w14:textId="77777777" w:rsidR="00F7044C" w:rsidRPr="00C421E4" w:rsidRDefault="00F7044C" w:rsidP="00F7044C">
      <w:pPr>
        <w:spacing w:line="480" w:lineRule="auto"/>
        <w:rPr>
          <w:rFonts w:ascii="Times" w:hAnsi="Times"/>
        </w:rPr>
      </w:pPr>
    </w:p>
    <w:p w14:paraId="127C0CE3" w14:textId="77777777" w:rsidR="00F7044C" w:rsidRPr="00C421E4" w:rsidRDefault="00F7044C" w:rsidP="00F7044C">
      <w:pPr>
        <w:spacing w:line="480" w:lineRule="auto"/>
        <w:rPr>
          <w:rFonts w:ascii="Times" w:hAnsi="Times"/>
        </w:rPr>
      </w:pPr>
      <w:r w:rsidRPr="00C421E4">
        <w:rPr>
          <w:rFonts w:ascii="Times" w:hAnsi="Times"/>
        </w:rPr>
        <w:t xml:space="preserve">There are also subtle differences in emotional functioning between mTBI participants and controls. For instance, when comparing mTBI participants to another injured population (i.e., a group with bodily injury), chronic mTBI participants had decreased reaction time to threatening (negative) stimuli (i.e., faster attention allocation) during a go/no-go task </w:t>
      </w:r>
      <w:r w:rsidRPr="00C421E4">
        <w:rPr>
          <w:rFonts w:ascii="Times" w:hAnsi="Times"/>
        </w:rPr>
        <w:fldChar w:fldCharType="begin"/>
      </w:r>
      <w:r w:rsidRPr="00C421E4">
        <w:rPr>
          <w:rFonts w:ascii="Times" w:hAnsi="Times"/>
        </w:rPr>
        <w:instrText xml:space="preserve"> ADDIN ZOTERO_ITEM CSL_CITATION {"citationID":"2okv1t9so2","properties":{"formattedCitation":"{\\rtf (M\\uc0\\u228{}ki-Marttunen et al., 2015)}","plainCitation":"(Mäki-Marttunen et al., 2015)"},"citationItems":[{"id":978,"uris":["http://zotero.org/users/4141602/items/NXS4KWIP"],"uri":["http://zotero.org/users/4141602/items/NXS4KWIP"],"itemData":{"id":978,"type":"article-journal","title":"Enhanced attention capture by emotional stimuli in mild traumatic brain injury","container-title":"Journal of neurotrauma","page":"272-279","volume":"32","issue":"4","author":[{"family":"Mäki-Marttunen","given":"Verónica"},{"family":"Kuusinen","given":"Venla"},{"family":"Brause","given":"Maarja"},{"family":"Peräkylä","given":"Jari"},{"family":"Polvivaara","given":"Markus"},{"family":"Santos Ribeiro","given":"Rodolfo","non-dropping-particle":"dos"},{"family":"Öhman","given":"Juha"},{"family":"Hartikainen","given":"Kaisa M."}],"issued":{"date-parts":[["2015"]]}}}],"schema":"https://github.com/citation-style-language/schema/raw/master/csl-citation.json"} </w:instrText>
      </w:r>
      <w:r w:rsidRPr="00C421E4">
        <w:rPr>
          <w:rFonts w:ascii="Times" w:hAnsi="Times"/>
        </w:rPr>
        <w:fldChar w:fldCharType="separate"/>
      </w:r>
      <w:r w:rsidRPr="00C421E4">
        <w:rPr>
          <w:rFonts w:ascii="Times" w:hAnsi="Times"/>
        </w:rPr>
        <w:t>(Mäki-Marttunen et al., 2015)</w:t>
      </w:r>
      <w:r w:rsidRPr="00C421E4">
        <w:rPr>
          <w:rFonts w:ascii="Times" w:hAnsi="Times"/>
        </w:rPr>
        <w:fldChar w:fldCharType="end"/>
      </w:r>
      <w:r w:rsidRPr="00C421E4">
        <w:rPr>
          <w:rFonts w:ascii="Times" w:hAnsi="Times"/>
        </w:rPr>
        <w:t xml:space="preserve">. In parallel, Event Related Potential (ERP) measures showed faster attention allocation to threatening stimuli. In other words, mTBI participants were more vigilant to the emotional stimuli. The authors of this study suggested the relationship between bottom-up (i.e., emotion enhancing) and top-down (i.e., emotion dampening) processes may be diminished in this population. However, there is some evidence to suggest that emotional processing deficits occur in only a subgroup of mTBI participants, rather than in all mTBI participants. For instance, individuals with ongoing mTBI-related complaints had more difficulty recognizing fearful faces than mTBI participants without complaints or uninjured controls, suggesting </w:t>
      </w:r>
      <w:r w:rsidRPr="00C421E4">
        <w:rPr>
          <w:rFonts w:ascii="Times" w:hAnsi="Times"/>
        </w:rPr>
        <w:lastRenderedPageBreak/>
        <w:t xml:space="preserve">only those with ongoing mTBI-related symptoms may have poorer emotional processing </w:t>
      </w:r>
      <w:r w:rsidRPr="00C421E4">
        <w:rPr>
          <w:rFonts w:ascii="Times" w:hAnsi="Times"/>
        </w:rPr>
        <w:fldChar w:fldCharType="begin"/>
      </w:r>
      <w:r w:rsidRPr="00C421E4">
        <w:rPr>
          <w:rFonts w:ascii="Times" w:hAnsi="Times"/>
        </w:rPr>
        <w:instrText xml:space="preserve"> ADDIN ZOTERO_ITEM CSL_CITATION {"citationID":"smi2mgkb4","properties":{"formattedCitation":"(Drapeau, Gosselin, Peretz, &amp; McKerral, 2017)","plainCitation":"(Drapeau, Gosselin, Peretz, &amp; McKerral, 2017)"},"citationItems":[{"id":979,"uris":["http://zotero.org/users/4141602/items/8GD5C854"],"uri":["http://zotero.org/users/4141602/items/8GD5C854"],"itemData":{"id":979,"type":"article-journal","title":"Emotional recognition from dynamic facial, vocal and musical expressions following traumatic brain injury","container-title":"Brain injury","page":"221-229","volume":"31","issue":"2","author":[{"family":"Drapeau","given":"Joanie"},{"family":"Gosselin","given":"Nathalie"},{"family":"Peretz","given":"Isabelle"},{"family":"McKerral","given":"Michelle"}],"issued":{"date-parts":[["2017"]]}}}],"schema":"https://github.com/citation-style-language/schema/raw/master/csl-citation.json"} </w:instrText>
      </w:r>
      <w:r w:rsidRPr="00C421E4">
        <w:rPr>
          <w:rFonts w:ascii="Times" w:hAnsi="Times"/>
        </w:rPr>
        <w:fldChar w:fldCharType="separate"/>
      </w:r>
      <w:r w:rsidRPr="00C421E4">
        <w:rPr>
          <w:rFonts w:ascii="Times" w:hAnsi="Times"/>
          <w:noProof/>
        </w:rPr>
        <w:t>(Drapeau, Gosselin, Peretz, &amp; McKerral, 2017)</w:t>
      </w:r>
      <w:r w:rsidRPr="00C421E4">
        <w:rPr>
          <w:rFonts w:ascii="Times" w:hAnsi="Times"/>
        </w:rPr>
        <w:fldChar w:fldCharType="end"/>
      </w:r>
      <w:r w:rsidRPr="00C421E4">
        <w:rPr>
          <w:rFonts w:ascii="Times" w:hAnsi="Times"/>
        </w:rPr>
        <w:t xml:space="preserve">. </w:t>
      </w:r>
    </w:p>
    <w:p w14:paraId="3C070E06" w14:textId="77777777" w:rsidR="00F7044C" w:rsidRPr="00C421E4" w:rsidRDefault="00F7044C" w:rsidP="00F7044C">
      <w:pPr>
        <w:spacing w:line="480" w:lineRule="auto"/>
        <w:rPr>
          <w:rFonts w:ascii="Times" w:hAnsi="Times"/>
        </w:rPr>
      </w:pPr>
    </w:p>
    <w:p w14:paraId="75B1C070" w14:textId="77777777" w:rsidR="00F7044C" w:rsidRPr="00CC0883" w:rsidRDefault="00F7044C" w:rsidP="00F7044C">
      <w:pPr>
        <w:spacing w:line="480" w:lineRule="auto"/>
        <w:jc w:val="center"/>
        <w:outlineLvl w:val="0"/>
        <w:rPr>
          <w:rFonts w:ascii="Times" w:hAnsi="Times"/>
          <w:b/>
        </w:rPr>
      </w:pPr>
      <w:r>
        <w:rPr>
          <w:rFonts w:ascii="Times" w:hAnsi="Times"/>
          <w:b/>
        </w:rPr>
        <w:t xml:space="preserve">4. </w:t>
      </w:r>
      <w:r w:rsidRPr="00CC0883">
        <w:rPr>
          <w:rFonts w:ascii="Times" w:hAnsi="Times"/>
          <w:b/>
        </w:rPr>
        <w:t>Sleep</w:t>
      </w:r>
    </w:p>
    <w:p w14:paraId="3F3074BC" w14:textId="77777777" w:rsidR="00F7044C" w:rsidRPr="00C421E4" w:rsidRDefault="00F7044C" w:rsidP="00F7044C">
      <w:pPr>
        <w:spacing w:line="480" w:lineRule="auto"/>
        <w:rPr>
          <w:rFonts w:ascii="Times" w:hAnsi="Times"/>
        </w:rPr>
      </w:pPr>
      <w:r w:rsidRPr="00C421E4">
        <w:rPr>
          <w:rFonts w:ascii="Times" w:hAnsi="Times"/>
        </w:rPr>
        <w:t xml:space="preserve">Sleep disturbances are one of the most prevalent complaints following mTBI </w:t>
      </w:r>
      <w:r w:rsidRPr="00C421E4">
        <w:rPr>
          <w:rFonts w:ascii="Times" w:hAnsi="Times"/>
        </w:rPr>
        <w:fldChar w:fldCharType="begin" w:fldLock="1"/>
      </w:r>
      <w:r w:rsidRPr="00C421E4">
        <w:rPr>
          <w:rFonts w:ascii="Times" w:hAnsi="Times"/>
        </w:rPr>
        <w:instrText xml:space="preserve"> ADDIN ZOTERO_ITEM CSL_CITATION {"citationID":"lM2W5Qrk","properties":{"formattedCitation":"(Haboubi, Long, Koshy, &amp; Ward, 2001)","plainCitation":"(Haboubi, Long, Koshy, &amp; Ward, 2001)"},"citationItems":[{"id":"ITEM-1","uris":["http://www.mendeley.com/documents/?uuid=b724b329-95f6-4f1c-9eaa-5f3fb6c39e6e"],"uri":["http://www.mendeley.com/documents/?uuid=b724b329-95f6-4f1c-9eaa-5f3fb6c39e6e"],"itemData":{"DOI":"10.1080/09638280110038966","ISSN":"0963-8288","PMID":"11697461","abstract":"PURPOSE: It is known that post-concussive symptoms may persist after mild head injury. However, the majority of those patients are denied follow-up or support. A minor head injury clinic was thus established in North Staffordshire Hospital in 1993 to address these problems. METHODS: Patients 16-65 years old attending hospital with minor head injury were invited to attend the clinic two weeks after presentation. A specialized brain injury nurse and/or assistant clinical psychologist assessed them. Patients with persistent symptoms were invited to a second assessment four weeks later. RESULTS: One thousand two hundred and fifty-five patients were invited for first assessment, the most common cause of head injury was assault (454) followed by road traffic accident (334). Six hundred and sixteen patients did not attend the first assessment; most of non-attendees were those who had been assaulted (281). Six hundred and thirty-nine patients attended, (472) were male, their mean age was 33. Forty-three per cent of them had history of recent alcohol intake. One third had had a previous head injury. Although 391 attendees were in regular employment, 219 patients were unable to return to work 2 weeks after discharge (56%), and 49 people were still off sick 6 weeks after the injury. The most common complaints at both assessments were fatigue, headache, dizziness, irritability, sleep disturbances, poor concentration and poor memory in that order. CONCLUSION: This study shows a significant number of patients with minor head injury still complaining of post concussive symptoms, which may contribute to a delay in return to work. The high incidence of non-attendance among the assaulted victims may indicate that this group needs to be more effectively targeted. Further study to look at the longer-term consequences of minor head injury is required in view of these findings.","author":[{"dropping-particle":"","family":"Haboubi","given":"N H","non-dropping-particle":"","parse-names":false,"suffix":""},{"dropping-particle":"","family":"Long","given":"J","non-dropping-particle":"","parse-names":false,"suffix":""},{"dropping-particle":"","family":"Koshy","given":"M","non-dropping-particle":"","parse-names":false,"suffix":""},{"dropping-particle":"","family":"Ward","given":"a B","non-dropping-particle":"","parse-names":false,"suffix":""}],"container-title":"Disability and rehabilitation","id":"ITEM-1","issue":"14","issued":{"date-parts":[["2001"]]},"page":"635-638","title":"Short-term sequelae of minor head injury (6 years experience of minor head injury clinic).","type":"article-journal","volume":"23"}}],"schema":"https://github.com/citation-style-language/schema/raw/master/csl-citation.json"} </w:instrText>
      </w:r>
      <w:r w:rsidRPr="00C421E4">
        <w:rPr>
          <w:rFonts w:ascii="Times" w:hAnsi="Times"/>
        </w:rPr>
        <w:fldChar w:fldCharType="separate"/>
      </w:r>
      <w:r w:rsidRPr="00C421E4">
        <w:rPr>
          <w:rFonts w:ascii="Times" w:hAnsi="Times"/>
          <w:noProof/>
        </w:rPr>
        <w:t>(Haboubi, Long, Koshy, &amp; Ward, 2001)</w:t>
      </w:r>
      <w:r w:rsidRPr="00C421E4">
        <w:rPr>
          <w:rFonts w:ascii="Times" w:hAnsi="Times"/>
        </w:rPr>
        <w:fldChar w:fldCharType="end"/>
      </w:r>
      <w:r w:rsidRPr="00C421E4">
        <w:rPr>
          <w:rFonts w:ascii="Times" w:hAnsi="Times"/>
        </w:rPr>
        <w:t xml:space="preserve">, with some estimates as high as 80% of individuals having sleep issues after mTBI </w:t>
      </w:r>
      <w:r w:rsidRPr="00C421E4">
        <w:rPr>
          <w:rFonts w:ascii="Times" w:hAnsi="Times"/>
        </w:rPr>
        <w:fldChar w:fldCharType="begin"/>
      </w:r>
      <w:r w:rsidRPr="00C421E4">
        <w:rPr>
          <w:rFonts w:ascii="Times" w:hAnsi="Times"/>
        </w:rPr>
        <w:instrText xml:space="preserve"> ADDIN ZOTERO_ITEM CSL_CITATION {"citationID":"298mji1j8c","properties":{"formattedCitation":"(Parcell, Ponsford, Rajaratnam, &amp; Redman, 2006)","plainCitation":"(Parcell, Ponsford, Rajaratnam, &amp; Redman, 2006)"},"citationItems":[{"id":461,"uris":["http://zotero.org/users/4141602/items/X4SW5IM6"],"uri":["http://zotero.org/users/4141602/items/X4SW5IM6"],"itemData":{"id":461,"type":"article-journal","title":"Self-reported changes to nighttime sleep after traumatic brain injury","container-title":"Archives of Physical Medicine and Rehabilitation","page":"278-285","volume":"87","issue":"2","abstract":"Objectives: To explore subjective sleep reports from people in the chronic stages of traumatic brain injury (TBI) and to examine the extent and nature of sleep complaints in this population. Design: Survey. Setting: All participants were community based at the time of data collection. Participants: Sixty-three subjects with TBI consecutively recruited after discharge from rehabilitation and 63 age- and sex-matched controls from the general community. Interventions: Not applicable. Main Outcome Measures: A 7-day self-reported sleep-wake diary assessing sleep and wake times, sleep onset latency, frequency, and duration of nocturnal awakenings and daytime naps; a general sleep questionnaire used to evaluate sleep changes and quality; and the Epworth Sleepiness Scale to measure daytime sleepiness. Results: Group-wise comparisons showed a significantly higher frequency of reported sleep changes after TBI (80%) relative to the control group (23%), supporting previous findings. The TBI group reported more nighttime awakenings and longer sleep onset latency; these changes were more frequently reported by participants with TBI with milder injuries. Increased levels of anxiety and depression were associated with increased reporting of sleep changes. Conclusions: These findings confirm the experience of changes to sleep after TBI and may at least in part account for the reported increased daytime sleepiness in this population. Sleep disturbance should be addressed during rehabilitation. Treatments need to focus on correcting the underlying cause of the sleep problem and to address patients' subjective experiences of their sleep, possibly through education and mood stabilization. © 2006 by the American Congress of Rehabilitation Medicine and the American Academy of Physical Medicine and Rehabilitation.","DOI":"10.1016/j.apmr.2005.10.024","ISSN":"0003-9993 (Print)","author":[{"family":"Parcell","given":"Diane L."},{"family":"Ponsford","given":"Jennie L."},{"family":"Rajaratnam","given":"Shantha M."},{"family":"Redman","given":"Jennifer R."}],"issued":{"date-parts":[["2006"]]}}}],"schema":"https://github.com/citation-style-language/schema/raw/master/csl-citation.json"} </w:instrText>
      </w:r>
      <w:r w:rsidRPr="00C421E4">
        <w:rPr>
          <w:rFonts w:ascii="Times" w:hAnsi="Times"/>
        </w:rPr>
        <w:fldChar w:fldCharType="separate"/>
      </w:r>
      <w:r w:rsidRPr="00C421E4">
        <w:rPr>
          <w:rFonts w:ascii="Times" w:hAnsi="Times"/>
          <w:noProof/>
        </w:rPr>
        <w:t>(Parcell, Ponsford, Rajaratnam, &amp; Redman, 2006)</w:t>
      </w:r>
      <w:r w:rsidRPr="00C421E4">
        <w:rPr>
          <w:rFonts w:ascii="Times" w:hAnsi="Times"/>
        </w:rPr>
        <w:fldChar w:fldCharType="end"/>
      </w:r>
      <w:r w:rsidRPr="00C421E4">
        <w:rPr>
          <w:rFonts w:ascii="Times" w:hAnsi="Times"/>
        </w:rPr>
        <w:t xml:space="preserve">. Chronically injured individuals report poorer sleep quality </w:t>
      </w:r>
      <w:r w:rsidRPr="00C421E4">
        <w:rPr>
          <w:rFonts w:ascii="Times" w:hAnsi="Times"/>
        </w:rPr>
        <w:fldChar w:fldCharType="begin" w:fldLock="1"/>
      </w:r>
      <w:r w:rsidRPr="00C421E4">
        <w:rPr>
          <w:rFonts w:ascii="Times" w:hAnsi="Times"/>
        </w:rPr>
        <w:instrText xml:space="preserve"> ADDIN ZOTERO_ITEM CSL_CITATION {"citationID":"gjFXmeEk","properties":{"formattedCitation":"(Parcell, Ponsford, Redman, &amp; Rajaratnam, 2008)","plainCitation":"(Parcell, Ponsford, Redman, &amp; Rajaratnam, 2008)"},"citationItems":[{"id":"ITEM-1","uris":["http://www.mendeley.com/documents/?uuid=86fa6cb9-1c26-45c9-bc8f-969594dd5480"],"uri":["http://www.mendeley.com/documents/?uuid=86fa6cb9-1c26-45c9-bc8f-969594dd5480"],"itemData":{"DOI":"10.1016/j.apmr.2007.09.057","ISBN":"0003-9993","ISSN":"1532-821X","PMID":"18452730","abstract":"Parcell DL, Ponsford JL, Redman JR, Rajaratnam SM. Poor sleep quality and changes in objectively recorded sleep after traumatic brain injury: a preliminary study. Objectives: To evaluate changes in sleep quality and objectively assessed sleep parameters after traumatic brain injury (TBI) and to investigate the relationship between such changes and mood state and injury characteristics. Design: Survey and laboratory-based nocturnal polysomnography. Setting: Sleep laboratory. Participants: Ten community-based subjects with moderate to very severe TBI and 10 age- and sex-matched controls from the general community. Interventions: Not applicable. Main Outcome Measures: Pittsburgh Sleep Quality Index for self-report sleep quality, nocturnal polysomnography for objective sleep recording, and Hospital Anxiety and Depression Scales. Results: Compared with controls, TBI patients reported significantly poorer sleep quality and higher levels of anxiety and depression. Objective sleep recording showed that TBI patients showed an increase in deep (slow wave) sleep, a reduction in rapid eye movement sleep, and more frequent nighttime awakenings. No significant relationship was observed between these changes in sleep and injury severity or time since injury. Anxiety and depression covaried with the observed changes in sleep. Conclusions: The findings contribute to the growing body of evidence that sleep is involved in the physiologic processes underlying neural recovery. The association between anxiety and depression and the observed changes in sleep in TBI patients warrants further examination to determine whether a causative relationship exists. ?? 2008 American Congress of Rehabilitation Medicine and the American Academy of Physical Medicine and Rehabilitation.","author":[{"dropping-particle":"","family":"Parcell","given":"Diane L.","non-dropping-particle":"","parse-names":false,"suffix":""},{"dropping-particle":"","family":"Ponsford","given":"Jennie L.","non-dropping-particle":"","parse-names":false,"suffix":""},{"dropping-particle":"","family":"Redman","given":"Jennifer R.","non-dropping-particle":"","parse-names":false,"suffix":""},{"dropping-particle":"","family":"Rajaratnam","given":"Shantha M.","non-dropping-particle":"","parse-names":false,"suffix":""}],"container-title":"Archives of physical medicine and rehabilitation","id":"ITEM-1","issue":"5","issued":{"date-parts":[["2008"]]},"page":"843-50","title":"Poor sleep quality and changes in objectively recorded sleep after traumatic brain injury: a preliminary study.","type":"article-journal","volume":"89"}}],"schema":"https://github.com/citation-style-language/schema/raw/master/csl-citation.json"} </w:instrText>
      </w:r>
      <w:r w:rsidRPr="00C421E4">
        <w:rPr>
          <w:rFonts w:ascii="Times" w:hAnsi="Times"/>
        </w:rPr>
        <w:fldChar w:fldCharType="separate"/>
      </w:r>
      <w:r w:rsidRPr="00C421E4">
        <w:rPr>
          <w:rFonts w:ascii="Times" w:hAnsi="Times"/>
          <w:noProof/>
        </w:rPr>
        <w:t>(Parcell, Ponsford, Redman, &amp; Rajaratnam, 2008)</w:t>
      </w:r>
      <w:r w:rsidRPr="00C421E4">
        <w:rPr>
          <w:rFonts w:ascii="Times" w:hAnsi="Times"/>
        </w:rPr>
        <w:fldChar w:fldCharType="end"/>
      </w:r>
      <w:r w:rsidRPr="00C421E4">
        <w:rPr>
          <w:rFonts w:ascii="Times" w:hAnsi="Times"/>
        </w:rPr>
        <w:t xml:space="preserve"> and daytime sleepiness </w:t>
      </w:r>
      <w:r w:rsidRPr="00C421E4">
        <w:rPr>
          <w:rFonts w:ascii="Times" w:hAnsi="Times"/>
        </w:rPr>
        <w:fldChar w:fldCharType="begin" w:fldLock="1"/>
      </w:r>
      <w:r w:rsidRPr="00C421E4">
        <w:rPr>
          <w:rFonts w:ascii="Times" w:hAnsi="Times"/>
        </w:rPr>
        <w:instrText xml:space="preserve"> ADDIN ZOTERO_ITEM CSL_CITATION {"citationID":"7EVvU6hn","properties":{"formattedCitation":"(Kaiser et al., 2010)","plainCitation":"(Kaiser et al., 2010)"},"citationItems":[{"id":"ITEM-1","uris":["http://www.mendeley.com/documents/?uuid=da96d6fa-0cc2-4797-b60d-4dbf4c69d19e"],"uri":["http://www.mendeley.com/documents/?uuid=da96d6fa-0cc2-4797-b60d-4dbf4c69d19e"],"itemData":{"DOI":"10.1212/WNL.0b013e3181fd62a2","ISBN":"1526-632X (Electronic)\\r0028-3878 (Linking)","ISSN":"00283878","PMID":"21079179","abstract":"BACKGROUND: Excessive daytime sleepiness (EDS) and fatigue are common symptoms after traumatic brain injury (TBI), but there is no specific treatment for affected patients. With this pilot study, we aimed at studying the effect of daily modafinil on posttraumatic EDS and fatigue.\\n\\nMETHODS: We conducted a prospective, double-blind, randomized, placebo-controlled pilot study in 20 patients with TBI who had fatigue or EDS or both. After baseline examinations (questionnaires including the Epworth Sleepiness Scale to assess EDS and the Fatigue Severity Scale to assess fatigue, actigraphy, polysomnography, maintenance of wakefulness test, and psychomotor vigilance test), 10 patients received 100 to 200 mg modafinil every morning, and 10 patients were treated with placebo. After a 6-week treatment period, all examinations were repeated.\\n\\nRESULTS: EDS improved significantly in patients with TBI who were treated with modafinil, compared with the placebo group. Similarly, the ability to stay awake on the maintenance of wakefulness test improved only in the modafinil group. Modafinil, however, had no impact on posttraumatic fatigue. Clinically relevant side effects were not observed.\\n\\nCONCLUSION: This study indicates that modafinil is effective and well tolerated in the treatment of posttraumatic EDS but not of fatigue.\\n\\nCLASSIFICATION OF EVIDENCE: This study provides Class I evidence that modafinil (100-200 mg daily) improves posttraumatic EDS compared with placebo. This study provides Class I evidence that modafinil (100-200 mg daily) does not improve posttraumatic fatigue compared with placebo.","author":[{"dropping-particle":"","family":"Kaiser","given":"P. R.","non-dropping-particle":"","parse-names":false,"suffix":""},{"dropping-particle":"","family":"Valko","given":"P. O.","non-dropping-particle":"","parse-names":false,"suffix":""},{"dropping-particle":"","family":"Werth","given":"E.","non-dropping-particle":"","parse-names":false,"suffix":""},{"dropping-particle":"","family":"Thomann","given":"J.","non-dropping-particle":"","parse-names":false,"suffix":""},{"dropping-particle":"","family":"Meier","given":"J.","non-dropping-particle":"","parse-names":false,"suffix":""},{"dropping-particle":"","family":"Stocker","given":"R.","non-dropping-particle":"","parse-names":false,"suffix":""},{"dropping-particle":"","family":"Bassetti","given":"C. L.","non-dropping-particle":"","parse-names":false,"suffix":""},{"dropping-particle":"","family":"Baumann","given":"C. R.","non-dropping-particle":"","parse-names":false,"suffix":""}],"container-title":"Neurology","id":"ITEM-1","issue":"20","issued":{"date-parts":[["2010"]]},"page":"1780-1785","title":"Modafinil ameliorates excessive daytime sleepiness after traumatic brain injury","type":"article-journal","volume":"75"}}],"schema":"https://github.com/citation-style-language/schema/raw/master/csl-citation.json"} </w:instrText>
      </w:r>
      <w:r w:rsidRPr="00C421E4">
        <w:rPr>
          <w:rFonts w:ascii="Times" w:hAnsi="Times"/>
        </w:rPr>
        <w:fldChar w:fldCharType="separate"/>
      </w:r>
      <w:r w:rsidRPr="00C421E4">
        <w:rPr>
          <w:rFonts w:ascii="Times" w:hAnsi="Times"/>
          <w:noProof/>
        </w:rPr>
        <w:t>(Kaiser et al., 2010)</w:t>
      </w:r>
      <w:r w:rsidRPr="00C421E4">
        <w:rPr>
          <w:rFonts w:ascii="Times" w:hAnsi="Times"/>
        </w:rPr>
        <w:fldChar w:fldCharType="end"/>
      </w:r>
      <w:r w:rsidRPr="00C421E4">
        <w:rPr>
          <w:rFonts w:ascii="Times" w:hAnsi="Times"/>
        </w:rPr>
        <w:t xml:space="preserve"> relative to healthy controls. Objective recordings of sleep (via polysomnography [PSG]) have validated these sleep complaints. For instance, individuals with a history of chronic mTBI had decreased sleep efficiency (time asleep/time in bed; </w:t>
      </w:r>
      <w:r w:rsidRPr="00C421E4">
        <w:rPr>
          <w:rFonts w:ascii="Times" w:hAnsi="Times"/>
        </w:rPr>
        <w:fldChar w:fldCharType="begin" w:fldLock="1"/>
      </w:r>
      <w:r w:rsidRPr="00C421E4">
        <w:rPr>
          <w:rFonts w:ascii="Times" w:hAnsi="Times"/>
        </w:rPr>
        <w:instrText xml:space="preserve"> ADDIN ZOTERO_ITEM CSL_CITATION {"citationID":"BmhQLBFw","properties":{"formattedCitation":"(Shekleton et al., 2010)","plainCitation":"(Shekleton et al., 2010)"},"citationItems":[{"id":"ITEM-1","uris":["http://www.mendeley.com/documents/?uuid=76009df7-2bc0-4f64-af1a-11ec70694254"],"uri":["http://www.mendeley.com/documents/?uuid=76009df7-2bc0-4f64-af1a-11ec70694254"],"itemData":{"DOI":"10.1212/WNL.0b013e3181e0438b","ISBN":"1526-632X (Electronic)\\r0028-3878 (Linking)","ISSN":"00283878","PMID":"20498441","abstract":"OBJECTIVES: Sleep disturbances commonly follow traumatic brain injury (TBI) and contribute to ongoing disability. However, there are no conclusive findings regarding specific changes to sleep quality and sleep architecture measured using polysomnography. Possible causes of the sleep disturbances include disruption of circadian regulation of sleep-wakefulness, psychological distress, and a neuronal response to injury. We investigated sleep-wake disturbances and their underlying mechanisms in a TBI patient sample. METHODS: This was an observational study comparing 23 patients with TBI (429.7 +/- 287.6 days post injury) and 23 age- and gender-matched healthy volunteers on polysomnographic sleep measures, salivary dim light melatonin onset (DLMO) time, and self-reported sleep quality, anxiety, and depression. RESULTS: Patients with TBI reported higher anxiety and depressive symptoms and sleep disturbance than controls. Patients with TBI showed decreased sleep efficiency (SE) and increased wake after sleep onset (WASO). Although no significant group differences were found in sleep architecture, when anxiety and depression scores were controlled, patients with TBI showed higher amount of slow wave sleep. No differences in self-reported sleep timing or salivary DLMO time were found. However, patients with TBI showed significantly lower levels of evening melatonin production. Melatonin level was significantly correlated with REM sleep but not SE or WASO. CONCLUSIONS: Reduced evening melatonin production may indicate disruption to circadian regulation of melatonin synthesis. The results suggest that there are at least 2 factors contributing to sleep disturbances in patients with traumatic brain injury. We propose that elevated depression is associated with reduced sleep quality, and increased slow wave sleep is attributed to the effects of mechanical brain damage.","author":[{"dropping-particle":"","family":"Shekleton","given":"J. A.","non-dropping-particle":"","parse-names":false,"suffix":""},{"dropping-particle":"","family":"Parcell","given":"D. L.","non-dropping-particle":"","parse-names":false,"suffix":""},{"dropping-particle":"","family":"Redman","given":"J. R.","non-dropping-particle":"","parse-names":false,"suffix":""},{"dropping-particle":"","family":"Phipps-Nelson","given":"J.","non-dropping-particle":"","parse-names":false,"suffix":""},{"dropping-particle":"","family":"Ponsford","given":"J. L.","non-dropping-particle":"","parse-names":false,"suffix":""},{"dropping-particle":"","family":"Rajaratnam","given":"S. M W","non-dropping-particle":"","parse-names":false,"suffix":""}],"container-title":"Neurology","id":"ITEM-1","issue":"21","issued":{"date-parts":[["2010"]]},"page":"1732-1738","title":"Sleep disturbance and melatonin levels following traumatic brain injury","type":"article-journal","volume":"74"}}],"schema":"https://github.com/citation-style-language/schema/raw/master/csl-citation.json"} </w:instrText>
      </w:r>
      <w:r w:rsidRPr="00C421E4">
        <w:rPr>
          <w:rFonts w:ascii="Times" w:hAnsi="Times"/>
        </w:rPr>
        <w:fldChar w:fldCharType="separate"/>
      </w:r>
      <w:r w:rsidRPr="00C421E4">
        <w:rPr>
          <w:rFonts w:ascii="Times" w:hAnsi="Times"/>
          <w:noProof/>
        </w:rPr>
        <w:t>Shekleton et al., 2010)</w:t>
      </w:r>
      <w:r w:rsidRPr="00C421E4">
        <w:rPr>
          <w:rFonts w:ascii="Times" w:hAnsi="Times"/>
        </w:rPr>
        <w:fldChar w:fldCharType="end"/>
      </w:r>
      <w:r w:rsidRPr="00C421E4">
        <w:rPr>
          <w:rFonts w:ascii="Times" w:hAnsi="Times"/>
        </w:rPr>
        <w:t xml:space="preserve"> and an increased number of awakenings relative to uninjured controls </w:t>
      </w:r>
      <w:r w:rsidRPr="00C421E4">
        <w:rPr>
          <w:rFonts w:ascii="Times" w:hAnsi="Times"/>
        </w:rPr>
        <w:fldChar w:fldCharType="begin" w:fldLock="1"/>
      </w:r>
      <w:r w:rsidRPr="00C421E4">
        <w:rPr>
          <w:rFonts w:ascii="Times" w:hAnsi="Times"/>
        </w:rPr>
        <w:instrText xml:space="preserve"> ADDIN ZOTERO_ITEM CSL_CITATION {"citationID":"fVLBdFVm","properties":{"formattedCitation":"(Parcell et al., 2008)","plainCitation":"(Parcell et al., 2008)"},"citationItems":[{"id":"ITEM-1","uris":["http://www.mendeley.com/documents/?uuid=86fa6cb9-1c26-45c9-bc8f-969594dd5480"],"uri":["http://www.mendeley.com/documents/?uuid=86fa6cb9-1c26-45c9-bc8f-969594dd5480"],"itemData":{"DOI":"10.1016/j.apmr.2007.09.057","ISBN":"0003-9993","ISSN":"1532-821X","PMID":"18452730","abstract":"Parcell DL, Ponsford JL, Redman JR, Rajaratnam SM. Poor sleep quality and changes in objectively recorded sleep after traumatic brain injury: a preliminary study. Objectives: To evaluate changes in sleep quality and objectively assessed sleep parameters after traumatic brain injury (TBI) and to investigate the relationship between such changes and mood state and injury characteristics. Design: Survey and laboratory-based nocturnal polysomnography. Setting: Sleep laboratory. Participants: Ten community-based subjects with moderate to very severe TBI and 10 age- and sex-matched controls from the general community. Interventions: Not applicable. Main Outcome Measures: Pittsburgh Sleep Quality Index for self-report sleep quality, nocturnal polysomnography for objective sleep recording, and Hospital Anxiety and Depression Scales. Results: Compared with controls, TBI patients reported significantly poorer sleep quality and higher levels of anxiety and depression. Objective sleep recording showed that TBI patients showed an increase in deep (slow wave) sleep, a reduction in rapid eye movement sleep, and more frequent nighttime awakenings. No significant relationship was observed between these changes in sleep and injury severity or time since injury. Anxiety and depression covaried with the observed changes in sleep. Conclusions: The findings contribute to the growing body of evidence that sleep is involved in the physiologic processes underlying neural recovery. The association between anxiety and depression and the observed changes in sleep in TBI patients warrants further examination to determine whether a causative relationship exists. ?? 2008 American Congress of Rehabilitation Medicine and the American Academy of Physical Medicine and Rehabilitation.","author":[{"dropping-particle":"","family":"Parcell","given":"Diane L.","non-dropping-particle":"","parse-names":false,"suffix":""},{"dropping-particle":"","family":"Ponsford","given":"Jennie L.","non-dropping-particle":"","parse-names":false,"suffix":""},{"dropping-particle":"","family":"Redman","given":"Jennifer R.","non-dropping-particle":"","parse-names":false,"suffix":""},{"dropping-particle":"","family":"Rajaratnam","given":"Shantha M.","non-dropping-particle":"","parse-names":false,"suffix":""}],"container-title":"Archives of physical medicine and rehabilitation","id":"ITEM-1","issue":"5","issued":{"date-parts":[["2008"]]},"page":"843-50","title":"Poor sleep quality and changes in objectively recorded sleep after traumatic brain injury: a preliminary study.","type":"article-journal","volume":"89"}}],"schema":"https://github.com/citation-style-language/schema/raw/master/csl-citation.json"} </w:instrText>
      </w:r>
      <w:r w:rsidRPr="00C421E4">
        <w:rPr>
          <w:rFonts w:ascii="Times" w:hAnsi="Times"/>
        </w:rPr>
        <w:fldChar w:fldCharType="separate"/>
      </w:r>
      <w:r w:rsidRPr="00C421E4">
        <w:rPr>
          <w:rFonts w:ascii="Times" w:hAnsi="Times"/>
          <w:noProof/>
        </w:rPr>
        <w:t>(Parcell et al., 2008)</w:t>
      </w:r>
      <w:r w:rsidRPr="00C421E4">
        <w:rPr>
          <w:rFonts w:ascii="Times" w:hAnsi="Times"/>
        </w:rPr>
        <w:fldChar w:fldCharType="end"/>
      </w:r>
      <w:r w:rsidRPr="00C421E4">
        <w:rPr>
          <w:rFonts w:ascii="Times" w:hAnsi="Times"/>
        </w:rPr>
        <w:t xml:space="preserve">. Furthermore, veterans with a history of combat-related mTBI (average 6 years after injury) had significantly more sleep complaints than veterans without mTBI </w:t>
      </w:r>
      <w:r w:rsidRPr="00C421E4">
        <w:rPr>
          <w:rFonts w:ascii="Times" w:hAnsi="Times"/>
        </w:rPr>
        <w:fldChar w:fldCharType="begin"/>
      </w:r>
      <w:r w:rsidRPr="00C421E4">
        <w:rPr>
          <w:rFonts w:ascii="Times" w:hAnsi="Times"/>
        </w:rPr>
        <w:instrText xml:space="preserve"> ADDIN ZOTERO_ITEM CSL_CITATION {"citationID":"1o48hbj9a0","properties":{"formattedCitation":"(Martindale et al., 2017)","plainCitation":"(Martindale et al., 2017)"},"citationItems":[{"id":967,"uris":["http://zotero.org/users/4141602/items/8MADEEF4"],"uri":["http://zotero.org/users/4141602/items/8MADEEF4"],"itemData":{"id":967,"type":"article-journal","title":"Sleep quality in returning veterans: the influence of mild traumatic brain injury","container-title":"Rehabilitation psychology","author":[{"family":"Martindale","given":"Sarah L."},{"family":"Farrell-Carnahan","given":"Leah V."},{"family":"Ulmer","given":"Christi S."},{"family":"Kimbrel","given":"Nathan A."},{"family":"McDonald","given":"Scott D."},{"family":"Rowland","given":"Jared A."}],"issued":{"date-parts":[["2017"]]}}}],"schema":"https://github.com/citation-style-language/schema/raw/master/csl-citation.json"} </w:instrText>
      </w:r>
      <w:r w:rsidRPr="00C421E4">
        <w:rPr>
          <w:rFonts w:ascii="Times" w:hAnsi="Times"/>
        </w:rPr>
        <w:fldChar w:fldCharType="separate"/>
      </w:r>
      <w:r w:rsidRPr="00C421E4">
        <w:rPr>
          <w:rFonts w:ascii="Times" w:hAnsi="Times"/>
          <w:noProof/>
        </w:rPr>
        <w:t>(Martindale et al., 2017)</w:t>
      </w:r>
      <w:r w:rsidRPr="00C421E4">
        <w:rPr>
          <w:rFonts w:ascii="Times" w:hAnsi="Times"/>
        </w:rPr>
        <w:fldChar w:fldCharType="end"/>
      </w:r>
      <w:r w:rsidRPr="00C421E4">
        <w:rPr>
          <w:rFonts w:ascii="Times" w:hAnsi="Times"/>
        </w:rPr>
        <w:t xml:space="preserve">, and the association between mTBI and sleep was independent of posttraumatic stress disorder (PTSD) status, mood disturbances, combat exposure, and drug use. Lastly, sleep stage proportion alterations (e.g, alterations in the time spent in each sleep stage per night) also occur chronically following mTBI (see meta-analysis: </w:t>
      </w:r>
      <w:r w:rsidRPr="00C421E4">
        <w:rPr>
          <w:rFonts w:ascii="Times" w:hAnsi="Times"/>
        </w:rPr>
        <w:fldChar w:fldCharType="begin"/>
      </w:r>
      <w:r w:rsidRPr="00C421E4">
        <w:rPr>
          <w:rFonts w:ascii="Times" w:hAnsi="Times"/>
        </w:rPr>
        <w:instrText xml:space="preserve"> ADDIN ZOTERO_ITEM CSL_CITATION {"citationID":"1bra4qitfc","properties":{"formattedCitation":"(Grima, Ponsford, Rajaratnam, Mansfield, &amp; Pase, 2016)","plainCitation":"(Grima, Ponsford, Rajaratnam, Mansfield, &amp; Pase, 2016)"},"citationItems":[{"id":"h1OO1zp7/U5zR7Nvd","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Medicine","id":"h1OO1zp7/U5zR7Nvd","issue":"3","issued":{"date-parts":[["2016"]]},"page":"419-428","title":"Sleep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Ponsford, Rajaratnam, Mansfield, &amp; Pase, 2016)</w:t>
      </w:r>
      <w:r w:rsidRPr="00C421E4">
        <w:rPr>
          <w:rFonts w:ascii="Times" w:hAnsi="Times"/>
        </w:rPr>
        <w:fldChar w:fldCharType="end"/>
      </w:r>
      <w:r w:rsidRPr="00C421E4">
        <w:rPr>
          <w:rFonts w:ascii="Times" w:hAnsi="Times"/>
        </w:rPr>
        <w:t xml:space="preserve">. </w:t>
      </w:r>
    </w:p>
    <w:p w14:paraId="40FB2770" w14:textId="77777777" w:rsidR="00F7044C" w:rsidRPr="00C421E4" w:rsidRDefault="00F7044C" w:rsidP="00F7044C">
      <w:pPr>
        <w:spacing w:line="480" w:lineRule="auto"/>
        <w:rPr>
          <w:rFonts w:ascii="Times" w:hAnsi="Times"/>
        </w:rPr>
      </w:pPr>
    </w:p>
    <w:p w14:paraId="7E24D70A" w14:textId="77777777" w:rsidR="00F7044C" w:rsidRPr="00C421E4" w:rsidRDefault="00F7044C" w:rsidP="00F7044C">
      <w:pPr>
        <w:spacing w:line="480" w:lineRule="auto"/>
        <w:rPr>
          <w:rFonts w:ascii="Times" w:hAnsi="Times"/>
        </w:rPr>
      </w:pPr>
      <w:r w:rsidRPr="00C421E4">
        <w:rPr>
          <w:rFonts w:ascii="Times" w:hAnsi="Times"/>
        </w:rPr>
        <w:t xml:space="preserve">Additionally, in a recent study, it was found that individuals with a chronic history of mTBI (average 4.9 years from mTBI) have altered bursting of EEG waveforms during </w:t>
      </w:r>
      <w:r w:rsidRPr="00C421E4">
        <w:rPr>
          <w:rFonts w:ascii="Times" w:hAnsi="Times"/>
        </w:rPr>
        <w:lastRenderedPageBreak/>
        <w:t xml:space="preserve">sleep </w:t>
      </w:r>
      <w:r w:rsidRPr="00C421E4">
        <w:rPr>
          <w:rFonts w:ascii="Times" w:hAnsi="Times"/>
        </w:rPr>
        <w:fldChar w:fldCharType="begin"/>
      </w:r>
      <w:r w:rsidRPr="00C421E4">
        <w:rPr>
          <w:rFonts w:ascii="Times" w:hAnsi="Times"/>
        </w:rPr>
        <w:instrText xml:space="preserve"> ADDIN ZOTERO_ITEM CSL_CITATION {"citationID":"1si4qjdgg6","properties":{"formattedCitation":"(Modarres et al., 2016a)","plainCitation":"(Modarres et al., 2016a)"},"citationItems":[{"id":29,"uris":["http://zotero.org/users/4141602/items/E9ZWNSE3"],"uri":["http://zotero.org/users/4141602/items/E9ZWNSE3"],"itemData":{"id":29,"type":"article-journal","title":"EEG slow waves in traumatic brain injury: Convergent findings in mouse and man","container-title":"Neurobiology of Sleep and Circadian Rhythms","page":"59-70","volume":"2","author":[{"family":"Modarres","given":"M. H."},{"family":"Kuzma","given":"N. N."},{"family":"Kretzmer","given":"T."},{"family":"Pack","given":"A. I."},{"family":"Lim","given":"M. M."}],"issued":{"date-parts":[["2016"]]}}}],"schema":"https://github.com/citation-style-language/schema/raw/master/csl-citation.json"} </w:instrText>
      </w:r>
      <w:r w:rsidRPr="00C421E4">
        <w:rPr>
          <w:rFonts w:ascii="Times" w:hAnsi="Times"/>
        </w:rPr>
        <w:fldChar w:fldCharType="separate"/>
      </w:r>
      <w:r w:rsidRPr="00C421E4">
        <w:rPr>
          <w:rFonts w:ascii="Times" w:hAnsi="Times"/>
          <w:noProof/>
        </w:rPr>
        <w:t>(Modarres et al., 2016)</w:t>
      </w:r>
      <w:r w:rsidRPr="00C421E4">
        <w:rPr>
          <w:rFonts w:ascii="Times" w:hAnsi="Times"/>
        </w:rPr>
        <w:fldChar w:fldCharType="end"/>
      </w:r>
      <w:r w:rsidRPr="00C421E4">
        <w:rPr>
          <w:rFonts w:ascii="Times" w:hAnsi="Times"/>
        </w:rPr>
        <w:t xml:space="preserve">. When transitioning from wake to sleep (and transitioning from lighter stages of sleep to deeper stages of sleep), slow wave bursts typically increase over time. However, in mTBI participants, the increase in slow waves over time was significantly smaller than uninjured controls. Importantly, within the same study, these findings were replicated in mice who had undergone fluid percussion injury, suggesting altered sleep EEG may be a biomarker of mTBI. Importantly, sleep disturbances following mTBI are predictive of a longer recovery time, and therefore, sleep disruptions or EEG alterations may be causal in exacerbating symptoms </w:t>
      </w:r>
      <w:r w:rsidRPr="00C421E4">
        <w:rPr>
          <w:rFonts w:ascii="Times" w:hAnsi="Times"/>
        </w:rPr>
        <w:fldChar w:fldCharType="begin"/>
      </w:r>
      <w:r w:rsidRPr="00C421E4">
        <w:rPr>
          <w:rFonts w:ascii="Times" w:hAnsi="Times"/>
        </w:rPr>
        <w:instrText xml:space="preserve"> ADDIN ZOTERO_ITEM CSL_CITATION {"citationID":"2l9mrh03v8","properties":{"formattedCitation":"(Bramley et al., 2016)","plainCitation":"(Bramley et al., 2016)"},"citationItems":[{"id":968,"uris":["http://zotero.org/users/4141602/items/JZ4HQ8HP"],"uri":["http://zotero.org/users/4141602/items/JZ4HQ8HP"],"itemData":{"id":968,"type":"article-journal","title":"Sleep Disturbance Following Concussion Is a Risk Factor for a Prolonged Recovery","container-title":"Clinical Pediatrics","page":"0009922816681603","author":[{"family":"Bramley","given":"Harry"},{"family":"Henson","given":"Alyssa"},{"family":"Lewis","given":"Mechelle M."},{"family":"Kong","given":"Lan"},{"family":"Stetter","given":"Christy"},{"family":"Silvis","given":"Matthew"}],"issued":{"date-parts":[["2016"]]}}}],"schema":"https://github.com/citation-style-language/schema/raw/master/csl-citation.json"} </w:instrText>
      </w:r>
      <w:r w:rsidRPr="00C421E4">
        <w:rPr>
          <w:rFonts w:ascii="Times" w:hAnsi="Times"/>
        </w:rPr>
        <w:fldChar w:fldCharType="separate"/>
      </w:r>
      <w:r w:rsidRPr="00C421E4">
        <w:rPr>
          <w:rFonts w:ascii="Times" w:hAnsi="Times"/>
          <w:noProof/>
        </w:rPr>
        <w:t>(Bramley et al., 2016)</w:t>
      </w:r>
      <w:r w:rsidRPr="00C421E4">
        <w:rPr>
          <w:rFonts w:ascii="Times" w:hAnsi="Times"/>
        </w:rPr>
        <w:fldChar w:fldCharType="end"/>
      </w:r>
      <w:r w:rsidRPr="00C421E4">
        <w:rPr>
          <w:rFonts w:ascii="Times" w:hAnsi="Times"/>
        </w:rPr>
        <w:t xml:space="preserve">. </w:t>
      </w:r>
    </w:p>
    <w:p w14:paraId="665A954A" w14:textId="77777777" w:rsidR="00F7044C" w:rsidRPr="00C421E4" w:rsidRDefault="00F7044C" w:rsidP="00F7044C">
      <w:pPr>
        <w:widowControl w:val="0"/>
        <w:autoSpaceDE w:val="0"/>
        <w:autoSpaceDN w:val="0"/>
        <w:adjustRightInd w:val="0"/>
        <w:spacing w:line="480" w:lineRule="auto"/>
        <w:rPr>
          <w:rFonts w:ascii="Times" w:hAnsi="Times"/>
        </w:rPr>
      </w:pPr>
    </w:p>
    <w:p w14:paraId="3C1E1F0F" w14:textId="77777777" w:rsidR="00F7044C" w:rsidRPr="00C421E4"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 xml:space="preserve">5. </w:t>
      </w:r>
      <w:r w:rsidRPr="00C421E4">
        <w:rPr>
          <w:rFonts w:ascii="Times" w:hAnsi="Times"/>
          <w:b/>
        </w:rPr>
        <w:t>The Current Work</w:t>
      </w:r>
    </w:p>
    <w:p w14:paraId="6A9A60DB"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The overarching aim of this line of work was to examine the sequelae of mTBI to identify potential targets for interventions to mitigate the long-term consequences of mTBI. Two mechanisms in particular were examined as contributing to additional problems in mTBI: (1) sleep difficulties, and (2) emotion habituation difficulties. Recently, a national working group, which consists of brain injury experts from 20 research centers, released a statement outlining the need for investigations focusing on sleep after mTBI </w:t>
      </w:r>
      <w:r w:rsidRPr="00C421E4">
        <w:rPr>
          <w:rFonts w:ascii="Times" w:hAnsi="Times"/>
        </w:rPr>
        <w:fldChar w:fldCharType="begin" w:fldLock="1"/>
      </w:r>
      <w:r w:rsidRPr="00C421E4">
        <w:rPr>
          <w:rFonts w:ascii="Times" w:hAnsi="Times"/>
        </w:rPr>
        <w:instrText xml:space="preserve"> ADDIN ZOTERO_ITEM CSL_CITATION {"citationID":"MF1yrCpQ","properties":{"formattedCitation":"(Wickwire et al., 2016)","plainCitation":"(Wickwire et al., 2016)"},"citationItems":[{"id":"ITEM-1","uris":["http://www.mendeley.com/documents/?uuid=ff50fef0-dc10-4639-a102-b7d7407df27e"],"uri":["http://www.mendeley.com/documents/?uuid=ff50fef0-dc10-4639-a102-b7d7407df27e"],"itemData":{"DOI":"10.1007/s13311-016-0429-3","ISBN":"1331101604293","ISSN":"1878-7479","PMID":"27002812","abstract":"Disturbed sleep is one of the most common complaints following traumatic brain injury (TBI) and worsens morbidity and long-term sequelae. Further, sleep and TBI share neurophysiologic underpinnings with direct relevance to recovery from TBI. As such, disturbed sleep and clinical sleep disorders represent modifiable treatment targets to improve outcomes in TBI. This paper presents key findings from a national working group on sleep and TBI, with a specific focus on the testing and development of sleep-related therapeutic interventions for mild TBI (mTBI). First, mTBI and sleep physiology are briefly reviewed. Next, essential empirical and clinical questions and knowledge gaps are addressed. Finally, actionable recommendations are offered to guide active and efficient collaboration between academic, industry, and governmental stakeholders.","author":[{"dropping-particle":"","family":"Wickwire","given":"Emerson M","non-dropping-particle":"","parse-names":false,"suffix":""},{"dropping-particle":"","family":"Williams","given":"Scott G","non-dropping-particle":"","parse-names":false,"suffix":""},{"dropping-particle":"","family":"Roth","given":"Thomas","non-dropping-particle":"","parse-names":false,"suffix":""},{"dropping-particle":"","family":"Capaldi","given":"Vincent F","non-dropping-particle":"","parse-names":false,"suffix":""},{"dropping-particle":"","family":"Jaffe","given":"Michael","non-dropping-particle":"","parse-names":false,"suffix":""},{"dropping-particle":"","family":"Moline","given":"Margaret","non-dropping-particle":"","parse-names":false,"suffix":""},{"dropping-particle":"","family":"Motamedi","given":"Gholam K","non-dropping-particle":"","parse-names":false,"suffix":""},{"dropping-particle":"","family":"Morgan","given":"Gregory W","non-dropping-particle":"","parse-names":false,"suffix":""},{"dropping-particle":"","family":"Mysliwiec","given":"Vincent","non-dropping-particle":"","parse-names":false,"suffix":""},{"dropping-particle":"","family":"Germain","given":"Anne","non-dropping-particle":"","parse-names":false,"suffix":""},{"dropping-particle":"","family":"Pazdan","given":"Renee M","non-dropping-particle":"","parse-names":false,"suffix":""},{"dropping-particle":"","family":"Ferziger","given":"Reuven","non-dropping-particle":"","parse-names":false,"suffix":""},{"dropping-particle":"","family":"Balkin","given":"Thomas J","non-dropping-particle":"","parse-names":false,"suffix":""},{"dropping-particle":"","family":"MacDonald","given":"Margaret E","non-dropping-particle":"","parse-names":false,"suffix":""},{"dropping-particle":"","family":"Macek","given":"Thomas A","non-dropping-particle":"","parse-names":false,"suffix":""},{"dropping-particle":"","family":"Yochelson","given":"Michael R","non-dropping-particle":"","parse-names":false,"suffix":""},{"dropping-particle":"","family":"Scharf","given":"Steven M","non-dropping-particle":"","parse-names":false,"suffix":""},{"dropping-particle":"","family":"Lettieri","given":"Christopher J","non-dropping-particle":"","parse-names":false,"suffix":""}],"container-title":"Neurotherapeutics : the journal of the American Society for Experimental NeuroTherapeutics","id":"ITEM-1","issued":{"date-parts":[["2016"]]},"page":"403-417","title":"Sleep, Sleep Disorders, and Mild Traumatic Brain Injury. What We Know and What We Need to Know: Findings from a National Working Group.","type":"article-journal"}}],"schema":"https://github.com/citation-style-language/schema/raw/master/csl-citation.json"} </w:instrText>
      </w:r>
      <w:r w:rsidRPr="00C421E4">
        <w:rPr>
          <w:rFonts w:ascii="Times" w:hAnsi="Times"/>
        </w:rPr>
        <w:fldChar w:fldCharType="separate"/>
      </w:r>
      <w:r w:rsidRPr="00C421E4">
        <w:rPr>
          <w:rFonts w:ascii="Times" w:hAnsi="Times"/>
          <w:noProof/>
        </w:rPr>
        <w:t>(Wickwire et al., 2016)</w:t>
      </w:r>
      <w:r w:rsidRPr="00C421E4">
        <w:rPr>
          <w:rFonts w:ascii="Times" w:hAnsi="Times"/>
        </w:rPr>
        <w:fldChar w:fldCharType="end"/>
      </w:r>
      <w:r w:rsidRPr="00C421E4">
        <w:rPr>
          <w:rFonts w:ascii="Times" w:hAnsi="Times"/>
        </w:rPr>
        <w:t xml:space="preserve">. Within this outline, the authors state that mTBI-related sleep problems may exacerbate mTBI-related sequelae. Identifying a link between poor sleep and poor outcomes following mTBI would be critical. In theory, if poor sleep exacerbates outcomes that would otherwise be minimal or non-existent, sleep could be a target for improvement following mTBI. Therefore, the first two studies focus on whether poor sleep after mTBI is associated with cognition and emotional processing in this population. </w:t>
      </w:r>
    </w:p>
    <w:p w14:paraId="3F82ACAB" w14:textId="77777777" w:rsidR="00F7044C" w:rsidRPr="00C421E4" w:rsidRDefault="00F7044C" w:rsidP="00F7044C">
      <w:pPr>
        <w:widowControl w:val="0"/>
        <w:autoSpaceDE w:val="0"/>
        <w:autoSpaceDN w:val="0"/>
        <w:adjustRightInd w:val="0"/>
        <w:spacing w:line="480" w:lineRule="auto"/>
        <w:rPr>
          <w:rFonts w:ascii="Times" w:hAnsi="Times"/>
        </w:rPr>
      </w:pPr>
    </w:p>
    <w:p w14:paraId="1326E04F"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The third project, which is based on results of </w:t>
      </w:r>
      <w:r w:rsidRPr="00C421E4">
        <w:rPr>
          <w:rFonts w:ascii="Times" w:hAnsi="Times"/>
          <w:b/>
        </w:rPr>
        <w:t>Study 2</w:t>
      </w:r>
      <w:r w:rsidRPr="00C421E4">
        <w:rPr>
          <w:rFonts w:ascii="Times" w:hAnsi="Times"/>
        </w:rPr>
        <w:t xml:space="preserve">, attempted to probe an equally critical gap in the knowledge. Specifically, the third project aimed to characterize emotional functioning following mTBI and determine whether impaired processing of emotion stimuli is predictive of poor mood outcomes (e.g., depressive and anxiety symptomology). To our knowledge, emotion reactivity and habituation, two components of normative emotional responding, have not been directly measured in a chronic mTBI population. However, incidental findings from </w:t>
      </w:r>
      <w:r w:rsidRPr="00C421E4">
        <w:rPr>
          <w:rFonts w:ascii="Times" w:hAnsi="Times"/>
          <w:b/>
        </w:rPr>
        <w:t>Study 2</w:t>
      </w:r>
      <w:r w:rsidRPr="00C421E4">
        <w:rPr>
          <w:rFonts w:ascii="Times" w:hAnsi="Times"/>
        </w:rPr>
        <w:t xml:space="preserve"> provide preliminary evidence that these two components may be disrupted after mTBI in a pattern similar to individuals with depressive symptoms. Therefore, this work sought to provide a link between mTBI and depression. Furthermore, findings from these studies were expected to inform clinicians of special considerations that must be taken when treating an individual with a history of mTBI. </w:t>
      </w:r>
    </w:p>
    <w:p w14:paraId="5577F56A" w14:textId="77777777" w:rsidR="00F7044C" w:rsidRPr="00C421E4" w:rsidRDefault="00F7044C" w:rsidP="00F7044C">
      <w:pPr>
        <w:widowControl w:val="0"/>
        <w:autoSpaceDE w:val="0"/>
        <w:autoSpaceDN w:val="0"/>
        <w:adjustRightInd w:val="0"/>
        <w:spacing w:line="480" w:lineRule="auto"/>
        <w:rPr>
          <w:rFonts w:ascii="Times" w:hAnsi="Times"/>
        </w:rPr>
      </w:pPr>
    </w:p>
    <w:p w14:paraId="760EBE9E" w14:textId="77777777" w:rsidR="00F7044C" w:rsidRPr="00F154F1" w:rsidRDefault="00F7044C" w:rsidP="00F7044C">
      <w:pPr>
        <w:widowControl w:val="0"/>
        <w:autoSpaceDE w:val="0"/>
        <w:autoSpaceDN w:val="0"/>
        <w:adjustRightInd w:val="0"/>
        <w:spacing w:line="480" w:lineRule="auto"/>
        <w:jc w:val="center"/>
        <w:rPr>
          <w:rFonts w:ascii="Times" w:hAnsi="Times"/>
          <w:b/>
        </w:rPr>
      </w:pPr>
      <w:r>
        <w:rPr>
          <w:rFonts w:ascii="Times" w:hAnsi="Times"/>
          <w:b/>
        </w:rPr>
        <w:t xml:space="preserve">6. </w:t>
      </w:r>
      <w:r w:rsidRPr="00F154F1">
        <w:rPr>
          <w:rFonts w:ascii="Times" w:hAnsi="Times"/>
          <w:b/>
        </w:rPr>
        <w:t>Sleep and Cognition (Study 1: Spencer Lab)</w:t>
      </w:r>
    </w:p>
    <w:p w14:paraId="2EB3AECF"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Memory consolidation is the process by which memory traces (i.e., engrams) are solidified in long-term memory storage. Memory consolidation occurs preferentially over a period of sleep. Sleep-dependent memory consolidation can be observed by comparing memory retention after a period of sleep relative to an equivalent period of time spent awake. For example, memory for information learned in the evening and recalled 12 hours later is often superior to memory for information learned in the morning and recalled 12 hours later. Importantly, sleep-dependent memory consolidation is not due to sleep per se, but rather due to the characteristics (e.g., staging) of the sleep bout. </w:t>
      </w:r>
    </w:p>
    <w:p w14:paraId="3E45F4F8" w14:textId="77777777" w:rsidR="00F7044C" w:rsidRPr="00C421E4" w:rsidRDefault="00F7044C" w:rsidP="00F7044C">
      <w:pPr>
        <w:widowControl w:val="0"/>
        <w:autoSpaceDE w:val="0"/>
        <w:autoSpaceDN w:val="0"/>
        <w:adjustRightInd w:val="0"/>
        <w:spacing w:line="480" w:lineRule="auto"/>
        <w:rPr>
          <w:rFonts w:ascii="Times" w:hAnsi="Times"/>
        </w:rPr>
      </w:pPr>
    </w:p>
    <w:p w14:paraId="1CD3A9A9"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Slow wave sleep (SWS), the deepest stage of sleep, is particularly beneficial to memory consolidation of declarative information (i.e., things you can speak about). During SWS, information moves from the hippocampus to the neocortex, the site of long-term storage, via the perforant pathway </w:t>
      </w:r>
      <w:r w:rsidRPr="00C421E4">
        <w:rPr>
          <w:rFonts w:ascii="Times" w:hAnsi="Times"/>
        </w:rPr>
        <w:fldChar w:fldCharType="begin"/>
      </w:r>
      <w:r w:rsidRPr="00C421E4">
        <w:rPr>
          <w:rFonts w:ascii="Times" w:hAnsi="Times"/>
        </w:rPr>
        <w:instrText xml:space="preserve"> ADDIN ZOTERO_ITEM CSL_CITATION {"citationID":"1pbe38pef4","properties":{"formattedCitation":"(Hyman, Van Hoesen, Kromer, &amp; Damasio, 1986)","plainCitation":"(Hyman, Van Hoesen, Kromer, &amp; Damasio, 1986)"},"citationItems":[{"id":518,"uris":["http://zotero.org/users/4141602/items/SRIGMBTQ"],"uri":["http://zotero.org/users/4141602/items/SRIGMBTQ"],"itemData":{"id":518,"type":"article-journal","title":"Perforant pathway changes and the memory impairment of Alzheimer's disease.","container-title":"Annals of neurology","page":"472-481","volume":"20","issue":"4","abstract":"The perforant pathway is a large neuronal projection that arises from layers II and III of the entorhinal cortex of the parahippocampal gyrus. It is the principal source of cortical input to the hippocampal formation. In 11 cases of Alzheimer's disease, we have found that neurofibrillary tangles develop in the cells of origin of the perforant pathway. In addition, the termination zone of the perforant pathway, in the outer two thirds of the molecular layer of the dentate gyrus, contains a distinct layer of neuritic plaques. None of the 8 control subjects had such changes. These profound alterations effectively disconnect the hippocampal formation from the association and limbic cortices. Because of the central role of the hippocampus and parahippocampal gyrus in learning, it is likely that pathological changes in the perforant pathway, by precluding normal hippocampal operation, account for some aspects of the memory impairment in Alzheimer's disease.","DOI":"10.1002/ana.410200406","ISSN":"0364-5134 (Print)\\r0364-5134 (Linking)","author":[{"family":"Hyman","given":"B T"},{"family":"Van Hoesen","given":"G W"},{"family":"Kromer","given":"L J"},{"family":"Damasio","given":"A R"}],"issued":{"date-parts":[["1986"]]}}}],"schema":"https://github.com/citation-style-language/schema/raw/master/csl-citation.json"} </w:instrText>
      </w:r>
      <w:r w:rsidRPr="00C421E4">
        <w:rPr>
          <w:rFonts w:ascii="Times" w:hAnsi="Times"/>
        </w:rPr>
        <w:fldChar w:fldCharType="separate"/>
      </w:r>
      <w:r w:rsidRPr="00C421E4">
        <w:rPr>
          <w:rFonts w:ascii="Times" w:hAnsi="Times"/>
          <w:noProof/>
        </w:rPr>
        <w:t>(Hyman, Van Hoesen, Kromer, &amp; Damasio, 1986)</w:t>
      </w:r>
      <w:r w:rsidRPr="00C421E4">
        <w:rPr>
          <w:rFonts w:ascii="Times" w:hAnsi="Times"/>
        </w:rPr>
        <w:fldChar w:fldCharType="end"/>
      </w:r>
      <w:r w:rsidRPr="00C421E4">
        <w:rPr>
          <w:rFonts w:ascii="Times" w:hAnsi="Times"/>
        </w:rPr>
        <w:t xml:space="preserve">. Concurrently, neurons that were activated in the hippocampus during encoding are reactivated during subsequent SWS </w:t>
      </w:r>
      <w:r w:rsidRPr="00C421E4">
        <w:rPr>
          <w:rFonts w:ascii="Times" w:hAnsi="Times"/>
        </w:rPr>
        <w:fldChar w:fldCharType="begin"/>
      </w:r>
      <w:r w:rsidRPr="00C421E4">
        <w:rPr>
          <w:rFonts w:ascii="Times" w:hAnsi="Times"/>
        </w:rPr>
        <w:instrText xml:space="preserve"> ADDIN ZOTERO_ITEM CSL_CITATION {"citationID":"1o6jifb7h3","properties":{"formattedCitation":"(M. A. Wilson &amp; McNaughton, 1994)","plainCitation":"(M. A. Wilson &amp; McNaughton, 1994)"},"citationItems":[{"id":530,"uris":["http://zotero.org/users/4141602/items/8ICR22S4"],"uri":["http://zotero.org/users/4141602/items/8ICR22S4"],"itemData":{"id":530,"type":"article-journal","title":"Reactivation of hippocampal ensemble memories during sleep.","container-title":"Science (New York, N.Y.)","page":"676-679","volume":"265","issue":"5172","abstract":"Simultaneous recordings were made from large ensembles of hippocampal \"place cells\" in three rats during spatial behavioral tasks and in slow-wave sleep preceding and following these behaviors. Cells that fired together when the animal occupied particular locations in the environment exhibited an increased tendency to fire together during subsequent sleep, in comparison to sleep episodes preceding the behavioral tasks. Cells that were inactive during behavior, or that were active but had non-overlapping spatial firing, did not show this increase. This effect, which declined gradually during each post-behavior sleep session, may result from synaptic modification during waking experience. Information acquired during active behavior is thus re-expressed in hippocampal circuits during sleep, as postulated by some theories of memory consolidation.","DOI":"10.1126/science.8036517","ISSN":"0036-8075 (Print)","author":[{"family":"Wilson","given":"M A"},{"family":"McNaughton","given":"B L"}],"issued":{"date-parts":[["1994"]]}}}],"schema":"https://github.com/citation-style-language/schema/raw/master/csl-citation.json"} </w:instrText>
      </w:r>
      <w:r w:rsidRPr="00C421E4">
        <w:rPr>
          <w:rFonts w:ascii="Times" w:hAnsi="Times"/>
        </w:rPr>
        <w:fldChar w:fldCharType="separate"/>
      </w:r>
      <w:r w:rsidRPr="00C421E4">
        <w:rPr>
          <w:rFonts w:ascii="Times" w:hAnsi="Times"/>
          <w:noProof/>
        </w:rPr>
        <w:t>(Wilson &amp; McNaughton, 1994)</w:t>
      </w:r>
      <w:r w:rsidRPr="00C421E4">
        <w:rPr>
          <w:rFonts w:ascii="Times" w:hAnsi="Times"/>
        </w:rPr>
        <w:fldChar w:fldCharType="end"/>
      </w:r>
      <w:r w:rsidRPr="00C421E4">
        <w:rPr>
          <w:rFonts w:ascii="Times" w:hAnsi="Times"/>
        </w:rPr>
        <w:t xml:space="preserve">, and this reactivation facilitates the transfer of information from the hippocampus to long-term storage. Typically, when more time is spent in SWS, declarative memory consolidation is superior </w:t>
      </w:r>
      <w:r w:rsidRPr="00C421E4">
        <w:rPr>
          <w:rFonts w:ascii="Times" w:hAnsi="Times"/>
        </w:rPr>
        <w:fldChar w:fldCharType="begin"/>
      </w:r>
      <w:r w:rsidRPr="00C421E4">
        <w:rPr>
          <w:rFonts w:ascii="Times" w:hAnsi="Times"/>
        </w:rPr>
        <w:instrText xml:space="preserve"> ADDIN ZOTERO_ITEM CSL_CITATION {"citationID":"28dgk35ttv","properties":{"unsorted":true,"formattedCitation":"{\\rtf (Gais &amp; Born, 2004a; Rasch, B\\uc0\\u252{}chel, Gais, &amp; Born, 2007; Cairney, Durrant, Hulleman, &amp; Lewis, 2014a; Mander et al., 2015; B Baran, Mantua, &amp; Spencer, 2016)}","plainCitation":"(Gais &amp; Born, 2004a; Rasch, Büchel, Gais, &amp; Born, 2007; Cairney, Durrant, Hulleman, &amp; Lewis, 2014a; Mander et al., 2015; B Baran, Mantua, &amp; Spencer, 2016)"},"citationItems":[{"id":513,"uris":["http://zotero.org/users/4141602/items/36KH2XS9"],"uri":["http://zotero.org/users/4141602/items/36KH2XS9"],"itemData":{"id":513,"type":"article-journal","title":"Low acetylcholine during slow-wave sleep is critical for declarative memory consolidation.","container-title":"Proceedings of the National Academy of Sciences of the United States of America","page":"2140-2144","volume":"101","issue":"7","abstract":"The neurotransmitter acetylcholine is considered essential for proper functioning of the hippocampus-dependent declarative memory system, and it represents a major neuropharmacological target for the treatment of memory deficits, such as those in Alzheimer's disease. During slow-wave sleep (SWS), however, declarative memory consolidation is particularly strong, while acetylcholine levels in the hippocampus drop to a minimum. Observations in rats led to the hypothesis that the low cholinergic tone during SWS is necessary for the replay of new memories in the hippocampus and their long-term storage in neocortical networks. However, this low tone should not affect nondeclarative memory systems. In this study, increasing central nervous cholinergic activation during SWS-rich sleep by posttrial infusion of 0.75 mg of the cholinesterase inhibitor physostigmine completely blocked SWS-related consolidation of declarative memories for word pairs in human subjects. The treatment did not interfere with consolidation of a nondeclarative mirror tracing task. Also, physostigmine did not alter memory consolidation during waking, when the endogenous central nervous cholinergic tone is maximal. These findings are in line with predictions that a low cholinergic tone during SWS is essential for declarative memory consolidation.","DOI":"10.1073/pnas.0305404101","ISSN":"4945150036","author":[{"family":"Gais","given":"Steffen"},{"family":"Born","given":"Jan"}],"issued":{"date-parts":[["2004"]]}}},{"id":486,"uris":["http://zotero.org/users/4141602/items/DN9KIQF9"],"uri":["http://zotero.org/users/4141602/items/DN9KIQF9"],"itemData":{"id":486,"type":"article-journal","title":"Odor cues during slow-wave sleep prompt declarative memory consolidation.","container-title":"Science (New York, N.Y.)","page":"1426-1429","volume":"315","issue":"5817","abstract":"Sleep facilitates memory consolidation. A widely held model assumes that this is because newly encoded memories undergo covert reactivation during sleep. We cued new memories in humans during sleep by presenting an odor that had been presented as context during prior learning, and so showed that reactivation indeed causes memory consolidation during sleep. Re-exposure to the odor during slow-wave sleep (SWS) improved the retention of hippocampus-dependent declarative memories but not of hippocampus-independent procedural memories. Odor re-exposure was ineffective during rapid eye movement sleep or wakefulness or when the odor had been omitted during prior learning. Concurring with these findings, functional magnetic resonance imaging revealed significant hippocampal activation in response to odor re-exposure during SWS.","DOI":"10.1126/science.1138581","ISSN":"1095-9203 (Electronic)","author":[{"family":"Rasch","given":"Björn"},{"family":"Büchel","given":"Christian"},{"family":"Gais","given":"Steffen"},{"family":"Born","given":"Jan"}],"issued":{"date-parts":[["2007"]]}}},{"id":485,"uris":["http://zotero.org/users/4141602/items/BUMGJ5WU"],"uri":["http://zotero.org/users/4141602/items/BUMGJ5WU"],"itemData":{"id":485,"type":"article-journal","title":"Targeted Memory Reactivation During Slow Wave Sleep Facilitates Emotional Memory Consolidation","container-title":"Sleep","page":"701-7","volume":"37","issue":"4","abstract":"STUDY OBJECTIVES: To investigate the mechanisms by which auditory targeted memory reactivation (TMR) during slow wave sleep (SWS) influences the consolidation of emotionally negative and neutral memories.\\n\\nDESIGN: Each of 72 (36 negative, 36 neutral) picture-location associations were encoded with a semantically related sound. During a subsequent nap, half of the sounds were replayed in SWS, before picture-location recall was examined in a final test.\\n\\nSETTING: Manchester Sleep Laboratory, University of Manchester.\\n\\nPARTICIPANTS: 15 adults (3 male) mean age = 20.40 (standard deviation ± 3.07).\\n\\nINTERVENTIONS: TMR with auditory cues during SWS.\\n\\nMEASUREMENTS AND RESULTS: Performance was assessed by memory accuracy and recall response times (RTs). Data were analyzed with a 2 (sound: replayed/not replayed) × 2 (emotion: negative/neutral) repeated measures analysis of covariance with SWS duration, and then SWS spindles, as the mean-centered covariate. Both analyses revealed a significant three-way interaction for RTs but not memory accuracy. Critically, SWS duration and SWS spindles predicted faster memory judgments for negative, relative to neutral, picture locations that were cued with TMR.\\n\\nCONCLUSIONS: TMR initiates an enhanced consolidation process during subsequent SWS, wherein sleep spindles mediate the selective enhancement of reactivated emotional memories.","DOI":"10.5665/sleep.3572","author":[{"family":"Cairney","given":"Scott","dropping-particle":"a"},{"family":"Durrant","given":"Simon J"},{"family":"Hulleman","given":"Johan"},{"family":"Lewis","given":"Penelope","dropping-particle":"a"}],"issued":{"date-parts":[["2014"]]}}},{"id":393,"uris":["http://zotero.org/users/4141602/items/2JHNIWNV"],"uri":["http://zotero.org/users/4141602/items/2JHNIWNV"],"itemData":{"id":393,"type":"article-journal","title":"β-amyloid disrupts human NREM slow waves and related hippocampus-dependent memory consolidation","container-title":"Nature neuroscience","volume":"In Press","author":[{"family":"Mander","given":"B. A."},{"family":"Marks","given":"S. M."},{"family":"Vogel","given":"J. W."},{"family":"Rao","given":"V."},{"family":"Lu","given":"B."},{"family":"Saletin","given":"J. M."},{"family":"Walker","given":"M. P."}],"issued":{"date-parts":[["2015"]]}}},{"id":"h1OO1zp7/w8vYdxec","uris":["http://www.mendeley.com/documents/?uuid=b7690fc8-8547-4f22-93cc-2b16b265423b"],"uri":["http://www.mendeley.com/documents/?uuid=b7690fc8-8547-4f22-93cc-2b16b265423b"],"itemData":{"author":[{"dropping-particle":"","family":"Baran","given":"B","non-dropping-particle":"","parse-names":false,"suffix":""},{"dropping-particle":"","family":"Mantua","given":"J","non-dropping-particle":"","parse-names":false,"suffix":""},{"dropping-particle":"","family":"Spencer","given":"R.M.","non-dropping-particle":"","parse-names":false,"suffix":""}],"container-title":"Journal of Cognitive Neuroscience","id":"h1OO1zp7/w8vYdxec","issued":{"date-parts":[["2016"]]},"title":"Age-related Changes in the Sleep-dependent Reorganization of Declarative Memories","type":"article-journal","volume":"In Press"}}],"schema":"https://github.com/citation-style-language/schema/raw/master/csl-citation.json"} </w:instrText>
      </w:r>
      <w:r w:rsidRPr="00C421E4">
        <w:rPr>
          <w:rFonts w:ascii="Times" w:hAnsi="Times"/>
        </w:rPr>
        <w:fldChar w:fldCharType="separate"/>
      </w:r>
      <w:r w:rsidRPr="00C421E4">
        <w:rPr>
          <w:rFonts w:ascii="Times" w:hAnsi="Times"/>
        </w:rPr>
        <w:t>(Gais &amp; Born, 2004; Rasch, Büchel, Gais, &amp; Born, 2007; Cairney, Durrant, Hulleman, &amp; Lewis, 2014; Mander et al., 2015; Baran, Mantua, &amp; Spencer, 2016)</w:t>
      </w:r>
      <w:r w:rsidRPr="00C421E4">
        <w:rPr>
          <w:rFonts w:ascii="Times" w:hAnsi="Times"/>
        </w:rPr>
        <w:fldChar w:fldCharType="end"/>
      </w:r>
      <w:r w:rsidRPr="00C421E4">
        <w:rPr>
          <w:rFonts w:ascii="Times" w:hAnsi="Times"/>
        </w:rPr>
        <w:t xml:space="preserve">. </w:t>
      </w:r>
    </w:p>
    <w:p w14:paraId="7F206A85" w14:textId="77777777" w:rsidR="00F7044C" w:rsidRPr="00C421E4" w:rsidRDefault="00F7044C" w:rsidP="00F7044C">
      <w:pPr>
        <w:widowControl w:val="0"/>
        <w:autoSpaceDE w:val="0"/>
        <w:autoSpaceDN w:val="0"/>
        <w:adjustRightInd w:val="0"/>
        <w:spacing w:line="480" w:lineRule="auto"/>
        <w:rPr>
          <w:rFonts w:ascii="Times" w:hAnsi="Times"/>
        </w:rPr>
      </w:pPr>
    </w:p>
    <w:p w14:paraId="19A35E04"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As previously mentioned, the temporal lobes (hippocampus) and the prefrontal cortex are often the site of damage following mTBI. Damage to one or both of these structures could hinder communication or information transfer between these regions. Therefore, it was unknown whether hippocampal or cortical damage would prevent efficient sleep-dependent memory consolidation (and encoding) from occurring after mTBI. If damage were present, we could expect consolidation to be reduced. </w:t>
      </w:r>
      <w:r w:rsidRPr="00C421E4">
        <w:rPr>
          <w:rFonts w:ascii="Times" w:hAnsi="Times"/>
          <w:b/>
        </w:rPr>
        <w:t>Study 1</w:t>
      </w:r>
      <w:r w:rsidRPr="00C421E4">
        <w:rPr>
          <w:rFonts w:ascii="Times" w:hAnsi="Times"/>
        </w:rPr>
        <w:t xml:space="preserve"> aimed to probe whether basic declarative sleep-dependent memory consolidation was intact following chronic mTBI.  </w:t>
      </w:r>
    </w:p>
    <w:p w14:paraId="2B5A6FEF" w14:textId="77777777" w:rsidR="00F7044C" w:rsidRPr="00C421E4" w:rsidRDefault="00F7044C" w:rsidP="00F7044C">
      <w:pPr>
        <w:widowControl w:val="0"/>
        <w:autoSpaceDE w:val="0"/>
        <w:autoSpaceDN w:val="0"/>
        <w:adjustRightInd w:val="0"/>
        <w:spacing w:line="480" w:lineRule="auto"/>
        <w:rPr>
          <w:rFonts w:ascii="Times" w:hAnsi="Times"/>
        </w:rPr>
      </w:pPr>
    </w:p>
    <w:p w14:paraId="4784EB4E" w14:textId="77777777" w:rsidR="00F7044C" w:rsidRPr="00E85F4C" w:rsidRDefault="00F7044C" w:rsidP="00F7044C">
      <w:pPr>
        <w:spacing w:line="480" w:lineRule="auto"/>
        <w:outlineLvl w:val="0"/>
        <w:rPr>
          <w:rFonts w:ascii="Times" w:hAnsi="Times"/>
        </w:rPr>
      </w:pPr>
      <w:r w:rsidRPr="00E85F4C">
        <w:rPr>
          <w:rFonts w:ascii="Times" w:hAnsi="Times"/>
        </w:rPr>
        <w:t>Hypotheses:</w:t>
      </w:r>
    </w:p>
    <w:p w14:paraId="5143F41D" w14:textId="77777777" w:rsidR="00F7044C" w:rsidRPr="00C421E4" w:rsidRDefault="00F7044C" w:rsidP="00F7044C">
      <w:pPr>
        <w:pStyle w:val="ListParagraph"/>
        <w:widowControl w:val="0"/>
        <w:numPr>
          <w:ilvl w:val="0"/>
          <w:numId w:val="11"/>
        </w:numPr>
        <w:autoSpaceDE w:val="0"/>
        <w:autoSpaceDN w:val="0"/>
        <w:adjustRightInd w:val="0"/>
        <w:spacing w:line="480" w:lineRule="auto"/>
        <w:rPr>
          <w:rFonts w:ascii="Times" w:hAnsi="Times"/>
        </w:rPr>
      </w:pPr>
      <w:r w:rsidRPr="00C421E4">
        <w:rPr>
          <w:rFonts w:ascii="Times" w:hAnsi="Times"/>
        </w:rPr>
        <w:t xml:space="preserve">Sleep-dependent declarative memory consolidation would be disrupted in a </w:t>
      </w:r>
      <w:r w:rsidRPr="00C421E4">
        <w:rPr>
          <w:rFonts w:ascii="Times" w:hAnsi="Times"/>
        </w:rPr>
        <w:lastRenderedPageBreak/>
        <w:t>population with chronic mTBI</w:t>
      </w:r>
    </w:p>
    <w:p w14:paraId="36F8E224" w14:textId="77777777" w:rsidR="00F7044C" w:rsidRPr="00C421E4" w:rsidRDefault="00F7044C" w:rsidP="00F7044C">
      <w:pPr>
        <w:widowControl w:val="0"/>
        <w:autoSpaceDE w:val="0"/>
        <w:autoSpaceDN w:val="0"/>
        <w:adjustRightInd w:val="0"/>
        <w:spacing w:line="480" w:lineRule="auto"/>
        <w:rPr>
          <w:rFonts w:ascii="Times" w:hAnsi="Times"/>
          <w:i/>
        </w:rPr>
      </w:pPr>
    </w:p>
    <w:p w14:paraId="05083E3F" w14:textId="77777777" w:rsidR="00F7044C" w:rsidRPr="00F154F1" w:rsidRDefault="00F7044C" w:rsidP="00F7044C">
      <w:pPr>
        <w:widowControl w:val="0"/>
        <w:autoSpaceDE w:val="0"/>
        <w:autoSpaceDN w:val="0"/>
        <w:adjustRightInd w:val="0"/>
        <w:spacing w:line="480" w:lineRule="auto"/>
        <w:jc w:val="center"/>
        <w:rPr>
          <w:rFonts w:ascii="Times" w:hAnsi="Times"/>
          <w:b/>
        </w:rPr>
      </w:pPr>
      <w:r>
        <w:rPr>
          <w:rFonts w:ascii="Times" w:hAnsi="Times"/>
          <w:b/>
        </w:rPr>
        <w:t xml:space="preserve">7. </w:t>
      </w:r>
      <w:r w:rsidRPr="00F154F1">
        <w:rPr>
          <w:rFonts w:ascii="Times" w:hAnsi="Times"/>
          <w:b/>
        </w:rPr>
        <w:t>Sleep and Emotion (Study 2: Spencer Lab)</w:t>
      </w:r>
    </w:p>
    <w:p w14:paraId="2848AF16"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Sleep and emotion are tightly linked. In fact, every major psychiatric disorder is associated with sleep disturbances </w:t>
      </w:r>
      <w:r w:rsidRPr="00C421E4">
        <w:rPr>
          <w:rFonts w:ascii="Times" w:hAnsi="Times"/>
        </w:rPr>
        <w:fldChar w:fldCharType="begin" w:fldLock="1"/>
      </w:r>
      <w:r w:rsidRPr="00C421E4">
        <w:rPr>
          <w:rFonts w:ascii="Times" w:hAnsi="Times"/>
        </w:rPr>
        <w:instrText xml:space="preserve"> ADDIN ZOTERO_ITEM CSL_CITATION {"citationID":"6cjPq79e","properties":{"formattedCitation":"(Benca, Obermeyer, Thisted, &amp; Gillin, 1992)","plainCitation":"(Benca, Obermeyer, Thisted, &amp; Gillin, 1992)"},"citationItems":[{"id":"ITEM-1","uris":["http://www.mendeley.com/documents/?uuid=4995d6af-ecc1-4216-ad21-3a1bc77978fe"],"uri":["http://www.mendeley.com/documents/?uuid=4995d6af-ecc1-4216-ad21-3a1bc77978fe"],"itemData":{"DOI":"10.1001/archpsyc.1992.01820080077011","ISBN":"0003-990X","ISSN":"0003-990X","PMID":"1386215","abstract":"We reviewed the literature on sleep in psychiatric disorders and evaluated the data by meta-analysis, a statistical method designed to combine data from different studies. A total of 177 studies with data from 7151 patients and controls were reviewed. Most psychiatric groups showed significantly reduced sleep efficiency and total sleep time, accounted for by decrements in non-rapid eye movement sleep. Rapid eye movement sleep time was relatively preserved in all groups, and percentage of rapid eye movement sleep was increased in affective disorders. Reduction in rapid eye movement sleep latency was seen in affective disorders but occurred in other categories as well. Although no single sleep variable appeared to have absolute specificity for any particular psychiatric disorder, patterns of sleep disturbances associated with categories of psychiatric illnesses were observed. Overall, findings for patients with affective disorders differed most frequently and significantly from those for normal controls.","author":[{"dropping-particle":"","family":"Benca","given":"R M","non-dropping-particle":"","parse-names":false,"suffix":""},{"dropping-particle":"","family":"Obermeyer","given":"W H","non-dropping-particle":"","parse-names":false,"suffix":""},{"dropping-particle":"","family":"Thisted","given":"R A","non-dropping-particle":"","parse-names":false,"suffix":""},{"dropping-particle":"","family":"Gillin","given":"J C","non-dropping-particle":"","parse-names":false,"suffix":""}],"container-title":"Archives of general psychiatry","id":"ITEM-1","issue":"8","issued":{"date-parts":[["1992"]]},"page":"651-68; discussion 669-70","title":"Sleep and psychiatric disorders. A meta-analysis.","type":"article-journal","volume":"49"}}],"schema":"https://github.com/citation-style-language/schema/raw/master/csl-citation.json"} </w:instrText>
      </w:r>
      <w:r w:rsidRPr="00C421E4">
        <w:rPr>
          <w:rFonts w:ascii="Times" w:hAnsi="Times"/>
        </w:rPr>
        <w:fldChar w:fldCharType="separate"/>
      </w:r>
      <w:r w:rsidRPr="00C421E4">
        <w:rPr>
          <w:rFonts w:ascii="Times" w:hAnsi="Times"/>
          <w:noProof/>
        </w:rPr>
        <w:t>(Benca, Obermeyer, Thisted, &amp; Gillin, 1992)</w:t>
      </w:r>
      <w:r w:rsidRPr="00C421E4">
        <w:rPr>
          <w:rFonts w:ascii="Times" w:hAnsi="Times"/>
        </w:rPr>
        <w:fldChar w:fldCharType="end"/>
      </w:r>
      <w:r w:rsidRPr="00C421E4">
        <w:rPr>
          <w:rFonts w:ascii="Times" w:hAnsi="Times"/>
        </w:rPr>
        <w:t xml:space="preserve">. Poor sleep and sleep deprivation/restriction worsen emotional health symptomology. For instance, researchers found sleep deprivation increases symptoms of psychopathology, such as anxiety, depression, and paranoia </w:t>
      </w:r>
      <w:r w:rsidRPr="00C421E4">
        <w:rPr>
          <w:rFonts w:ascii="Times" w:hAnsi="Times"/>
        </w:rPr>
        <w:fldChar w:fldCharType="begin" w:fldLock="1"/>
      </w:r>
      <w:r w:rsidRPr="00C421E4">
        <w:rPr>
          <w:rFonts w:ascii="Times" w:hAnsi="Times"/>
        </w:rPr>
        <w:instrText xml:space="preserve"> ADDIN ZOTERO_ITEM CSL_CITATION {"citationID":"tDmuRcAO","properties":{"formattedCitation":"(Kahn-Greene, Killgore, Kamimori, Balkin, &amp; Killgore, 2007)","plainCitation":"(Kahn-Greene, Killgore, Kamimori, Balkin, &amp; Killgore, 2007)"},"citationItems":[{"id":"ITEM-1","uris":["http://www.mendeley.com/documents/?uuid=caa430fe-d1e7-4ea5-a416-67dfc0cb89dc"],"uri":["http://www.mendeley.com/documents/?uuid=caa430fe-d1e7-4ea5-a416-67dfc0cb89dc"],"itemData":{"DOI":"10.1016/j.sleep.2006.08.007","ISBN":"1389-9457 (Print)\\r1389-9457 (Linking)","ISSN":"13899457","PMID":"17368979","abstract":"Background: Sleep loss leads to temporary changes in mood and cognition, and is associated with reduced cerebral metabolism within the prefrontal cortex, similar to findings observed in some psychiatric disorders. However, the extent to which sleep deprivation may be associated with the emergence of clinical symptoms of psychopathology in healthy normal individuals is not clear. Methods: The Personality Assessment Inventory (PAI) was administered to 25 healthy adults at rested baseline and again after 56 h of continuous wakefulness. Results: Comparisons showed a significant global increase in PAI psychopathology scores from baseline to sleep-deprived sessions, particularly for somatic complaints, anxiety, depression, and paranoia. Mean elevations for the clinical scales remained within normal limits, however. In contrast, sleep loss was not associated with significant changes in anxiety-related disorders, manic symptoms, borderline, schizophrenic, or antisocial features. Conclusions: Two nights without sleep may lead to a sub-clinical increase in self-reported affective symptoms of psychopathology while having little effect on symptoms of thought disorder, psychotic processes, or behavioral dysregulation. These data suggest that sleep loss may be differentially disruptive to regions of the brain involved in affective regulation and may, therefore, serve as a model for understanding the brain dysfunction associated with affective psychopathology.","author":[{"dropping-particle":"","family":"Kahn-Greene","given":"Ellen T.","non-dropping-particle":"","parse-names":false,"suffix":""},{"dropping-particle":"","family":"Killgore","given":"Desiree B.","non-dropping-particle":"","parse-names":false,"suffix":""},{"dropping-particle":"","family":"Kamimori","given":"Gary H.","non-dropping-particle":"","parse-names":false,"suffix":""},{"dropping-particle":"","family":"Balkin","given":"Thomas J.","non-dropping-particle":"","parse-names":false,"suffix":""},{"dropping-particle":"","family":"Killgore","given":"William D S","non-dropping-particle":"","parse-names":false,"suffix":""}],"container-title":"Sleep Medicine","id":"ITEM-1","issue":"3","issued":{"date-parts":[["2007"]]},"page":"215-221","title":"The effects of sleep deprivation on symptoms of psychopathology in healthy adults","type":"article-journal","volume":"8"}}],"schema":"https://github.com/citation-style-language/schema/raw/master/csl-citation.json"} </w:instrText>
      </w:r>
      <w:r w:rsidRPr="00C421E4">
        <w:rPr>
          <w:rFonts w:ascii="Times" w:hAnsi="Times"/>
        </w:rPr>
        <w:fldChar w:fldCharType="separate"/>
      </w:r>
      <w:r w:rsidRPr="00C421E4">
        <w:rPr>
          <w:rFonts w:ascii="Times" w:hAnsi="Times"/>
          <w:noProof/>
        </w:rPr>
        <w:t>(Kahn-Greene, Killgore, Kamimori, Balkin, &amp; Killgore, 2007)</w:t>
      </w:r>
      <w:r w:rsidRPr="00C421E4">
        <w:rPr>
          <w:rFonts w:ascii="Times" w:hAnsi="Times"/>
        </w:rPr>
        <w:fldChar w:fldCharType="end"/>
      </w:r>
      <w:r w:rsidRPr="00C421E4">
        <w:rPr>
          <w:rFonts w:ascii="Times" w:hAnsi="Times"/>
        </w:rPr>
        <w:t xml:space="preserve">. Furthermore, improving sleep quality minimizes existing poor emotional outcomes, as sleep improvement therapy (e.g., sleep apnea treatment, insomnia treatment) lowers depressive symptomology in depressed individuals </w:t>
      </w:r>
      <w:r w:rsidRPr="00C421E4">
        <w:rPr>
          <w:rFonts w:ascii="Times" w:hAnsi="Times"/>
        </w:rPr>
        <w:fldChar w:fldCharType="begin" w:fldLock="1"/>
      </w:r>
      <w:r w:rsidRPr="00C421E4">
        <w:rPr>
          <w:rFonts w:ascii="Times" w:hAnsi="Times"/>
        </w:rPr>
        <w:instrText xml:space="preserve"> ADDIN ZOTERO_ITEM CSL_CITATION {"citationID":"B9jRf0WV","properties":{"formattedCitation":"(Rachel Manber et al., 2008)","plainCitation":"(Rachel Manber et al., 2008)"},"citationItems":[{"id":"ITEM-1","uris":["http://www.mendeley.com/documents/?uuid=90829375-afe1-4108-b9ec-3100ae64f2eb"],"uri":["http://www.mendeley.com/documents/?uuid=90829375-afe1-4108-b9ec-3100ae64f2eb"],"itemData":{"ISBN":"0161-8105 (Print)","ISSN":"0161-8105","PMID":"18457236","abstract":"Insomnia impacts the course of major depressive disorder (MDD), hinders response to treatment, and increases risk for depressive relapse. This study is an initial evaluation of adding cognitive behavioral therapy for insomnia (CBTI) to the antidepressant medication escitalopram (EsCIT) in individuals with both disorders.","author":[{"dropping-particle":"","family":"Manber","given":"Rachel","non-dropping-particle":"","parse-names":false,"suffix":""},{"dropping-particle":"","family":"Edinger","given":"Jack D","non-dropping-particle":"","parse-names":false,"suffix":""},{"dropping-particle":"","family":"Gress","given":"Jenna L","non-dropping-particle":"","parse-names":false,"suffix":""},{"dropping-particle":"","family":"San Pedro-Salcedo","given":"Melanie G","non-dropping-particle":"","parse-names":false,"suffix":""},{"dropping-particle":"","family":"Kuo","given":"Tracy F","non-dropping-particle":"","parse-names":false,"suffix":""},{"dropping-particle":"","family":"Kalista","given":"Tasha","non-dropping-particle":"","parse-names":false,"suffix":""}],"container-title":"Sleep","id":"ITEM-1","issue":"4","issued":{"date-parts":[["2008"]]},"page":"489-495","title":"Cognitive behavioral therapy for insomnia enhances depression outcome in patients with comorbid major depressive disorder and insomnia.","type":"article-journal","volume":"31"}}],"schema":"https://github.com/citation-style-language/schema/raw/master/csl-citation.json"} </w:instrText>
      </w:r>
      <w:r w:rsidRPr="00C421E4">
        <w:rPr>
          <w:rFonts w:ascii="Times" w:hAnsi="Times"/>
        </w:rPr>
        <w:fldChar w:fldCharType="separate"/>
      </w:r>
      <w:r w:rsidRPr="00C421E4">
        <w:rPr>
          <w:rFonts w:ascii="Times" w:hAnsi="Times"/>
          <w:noProof/>
        </w:rPr>
        <w:t>(Manber et al., 2008)</w:t>
      </w:r>
      <w:r w:rsidRPr="00C421E4">
        <w:rPr>
          <w:rFonts w:ascii="Times" w:hAnsi="Times"/>
        </w:rPr>
        <w:fldChar w:fldCharType="end"/>
      </w:r>
      <w:r w:rsidRPr="00C421E4">
        <w:rPr>
          <w:rFonts w:ascii="Times" w:hAnsi="Times"/>
        </w:rPr>
        <w:t>.</w:t>
      </w:r>
    </w:p>
    <w:p w14:paraId="07719B50" w14:textId="77777777" w:rsidR="00F7044C" w:rsidRPr="00C421E4" w:rsidRDefault="00F7044C" w:rsidP="00F7044C">
      <w:pPr>
        <w:widowControl w:val="0"/>
        <w:autoSpaceDE w:val="0"/>
        <w:autoSpaceDN w:val="0"/>
        <w:adjustRightInd w:val="0"/>
        <w:spacing w:line="480" w:lineRule="auto"/>
        <w:rPr>
          <w:rFonts w:ascii="Times" w:hAnsi="Times"/>
        </w:rPr>
      </w:pPr>
    </w:p>
    <w:p w14:paraId="2C600802"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Several facets of emotion, such as emotion reactivity (i.e., one’s initial emotional arousal [ranging from bored to excited] to stimuli) have been linked with sleep. For instance, sleep restriction causally impacts emotion arousal both in a naturalistic setting and an experimental setting. In a sample of medical residents, sleep deprived individuals had increased emotion reactivity to negative stimuli and decreased reactivity to positive stimuli </w:t>
      </w:r>
      <w:r w:rsidRPr="00C421E4">
        <w:rPr>
          <w:rFonts w:ascii="Times" w:hAnsi="Times"/>
        </w:rPr>
        <w:fldChar w:fldCharType="begin" w:fldLock="1"/>
      </w:r>
      <w:r w:rsidRPr="00C421E4">
        <w:rPr>
          <w:rFonts w:ascii="Times" w:hAnsi="Times"/>
        </w:rPr>
        <w:instrText xml:space="preserve"> ADDIN ZOTERO_ITEM CSL_CITATION {"citationID":"sSSoEZzA","properties":{"formattedCitation":"(Zohar, Tzischinsky, Epstein, R., &amp; Lavie, 2005)","plainCitation":"(Zohar, Tzischinsky, Epstein, R., &amp; Lavie, 2005)"},"citationItems":[{"id":"ITEM-1","uris":["http://www.mendeley.com/documents/?uuid=bdc0d8b5-6ff7-4f91-854f-b6f3f047bb63"],"uri":["http://www.mendeley.com/documents/?uuid=bdc0d8b5-6ff7-4f91-854f-b6f3f047bb63"],"itemData":{"author":[{"dropping-particle":"","family":"Zohar","given":"D.","non-dropping-particle":"","parse-names":false,"suffix":""},{"dropping-particle":"","family":"Tzischinsky","given":"O.","non-dropping-particle":"","parse-names":false,"suffix":""},{"dropping-particle":"","family":"Epstein, R.","given":"&amp;","non-dropping-particle":"","parse-names":false,"suffix":""},{"dropping-particle":"","family":"Lavie","given":"P.","non-dropping-particle":"","parse-names":false,"suffix":""}],"container-title":"Sleep","id":"ITEM-1","issue":"1","issued":{"date-parts":[["2005"]]},"page":"47-54","title":"The effects of sleep loss on medical residents' emotional reactions to work events: a cognitive-energy model","type":"article-journal","volume":"28"}}],"schema":"https://github.com/citation-style-language/schema/raw/master/csl-citation.json"}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(Zohar, Tzischinsky, Epstein, R., &amp; Lavie, 2005)</w:t>
      </w:r>
      <w:r w:rsidRPr="00C421E4">
        <w:rPr>
          <w:rFonts w:ascii="Times" w:hAnsi="Times"/>
        </w:rPr>
        <w:fldChar w:fldCharType="end"/>
      </w:r>
      <w:r w:rsidRPr="00C421E4">
        <w:rPr>
          <w:rFonts w:ascii="Times" w:hAnsi="Times"/>
        </w:rPr>
        <w:t xml:space="preserve">. Laboratory studies have demonstrated the REM sleep stage, in particular, influences and modulates arousal. Following REM deprivation, adaptation to stress was decreased (relative to a normal night of sleep; </w:t>
      </w:r>
      <w:r w:rsidRPr="00C421E4">
        <w:rPr>
          <w:rFonts w:ascii="Times" w:hAnsi="Times"/>
        </w:rPr>
        <w:fldChar w:fldCharType="begin" w:fldLock="1"/>
      </w:r>
      <w:r w:rsidRPr="00C421E4">
        <w:rPr>
          <w:rFonts w:ascii="Times" w:hAnsi="Times"/>
        </w:rPr>
        <w:instrText xml:space="preserve"> ADDIN ZOTERO_ITEM CSL_CITATION {"citationID":"l5Fbm2Db","properties":{"formattedCitation":"(Greenberg, Pillard, &amp; Pearlman, 1972)","plainCitation":"(Greenberg, Pillard, &amp; Pearlman, 1972)"},"citationItems":[{"id":"ITEM-1","uris":["http://www.mendeley.com/documents/?uuid=bb3e9989-eccd-4624-8689-e52f418c8df5"],"uri":["http://www.mendeley.com/documents/?uuid=bb3e9989-eccd-4624-8689-e52f418c8df5"],"itemData":{"DOI":"10.1097/00006842-197205000-00007","ISSN":"0033-3174","PMID":"4338295","abstract":"The role of dreaming in the assimilation and mastery of new experiences was examined in this study. Previous work had shown that a film of an au- topsy can evoke measurable psychologic and physiologic indices of anx- iety. Adaptation to the experience was indicated by lower levels of anxiety during a second viewing of the film. We examined the effect of dream (Stage REM) deprivation on adaptation to the second viewing. Between the first and second viewings, 9 subjects were dream deprived, 5 had nor- mal sleep and 6 were awakened from non-REM sleep. For those who showed a significant anxiety response to the first viewing, the dream de- prived group showed significantly less adaptation to the second viewing than the other two groups. These results support the hypothesis that dreaming aids adaptation to anxiety-provoking stimuli.","author":[{"dropping-particle":"","family":"Greenberg","given":"R","non-dropping-particle":"","parse-names":false,"suffix":""},{"dropping-particle":"","family":"Pillard","given":"R","non-dropping-particle":"","parse-names":false,"suffix":""},{"dropping-particle":"","family":"Pearlman","given":"C","non-dropping-particle":"","parse-names":false,"suffix":""}],"container-title":"Psychosomatic Medicine","id":"ITEM-1","issue":"3","issued":{"date-parts":[["1972"]]},"page":"257-262","title":"The Effect of Dream (Stage REM) Deprivation on Adaptation to Stress","type":"article-journal","volume":"34"}}],"schema":"https://github.com/citation-style-language/schema/raw/master/csl-citation.json"} </w:instrText>
      </w:r>
      <w:r w:rsidRPr="00C421E4">
        <w:rPr>
          <w:rFonts w:ascii="Times" w:hAnsi="Times"/>
        </w:rPr>
        <w:fldChar w:fldCharType="separate"/>
      </w:r>
      <w:r w:rsidRPr="00C421E4">
        <w:rPr>
          <w:rFonts w:ascii="Times" w:hAnsi="Times"/>
          <w:noProof/>
        </w:rPr>
        <w:t>(Greenberg, Pillard, &amp; Pearlman, 1972)</w:t>
      </w:r>
      <w:r w:rsidRPr="00C421E4">
        <w:rPr>
          <w:rFonts w:ascii="Times" w:hAnsi="Times"/>
        </w:rPr>
        <w:fldChar w:fldCharType="end"/>
      </w:r>
      <w:r w:rsidRPr="00C421E4">
        <w:rPr>
          <w:rFonts w:ascii="Times" w:hAnsi="Times"/>
        </w:rPr>
        <w:t xml:space="preserve">, indicating a lack of REM sleep prevents proper arousal modulation (i.e., reduction) when faced with an emotional </w:t>
      </w:r>
      <w:r w:rsidRPr="00C421E4">
        <w:rPr>
          <w:rFonts w:ascii="Times" w:hAnsi="Times"/>
        </w:rPr>
        <w:lastRenderedPageBreak/>
        <w:t xml:space="preserve">stimulus. However, this effect is not specific to sleep deprivation. Other work has demonstrated that after a full night of sleep (relative to a day spent awake) amygdala activation was decreased in response to previously seen emotional stimuli. The decrease in emotional activation over sleep was correlated with REM sleep EEG waveforms </w:t>
      </w:r>
      <w:r w:rsidRPr="00C421E4">
        <w:rPr>
          <w:rFonts w:ascii="Times" w:hAnsi="Times"/>
        </w:rPr>
        <w:fldChar w:fldCharType="begin"/>
      </w:r>
      <w:r w:rsidRPr="00C421E4">
        <w:rPr>
          <w:rFonts w:ascii="Times" w:hAnsi="Times"/>
        </w:rPr>
        <w:instrText xml:space="preserve"> ADDIN ZOTERO_ITEM CSL_CITATION {"citationID":"1sqar9e8hj","properties":{"formattedCitation":"(van der Helm et al., 2011)","plainCitation":"(van der Helm et al., 2011)"},"citationItems":[{"id":969,"uris":["http://zotero.org/users/4141602/items/XG3FIFED"],"uri":["http://zotero.org/users/4141602/items/XG3FIFED"],"itemData":{"id":969,"type":"article-journal","title":"REM sleep depotentiates amygdala activity to previous emotional experiences","container-title":"Current Biology","page":"2029-2032","volume":"21","issue":"23","author":[{"family":"Helm","given":"Els","non-dropping-particle":"van der"},{"family":"Yao","given":"Justin"},{"family":"Dutt","given":"Shubir"},{"family":"Rao","given":"Vikram"},{"family":"Saletin","given":"Jared M."},{"family":"Walker","given":"Matthew P."}],"issued":{"date-parts":[["2011"]]}}}],"schema":"https://github.com/citation-style-language/schema/raw/master/csl-citation.json"} </w:instrText>
      </w:r>
      <w:r w:rsidRPr="00C421E4">
        <w:rPr>
          <w:rFonts w:ascii="Times" w:hAnsi="Times"/>
        </w:rPr>
        <w:fldChar w:fldCharType="separate"/>
      </w:r>
      <w:r w:rsidRPr="00C421E4">
        <w:rPr>
          <w:rFonts w:ascii="Times" w:hAnsi="Times"/>
          <w:noProof/>
        </w:rPr>
        <w:t>(van der Helm et al., 2011)</w:t>
      </w:r>
      <w:r w:rsidRPr="00C421E4">
        <w:rPr>
          <w:rFonts w:ascii="Times" w:hAnsi="Times"/>
        </w:rPr>
        <w:fldChar w:fldCharType="end"/>
      </w:r>
      <w:r w:rsidRPr="00C421E4">
        <w:rPr>
          <w:rFonts w:ascii="Times" w:hAnsi="Times"/>
        </w:rPr>
        <w:t xml:space="preserve">, suggesting REM sleep plays an active role in diminishing emotional arousal. </w:t>
      </w:r>
    </w:p>
    <w:p w14:paraId="7B1FF430" w14:textId="77777777" w:rsidR="00F7044C" w:rsidRPr="00C421E4" w:rsidRDefault="00F7044C" w:rsidP="00F7044C">
      <w:pPr>
        <w:widowControl w:val="0"/>
        <w:autoSpaceDE w:val="0"/>
        <w:autoSpaceDN w:val="0"/>
        <w:adjustRightInd w:val="0"/>
        <w:spacing w:line="480" w:lineRule="auto"/>
        <w:rPr>
          <w:rFonts w:ascii="Times" w:hAnsi="Times"/>
        </w:rPr>
      </w:pPr>
    </w:p>
    <w:p w14:paraId="13E7CFE0"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Interestingly, although sleep tends to aid the proper modulation (i.e., reduction) of arousal, it alternatively preserves emotional valence (i.e., ratings of emotion ranging from positive to negative). This was demonstrated in the Spencer lab in a prominent investigation. A sample of young adults was shown the same set of emotional stimuli twice, each 12 </w:t>
      </w:r>
      <w:proofErr w:type="gramStart"/>
      <w:r w:rsidRPr="00C421E4">
        <w:rPr>
          <w:rFonts w:ascii="Times" w:hAnsi="Times"/>
        </w:rPr>
        <w:t>hours</w:t>
      </w:r>
      <w:proofErr w:type="gramEnd"/>
      <w:r w:rsidRPr="00C421E4">
        <w:rPr>
          <w:rFonts w:ascii="Times" w:hAnsi="Times"/>
        </w:rPr>
        <w:t xml:space="preserve"> apart. Half of the participants had a period of sleep between these two viewing sessions, whereas the other half had a normal waking day between sessions. Although a period of wake led to habituation (i.e., participants rated images as less negative during the second viewing session), a period of sleep preserved the negativity between both sessions. In this study, greater REM sleep during the third quarter of the night (which is often REM-rich) predicted valence preservation. Therefore, REM may be causal in preserving emotionality between sessions. A recent meta-analysis, which aggregated findings from nine separate studies on sleep and TBI, found REM sleep is reduced following a mild-severe TBI relative to uninjured individuals </w:t>
      </w:r>
      <w:r w:rsidRPr="00C421E4">
        <w:rPr>
          <w:rFonts w:ascii="Times" w:hAnsi="Times"/>
        </w:rPr>
        <w:fldChar w:fldCharType="begin" w:fldLock="1"/>
      </w:r>
      <w:r w:rsidRPr="00C421E4">
        <w:rPr>
          <w:rFonts w:ascii="Times" w:hAnsi="Times"/>
        </w:rPr>
        <w:instrText xml:space="preserve"> ADDIN ZOTERO_ITEM CSL_CITATION {"citationID":"fBGNAbyK","properties":{"formattedCitation":"(Grima et al., 2016)","plainCitation":"(Grima et al., 2016)"},"citationItems":[{"id":"ITEM-1","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Medicine","id":"ITEM-1","issue":"3","issued":{"date-parts":[["2016"]]},"page":"419-428","title":"Sleep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et al., 2016)</w:t>
      </w:r>
      <w:r w:rsidRPr="00C421E4">
        <w:rPr>
          <w:rFonts w:ascii="Times" w:hAnsi="Times"/>
        </w:rPr>
        <w:fldChar w:fldCharType="end"/>
      </w:r>
      <w:r w:rsidRPr="00C421E4">
        <w:rPr>
          <w:rFonts w:ascii="Times" w:hAnsi="Times"/>
        </w:rPr>
        <w:t xml:space="preserve">. An expanded meta-analysis (comprising 15 studies) that I have conducted corroborates these findings </w:t>
      </w:r>
      <w:r w:rsidRPr="00C421E4">
        <w:rPr>
          <w:rFonts w:ascii="Times" w:hAnsi="Times"/>
        </w:rPr>
        <w:fldChar w:fldCharType="begin"/>
      </w:r>
      <w:r w:rsidRPr="00C421E4">
        <w:rPr>
          <w:rFonts w:ascii="Times" w:hAnsi="Times"/>
        </w:rPr>
        <w:instrText xml:space="preserve"> ADDIN ZOTERO_ITEM CSL_CITATION {"citationID":"iga0mtv27","properties":{"formattedCitation":"(Janna Mantua et al., [Under Review])","plainCitation":"(Janna Mantua et al., [Under Review])"},"citationItems":[{"id":980,"uris":["http://zotero.org/users/4141602/items/Q7Q5NQ67"],"uri":["http://zotero.org/users/4141602/items/Q7Q5NQ67"],"itemData":{"id":980,"type":"article-journal","title":"Sleep architecture following traumatic brain injury: a systematic review and meta-analysis","author":[{"family":"Mantua","given":"Janna"},{"family":"Grillakis","given":"Antigone"},{"family":"Mahfouz","given":"Sanaa"},{"family":"Taylor","given":"Maura"},{"family":"Brager","given":"Allison"},{"family":"Yarnell","given":"Angela M"},{"family":"Balkin","given":"Thomas J"},{"family":"Capaldi","given":"Vincent F"},{"family":"Simonelli","given":"Guido"}],"issued":{"literal":"[Under Review]"}}}],"schema":"https://github.com/citation-style-language/schema/raw/master/csl-citation.json"} </w:instrText>
      </w:r>
      <w:r w:rsidRPr="00C421E4">
        <w:rPr>
          <w:rFonts w:ascii="Times" w:hAnsi="Times"/>
        </w:rPr>
        <w:fldChar w:fldCharType="separate"/>
      </w:r>
      <w:r w:rsidRPr="00C421E4">
        <w:rPr>
          <w:rFonts w:ascii="Times" w:hAnsi="Times"/>
          <w:noProof/>
        </w:rPr>
        <w:t>(Mantua et al., [Under Review])</w:t>
      </w:r>
      <w:r w:rsidRPr="00C421E4">
        <w:rPr>
          <w:rFonts w:ascii="Times" w:hAnsi="Times"/>
        </w:rPr>
        <w:fldChar w:fldCharType="end"/>
      </w:r>
      <w:r w:rsidRPr="00C421E4">
        <w:rPr>
          <w:rFonts w:ascii="Times" w:hAnsi="Times"/>
        </w:rPr>
        <w:t xml:space="preserve">. Given this, we hypothesized mTBI-induced REM alterations would impact sleep-dependent ratings of valence </w:t>
      </w:r>
      <w:r w:rsidRPr="00C421E4">
        <w:rPr>
          <w:rFonts w:ascii="Times" w:hAnsi="Times"/>
        </w:rPr>
        <w:lastRenderedPageBreak/>
        <w:t xml:space="preserve">following chronic mTBI with the rationale that a disruption in sleep-dependent emotional processing could lead to poor waking emotional outcomes. </w:t>
      </w:r>
      <w:r w:rsidRPr="00C421E4">
        <w:rPr>
          <w:rFonts w:ascii="Times" w:hAnsi="Times"/>
          <w:b/>
        </w:rPr>
        <w:t>Study 2</w:t>
      </w:r>
      <w:r w:rsidRPr="00C421E4">
        <w:rPr>
          <w:rFonts w:ascii="Times" w:hAnsi="Times"/>
        </w:rPr>
        <w:t xml:space="preserve"> aimed to test these hypotheses. </w:t>
      </w:r>
    </w:p>
    <w:p w14:paraId="3F1E705C" w14:textId="77777777" w:rsidR="00F7044C" w:rsidRPr="00C421E4" w:rsidRDefault="00F7044C" w:rsidP="00F7044C">
      <w:pPr>
        <w:widowControl w:val="0"/>
        <w:autoSpaceDE w:val="0"/>
        <w:autoSpaceDN w:val="0"/>
        <w:adjustRightInd w:val="0"/>
        <w:spacing w:line="480" w:lineRule="auto"/>
        <w:rPr>
          <w:rFonts w:ascii="Times" w:hAnsi="Times"/>
        </w:rPr>
      </w:pPr>
    </w:p>
    <w:p w14:paraId="0DC944CE" w14:textId="77777777" w:rsidR="00F7044C" w:rsidRPr="00E85F4C" w:rsidRDefault="00F7044C" w:rsidP="00F7044C">
      <w:pPr>
        <w:spacing w:line="480" w:lineRule="auto"/>
        <w:outlineLvl w:val="0"/>
        <w:rPr>
          <w:rFonts w:ascii="Times" w:hAnsi="Times"/>
        </w:rPr>
      </w:pPr>
      <w:r w:rsidRPr="00E85F4C">
        <w:rPr>
          <w:rFonts w:ascii="Times" w:hAnsi="Times"/>
        </w:rPr>
        <w:t>Hypotheses:</w:t>
      </w:r>
    </w:p>
    <w:p w14:paraId="7D613BF8" w14:textId="77777777" w:rsidR="00F7044C" w:rsidRPr="00C421E4" w:rsidRDefault="00F7044C" w:rsidP="00F7044C">
      <w:pPr>
        <w:pStyle w:val="ListParagraph"/>
        <w:widowControl w:val="0"/>
        <w:numPr>
          <w:ilvl w:val="0"/>
          <w:numId w:val="11"/>
        </w:numPr>
        <w:autoSpaceDE w:val="0"/>
        <w:autoSpaceDN w:val="0"/>
        <w:adjustRightInd w:val="0"/>
        <w:spacing w:line="480" w:lineRule="auto"/>
        <w:rPr>
          <w:rFonts w:ascii="Times" w:hAnsi="Times"/>
        </w:rPr>
      </w:pPr>
      <w:r w:rsidRPr="00C421E4">
        <w:rPr>
          <w:rFonts w:ascii="Times" w:hAnsi="Times"/>
        </w:rPr>
        <w:t>Sleep-dependent emotional memory consolidation would be reduced in a population with chronic mTBI</w:t>
      </w:r>
    </w:p>
    <w:p w14:paraId="16468E96" w14:textId="77777777" w:rsidR="00F7044C" w:rsidRPr="00C421E4" w:rsidRDefault="00F7044C" w:rsidP="00F7044C">
      <w:pPr>
        <w:pStyle w:val="ListParagraph"/>
        <w:widowControl w:val="0"/>
        <w:numPr>
          <w:ilvl w:val="0"/>
          <w:numId w:val="11"/>
        </w:numPr>
        <w:autoSpaceDE w:val="0"/>
        <w:autoSpaceDN w:val="0"/>
        <w:adjustRightInd w:val="0"/>
        <w:spacing w:line="480" w:lineRule="auto"/>
        <w:rPr>
          <w:rFonts w:ascii="Times" w:hAnsi="Times"/>
        </w:rPr>
      </w:pPr>
      <w:r w:rsidRPr="00C421E4">
        <w:rPr>
          <w:rFonts w:ascii="Times" w:hAnsi="Times"/>
        </w:rPr>
        <w:t>Sleep-dependent valence preservation would be reduced in a population with chronic mTBI</w:t>
      </w:r>
    </w:p>
    <w:p w14:paraId="2BD8BCC7" w14:textId="77777777" w:rsidR="00F7044C" w:rsidRPr="00C421E4" w:rsidRDefault="00F7044C" w:rsidP="00F7044C">
      <w:pPr>
        <w:widowControl w:val="0"/>
        <w:autoSpaceDE w:val="0"/>
        <w:autoSpaceDN w:val="0"/>
        <w:adjustRightInd w:val="0"/>
        <w:spacing w:line="480" w:lineRule="auto"/>
        <w:rPr>
          <w:rFonts w:ascii="Times" w:hAnsi="Times"/>
        </w:rPr>
      </w:pPr>
    </w:p>
    <w:p w14:paraId="34CEDF2F" w14:textId="77777777" w:rsidR="00F7044C" w:rsidRPr="00F154F1" w:rsidRDefault="00F7044C" w:rsidP="00F7044C">
      <w:pPr>
        <w:widowControl w:val="0"/>
        <w:autoSpaceDE w:val="0"/>
        <w:autoSpaceDN w:val="0"/>
        <w:adjustRightInd w:val="0"/>
        <w:spacing w:line="480" w:lineRule="auto"/>
        <w:jc w:val="center"/>
        <w:rPr>
          <w:rFonts w:ascii="Times" w:hAnsi="Times"/>
          <w:b/>
        </w:rPr>
      </w:pPr>
      <w:r>
        <w:rPr>
          <w:rFonts w:ascii="Times" w:hAnsi="Times"/>
          <w:b/>
        </w:rPr>
        <w:t xml:space="preserve">8. </w:t>
      </w:r>
      <w:r w:rsidRPr="00F154F1">
        <w:rPr>
          <w:rFonts w:ascii="Times" w:hAnsi="Times"/>
          <w:b/>
        </w:rPr>
        <w:t>Emotion Reactivity and Habituation (Study 3: Ready Lab)</w:t>
      </w:r>
    </w:p>
    <w:p w14:paraId="7F54CD16" w14:textId="77777777" w:rsidR="00F7044C" w:rsidRPr="00C421E4" w:rsidRDefault="00F7044C" w:rsidP="00F7044C">
      <w:pPr>
        <w:spacing w:line="480" w:lineRule="auto"/>
        <w:rPr>
          <w:rFonts w:ascii="Times" w:hAnsi="Times"/>
        </w:rPr>
      </w:pPr>
      <w:r w:rsidRPr="00C421E4">
        <w:rPr>
          <w:rFonts w:ascii="Times" w:hAnsi="Times"/>
        </w:rPr>
        <w:t xml:space="preserve">In </w:t>
      </w:r>
      <w:r w:rsidRPr="00C421E4">
        <w:rPr>
          <w:rFonts w:ascii="Times" w:hAnsi="Times"/>
          <w:b/>
        </w:rPr>
        <w:t>Study 2</w:t>
      </w:r>
      <w:r w:rsidRPr="00C421E4">
        <w:rPr>
          <w:rFonts w:ascii="Times" w:hAnsi="Times"/>
        </w:rPr>
        <w:t xml:space="preserve">, an incidental finding occurred in the “wake” group. We found that although the non-TBI group rated emotional stimuli as less emotional during a second viewing session (i.e., emotion habituation occurred), the mTBI group did not. That is, the mTBI group rated images as equally negative during a second viewing session. However, because habituation was not a primary focus in </w:t>
      </w:r>
      <w:r w:rsidRPr="00C421E4">
        <w:rPr>
          <w:rFonts w:ascii="Times" w:hAnsi="Times"/>
          <w:b/>
        </w:rPr>
        <w:t>Study 2</w:t>
      </w:r>
      <w:r w:rsidRPr="00C421E4">
        <w:rPr>
          <w:rFonts w:ascii="Times" w:hAnsi="Times"/>
        </w:rPr>
        <w:t xml:space="preserve">, there are limitations that prevent us from drawing strong conclusions. Therefore, </w:t>
      </w:r>
      <w:r w:rsidRPr="00C421E4">
        <w:rPr>
          <w:rFonts w:ascii="Times" w:hAnsi="Times"/>
          <w:b/>
        </w:rPr>
        <w:t>Study 3</w:t>
      </w:r>
      <w:r w:rsidRPr="00C421E4">
        <w:rPr>
          <w:rFonts w:ascii="Times" w:hAnsi="Times"/>
        </w:rPr>
        <w:t xml:space="preserve"> aimed to directly probe and characterize emotion habituation in a chronic mTBI population. This study was novel and had the potential to be highly informative, as it sought to identify factors linking depression and mTBI. </w:t>
      </w:r>
    </w:p>
    <w:p w14:paraId="734CBBFA" w14:textId="77777777" w:rsidR="00F7044C" w:rsidRPr="00C421E4" w:rsidRDefault="00F7044C" w:rsidP="00F7044C">
      <w:pPr>
        <w:spacing w:line="480" w:lineRule="auto"/>
        <w:rPr>
          <w:rFonts w:ascii="Times" w:hAnsi="Times"/>
        </w:rPr>
      </w:pPr>
    </w:p>
    <w:p w14:paraId="61D450BE" w14:textId="77777777" w:rsidR="00F7044C" w:rsidRPr="00C421E4" w:rsidRDefault="00F7044C" w:rsidP="00F7044C">
      <w:pPr>
        <w:spacing w:line="480" w:lineRule="auto"/>
        <w:rPr>
          <w:rFonts w:ascii="Times" w:hAnsi="Times"/>
        </w:rPr>
      </w:pPr>
      <w:r w:rsidRPr="00C421E4">
        <w:rPr>
          <w:rFonts w:ascii="Times" w:hAnsi="Times"/>
        </w:rPr>
        <w:t xml:space="preserve">Additionally, in </w:t>
      </w:r>
      <w:r w:rsidRPr="00C421E4">
        <w:rPr>
          <w:rFonts w:ascii="Times" w:hAnsi="Times"/>
          <w:b/>
        </w:rPr>
        <w:t>Study 2</w:t>
      </w:r>
      <w:r w:rsidRPr="00C421E4">
        <w:rPr>
          <w:rFonts w:ascii="Times" w:hAnsi="Times"/>
        </w:rPr>
        <w:t xml:space="preserve">, we found near-significant differences in reactivity (ratings of the images during the first viewing session) between mTBI and non-TBI groups in the </w:t>
      </w:r>
      <w:r w:rsidRPr="00C421E4">
        <w:rPr>
          <w:rFonts w:ascii="Times" w:hAnsi="Times"/>
        </w:rPr>
        <w:lastRenderedPageBreak/>
        <w:t xml:space="preserve">morning (Cohen’s d = .65). The mTBI group rated the images as less negative than the non-TBI group. However, no clear differences between groups were present in the evening. Given this, we may have detected circadian rhythmicity differences between injury groups. Previous work has found individuals tend to rate negative stimuli as more negative when they are in a circadian trough (“off-peak”; </w:t>
      </w:r>
      <w:r w:rsidRPr="00C421E4">
        <w:rPr>
          <w:rFonts w:ascii="Times" w:hAnsi="Times"/>
        </w:rPr>
        <w:fldChar w:fldCharType="begin" w:fldLock="1"/>
      </w:r>
      <w:r w:rsidRPr="00C421E4">
        <w:rPr>
          <w:rFonts w:ascii="Times" w:hAnsi="Times"/>
        </w:rPr>
        <w:instrText xml:space="preserve"> ADDIN ZOTERO_ITEM CSL_CITATION {"citationID":"MRAZSUDt","properties":{"formattedCitation":"(Tucker, Feuerstein, Mende-Siedlecki, Ochsner, &amp; Stern, 2012)","plainCitation":"(Tucker, Feuerstein, Mende-Siedlecki, Ochsner, &amp; Stern, 2012)"},"citationItems":[{"id":"ITEM-1","uris":["http://www.mendeley.com/documents/?uuid=bdad406d-40c6-4a33-bb71-03c186d8b890"],"uri":["http://www.mendeley.com/documents/?uuid=bdad406d-40c6-4a33-bb71-03c186d8b890"],"itemData":{"DOI":"10.1037/a0028207","ISBN":"2122633255","ISSN":"1931-1516","PMID":"22642354","abstract":"This study explored how the effectiveness of specific emotion regulation strategies might be influenced by aging and by time of day, given that in older age the circadian peak in cognitive performance is earlier in the day. We compared the benefit gained by 40 older (60-78 years; 20 women) and 40 younger (18-30 years; 20 women) adults during either on-peak or off-peak circadian times on 2 specific types of cognitive emotion regulation strategies: distraction and reappraisal. Participants rated their negative emotional responses to negative and neutral images under 3 conditions: a baseline nonregulation condition, a distraction condition involving a working memory task, and a reappraisal condition that involved reinterpreting the situation displayed using specific preselected strategies. First, as hypothesized, there was a crossover interaction such that participants in each age group reported more negative reactivity at their off-peak time of day. Second, a double dissociation was observed as circadian rhythms affected only negative reactivity-with reactivity highest at off-peak times-and aging diminished reappraisal but not distraction ability or reactivity. These findings add to growing evidence that understanding the effects of aging on emotion and emotion regulation depends on taking both time of day and type of regulatory strategy into account.","author":[{"dropping-particle":"","family":"Tucker","given":"Adrienne M","non-dropping-particle":"","parse-names":false,"suffix":""},{"dropping-particle":"","family":"Feuerstein","given":"Rebecca","non-dropping-particle":"","parse-names":false,"suffix":""},{"dropping-particle":"","family":"Mende-Siedlecki","given":"Peter","non-dropping-particle":"","parse-names":false,"suffix":""},{"dropping-particle":"","family":"Ochsner","given":"Kevin N","non-dropping-particle":"","parse-names":false,"suffix":""},{"dropping-particle":"","family":"Stern","given":"Yaakov","non-dropping-particle":"","parse-names":false,"suffix":""}],"container-title":"Emotion","id":"ITEM-1","issue":"5","issued":{"date-parts":[["2012"]]},"page":"869-74","title":"Double dissociation: circadian off-peak times increase emotional reactivity; aging impairs emotion regulation via reappraisal.","type":"article-journal","volume":"12"}}],"schema":"https://github.com/citation-style-language/schema/raw/master/csl-citation.json"}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(Tucker, Feuerstein, Mende-Siedlecki, Ochsner, &amp; Stern, 2012)</w:t>
      </w:r>
      <w:r w:rsidRPr="00C421E4">
        <w:rPr>
          <w:rFonts w:ascii="Times" w:hAnsi="Times"/>
        </w:rPr>
        <w:fldChar w:fldCharType="end"/>
      </w:r>
      <w:r w:rsidRPr="00C421E4">
        <w:rPr>
          <w:rFonts w:ascii="Times" w:hAnsi="Times"/>
        </w:rPr>
        <w:t xml:space="preserve">. We aimed to test this hypothesis in an exploratory manner in Study 3 by testing emotion reactivity at each hour to determine whether circadian fluctuations in emotional responses would differ between the mTBI and non-TBI group. </w:t>
      </w:r>
    </w:p>
    <w:p w14:paraId="292A6AA8" w14:textId="77777777" w:rsidR="00F7044C" w:rsidRPr="00C421E4" w:rsidRDefault="00F7044C" w:rsidP="00F7044C">
      <w:pPr>
        <w:spacing w:line="480" w:lineRule="auto"/>
        <w:rPr>
          <w:rFonts w:ascii="Times" w:hAnsi="Times"/>
          <w:b/>
        </w:rPr>
      </w:pPr>
    </w:p>
    <w:p w14:paraId="5B4A7C81" w14:textId="77777777" w:rsidR="00F7044C" w:rsidRPr="007E11D5" w:rsidRDefault="00F7044C" w:rsidP="00F7044C">
      <w:pPr>
        <w:spacing w:line="480" w:lineRule="auto"/>
        <w:outlineLvl w:val="0"/>
        <w:rPr>
          <w:rFonts w:ascii="Times" w:hAnsi="Times"/>
        </w:rPr>
      </w:pPr>
      <w:r w:rsidRPr="007E11D5">
        <w:rPr>
          <w:rFonts w:ascii="Times" w:hAnsi="Times"/>
        </w:rPr>
        <w:t>Hypotheses:</w:t>
      </w:r>
    </w:p>
    <w:p w14:paraId="53975A05" w14:textId="77777777" w:rsidR="00F7044C" w:rsidRPr="00C421E4" w:rsidRDefault="00F7044C" w:rsidP="00F7044C">
      <w:pPr>
        <w:pStyle w:val="ListParagraph"/>
        <w:widowControl w:val="0"/>
        <w:numPr>
          <w:ilvl w:val="0"/>
          <w:numId w:val="12"/>
        </w:numPr>
        <w:autoSpaceDE w:val="0"/>
        <w:autoSpaceDN w:val="0"/>
        <w:adjustRightInd w:val="0"/>
        <w:spacing w:line="480" w:lineRule="auto"/>
        <w:rPr>
          <w:rFonts w:ascii="Times" w:hAnsi="Times"/>
        </w:rPr>
      </w:pPr>
      <w:r w:rsidRPr="00C421E4">
        <w:rPr>
          <w:rFonts w:ascii="Times" w:hAnsi="Times"/>
        </w:rPr>
        <w:t>Emotion habituation would be reduced in a chronic mTBI population</w:t>
      </w:r>
    </w:p>
    <w:p w14:paraId="70656700" w14:textId="77777777" w:rsidR="00F7044C" w:rsidRPr="00C421E4" w:rsidRDefault="00F7044C" w:rsidP="00F7044C">
      <w:pPr>
        <w:pStyle w:val="ListParagraph"/>
        <w:widowControl w:val="0"/>
        <w:numPr>
          <w:ilvl w:val="0"/>
          <w:numId w:val="12"/>
        </w:numPr>
        <w:autoSpaceDE w:val="0"/>
        <w:autoSpaceDN w:val="0"/>
        <w:adjustRightInd w:val="0"/>
        <w:spacing w:line="480" w:lineRule="auto"/>
        <w:rPr>
          <w:rFonts w:ascii="Times" w:hAnsi="Times"/>
        </w:rPr>
      </w:pPr>
      <w:r w:rsidRPr="00C421E4">
        <w:rPr>
          <w:rFonts w:ascii="Times" w:hAnsi="Times"/>
        </w:rPr>
        <w:t>Emotion reactivity would be blunted in a population with chronic mTBI (after controlling for circadian or time-of-day effects)</w:t>
      </w:r>
    </w:p>
    <w:p w14:paraId="7D2D6E7F" w14:textId="77777777" w:rsidR="00F7044C" w:rsidRPr="00C421E4" w:rsidRDefault="00F7044C" w:rsidP="00F7044C">
      <w:pPr>
        <w:pStyle w:val="ListParagraph"/>
        <w:widowControl w:val="0"/>
        <w:numPr>
          <w:ilvl w:val="0"/>
          <w:numId w:val="12"/>
        </w:numPr>
        <w:autoSpaceDE w:val="0"/>
        <w:autoSpaceDN w:val="0"/>
        <w:adjustRightInd w:val="0"/>
        <w:spacing w:line="480" w:lineRule="auto"/>
        <w:rPr>
          <w:rFonts w:ascii="Times" w:hAnsi="Times"/>
        </w:rPr>
      </w:pPr>
      <w:r w:rsidRPr="00C421E4">
        <w:rPr>
          <w:rFonts w:ascii="Times" w:hAnsi="Times"/>
        </w:rPr>
        <w:t xml:space="preserve">Alterations in habituation and reactivity would predict depressive and anxiety symptomology </w:t>
      </w:r>
    </w:p>
    <w:p w14:paraId="52F4F5F2" w14:textId="77777777" w:rsidR="00F7044C" w:rsidRPr="00C421E4" w:rsidRDefault="00F7044C" w:rsidP="00F7044C">
      <w:pPr>
        <w:widowControl w:val="0"/>
        <w:autoSpaceDE w:val="0"/>
        <w:autoSpaceDN w:val="0"/>
        <w:adjustRightInd w:val="0"/>
        <w:spacing w:line="480" w:lineRule="auto"/>
        <w:rPr>
          <w:rFonts w:ascii="Times" w:hAnsi="Times"/>
        </w:rPr>
      </w:pPr>
    </w:p>
    <w:p w14:paraId="1A8C2FD7" w14:textId="77777777" w:rsidR="00F7044C" w:rsidRPr="00F154F1" w:rsidRDefault="00F7044C" w:rsidP="00F7044C">
      <w:pPr>
        <w:widowControl w:val="0"/>
        <w:autoSpaceDE w:val="0"/>
        <w:autoSpaceDN w:val="0"/>
        <w:adjustRightInd w:val="0"/>
        <w:spacing w:line="480" w:lineRule="auto"/>
        <w:jc w:val="center"/>
        <w:outlineLvl w:val="0"/>
        <w:rPr>
          <w:rFonts w:ascii="Times" w:hAnsi="Times"/>
          <w:b/>
          <w:u w:val="single"/>
        </w:rPr>
      </w:pPr>
      <w:r>
        <w:rPr>
          <w:rFonts w:ascii="Times" w:hAnsi="Times"/>
          <w:b/>
          <w:u w:val="single"/>
        </w:rPr>
        <w:t>D</w:t>
      </w:r>
      <w:r w:rsidRPr="00F154F1">
        <w:rPr>
          <w:rFonts w:ascii="Times" w:hAnsi="Times"/>
          <w:b/>
          <w:u w:val="single"/>
        </w:rPr>
        <w:t>. Summary</w:t>
      </w:r>
    </w:p>
    <w:p w14:paraId="0F14064D" w14:textId="77777777" w:rsidR="00F7044C" w:rsidRPr="00C421E4" w:rsidRDefault="00F7044C" w:rsidP="00F7044C">
      <w:pPr>
        <w:spacing w:line="480" w:lineRule="auto"/>
        <w:rPr>
          <w:rFonts w:ascii="Times" w:hAnsi="Times"/>
        </w:rPr>
      </w:pPr>
      <w:r w:rsidRPr="00C421E4">
        <w:rPr>
          <w:rFonts w:ascii="Times" w:hAnsi="Times"/>
        </w:rPr>
        <w:t>The three projects in this dissertation collection were used to explore the long-term sequelae of mTBI. The first two projects (</w:t>
      </w:r>
      <w:r w:rsidRPr="00C421E4">
        <w:rPr>
          <w:rFonts w:ascii="Times" w:hAnsi="Times"/>
          <w:b/>
        </w:rPr>
        <w:t>Study 1</w:t>
      </w:r>
      <w:r w:rsidRPr="00C421E4">
        <w:rPr>
          <w:rFonts w:ascii="Times" w:hAnsi="Times"/>
        </w:rPr>
        <w:t xml:space="preserve"> and </w:t>
      </w:r>
      <w:r w:rsidRPr="00C421E4">
        <w:rPr>
          <w:rFonts w:ascii="Times" w:hAnsi="Times"/>
          <w:b/>
        </w:rPr>
        <w:t>Study 2</w:t>
      </w:r>
      <w:r w:rsidRPr="00C421E4">
        <w:rPr>
          <w:rFonts w:ascii="Times" w:hAnsi="Times"/>
        </w:rPr>
        <w:t xml:space="preserve">) were novel because they were the first investigations to probe sleep-dependent processes following TBI. In aggregation, these studies found sleep-dependent memory consolidation of emotional stimuli is uniquely disrupted in this population. </w:t>
      </w:r>
      <w:r w:rsidRPr="00C421E4">
        <w:rPr>
          <w:rFonts w:ascii="Times" w:hAnsi="Times"/>
          <w:b/>
        </w:rPr>
        <w:t>Study 2</w:t>
      </w:r>
      <w:r w:rsidRPr="00C421E4">
        <w:rPr>
          <w:rFonts w:ascii="Times" w:hAnsi="Times"/>
        </w:rPr>
        <w:t xml:space="preserve"> also found peculiar wake-</w:t>
      </w:r>
      <w:r w:rsidRPr="00C421E4">
        <w:rPr>
          <w:rFonts w:ascii="Times" w:hAnsi="Times"/>
        </w:rPr>
        <w:lastRenderedPageBreak/>
        <w:t xml:space="preserve">dependent effects that suggest individuals with chronic mTBI have emotion blunting and also deficiencies in emotion habituation. </w:t>
      </w:r>
      <w:r w:rsidRPr="00C421E4">
        <w:rPr>
          <w:rFonts w:ascii="Times" w:hAnsi="Times"/>
          <w:b/>
        </w:rPr>
        <w:t>Study 3</w:t>
      </w:r>
      <w:r w:rsidRPr="00C421E4">
        <w:rPr>
          <w:rFonts w:ascii="Times" w:hAnsi="Times"/>
        </w:rPr>
        <w:t xml:space="preserve"> aimed to replicate and expand the findings of </w:t>
      </w:r>
      <w:r w:rsidRPr="00C421E4">
        <w:rPr>
          <w:rFonts w:ascii="Times" w:hAnsi="Times"/>
          <w:b/>
        </w:rPr>
        <w:t>Study 2</w:t>
      </w:r>
      <w:r w:rsidRPr="00C421E4">
        <w:rPr>
          <w:rFonts w:ascii="Times" w:hAnsi="Times"/>
        </w:rPr>
        <w:t>. We predicted physiological and self-reported differences in habituation and emotion reactivity (after controlling for circadian effects in reactivity) would be present in this population. These data had the potential to provide insight into the connection between mTBI and depressive symptoms. Overall, findings from this work will guide future research and will inform clinicians who may be providing treatment to individuals with a chronic history of mTBI.</w:t>
      </w:r>
    </w:p>
    <w:p w14:paraId="0E427E7C" w14:textId="77777777" w:rsidR="00F7044C" w:rsidRPr="00C421E4" w:rsidRDefault="00F7044C" w:rsidP="00F7044C">
      <w:pPr>
        <w:rPr>
          <w:rFonts w:ascii="Times" w:hAnsi="Times"/>
        </w:rPr>
      </w:pPr>
    </w:p>
    <w:p w14:paraId="27FB0B9A" w14:textId="77777777" w:rsidR="00F7044C" w:rsidRPr="00C421E4" w:rsidRDefault="00F7044C" w:rsidP="00F7044C">
      <w:pPr>
        <w:rPr>
          <w:rFonts w:ascii="Times" w:hAnsi="Times"/>
        </w:rPr>
      </w:pPr>
      <w:r w:rsidRPr="00C421E4">
        <w:rPr>
          <w:rFonts w:ascii="Times" w:hAnsi="Times"/>
        </w:rPr>
        <w:br w:type="page"/>
      </w:r>
    </w:p>
    <w:p w14:paraId="64F8E165" w14:textId="77777777" w:rsidR="00F7044C" w:rsidRDefault="00F7044C" w:rsidP="00F7044C">
      <w:pPr>
        <w:jc w:val="center"/>
        <w:outlineLvl w:val="0"/>
        <w:rPr>
          <w:rFonts w:ascii="Times" w:hAnsi="Times"/>
          <w:b/>
          <w:noProof/>
        </w:rPr>
      </w:pPr>
      <w:r>
        <w:rPr>
          <w:rFonts w:ascii="Times" w:hAnsi="Times"/>
          <w:b/>
          <w:noProof/>
        </w:rPr>
        <w:lastRenderedPageBreak/>
        <w:t>CHAPTER 2</w:t>
      </w:r>
    </w:p>
    <w:p w14:paraId="3AEBC059" w14:textId="77777777" w:rsidR="00F7044C" w:rsidRPr="009F6D03" w:rsidRDefault="00F7044C" w:rsidP="00F7044C">
      <w:pPr>
        <w:jc w:val="center"/>
        <w:outlineLvl w:val="0"/>
        <w:rPr>
          <w:rFonts w:ascii="Times" w:hAnsi="Times"/>
          <w:i/>
          <w:noProof/>
        </w:rPr>
      </w:pPr>
    </w:p>
    <w:p w14:paraId="013EFC50" w14:textId="77777777" w:rsidR="00F7044C" w:rsidRPr="009F6D03" w:rsidRDefault="00F7044C" w:rsidP="00F7044C">
      <w:pPr>
        <w:pStyle w:val="Body"/>
        <w:spacing w:line="240" w:lineRule="auto"/>
        <w:jc w:val="center"/>
        <w:rPr>
          <w:rFonts w:ascii="Times" w:eastAsia="Times New Roman" w:hAnsi="Times" w:cs="Times New Roman"/>
          <w:b/>
          <w:bCs/>
          <w:color w:val="auto"/>
          <w:sz w:val="24"/>
          <w:szCs w:val="24"/>
        </w:rPr>
      </w:pPr>
      <w:r w:rsidRPr="009F6D03">
        <w:rPr>
          <w:rFonts w:ascii="Times" w:eastAsia="Times New Roman" w:hAnsi="Times" w:cs="Times New Roman"/>
          <w:b/>
          <w:bCs/>
          <w:color w:val="auto"/>
          <w:sz w:val="24"/>
          <w:szCs w:val="24"/>
        </w:rPr>
        <w:t>ALTERED SLEEP COMPOSITION AFTER TRAUMATIC BRAIN INJURY DOES NOT AFFECT DECLARATIVE SLEEP-DEPENDENT MEMORY CONSOLIDATION</w:t>
      </w:r>
    </w:p>
    <w:p w14:paraId="686244B4" w14:textId="77777777" w:rsidR="00F7044C" w:rsidRPr="00C421E4" w:rsidRDefault="00F7044C" w:rsidP="00F7044C">
      <w:pPr>
        <w:pStyle w:val="Body"/>
        <w:spacing w:line="240" w:lineRule="auto"/>
        <w:jc w:val="center"/>
        <w:rPr>
          <w:rFonts w:ascii="Times" w:eastAsia="Times New Roman" w:hAnsi="Times" w:cs="Times New Roman"/>
          <w:b/>
          <w:bCs/>
          <w:color w:val="auto"/>
          <w:sz w:val="24"/>
          <w:szCs w:val="24"/>
        </w:rPr>
      </w:pPr>
    </w:p>
    <w:p w14:paraId="1CF29DB6" w14:textId="77777777" w:rsidR="00F7044C" w:rsidRPr="00921E6F" w:rsidRDefault="00F7044C" w:rsidP="00F7044C">
      <w:pPr>
        <w:spacing w:line="480" w:lineRule="auto"/>
        <w:jc w:val="center"/>
        <w:rPr>
          <w:rFonts w:ascii="Times" w:hAnsi="Times"/>
          <w:b/>
          <w:u w:val="single"/>
        </w:rPr>
      </w:pPr>
      <w:r w:rsidRPr="00921E6F">
        <w:rPr>
          <w:rFonts w:ascii="Times" w:hAnsi="Times"/>
          <w:b/>
          <w:u w:val="single"/>
        </w:rPr>
        <w:t>A. Introduction</w:t>
      </w:r>
    </w:p>
    <w:p w14:paraId="229918C6"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Over 1.7 million incidences of traumatic brain injury (TBI), ranging from mild concussions to severe head trauma, are recorded each year through emergency department visits, hospitalizations, and deaths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(Cornado et al., 2011). Notably, even a single, mild TBI may have long-term psychological and physiological consequences (AFHSC, 2013; Bhalerao et al., 2013), as TBI encompasses both a primary mechanical insult and also a prolonged secondary injury. Secondary injury may be sustained through lactic acid accumulation from local glycolysis, edema, breakdown of the blood brain barrier, excessive neurotransmitter release, lipase activity, protease activity, and apoptosis (Werner et al., 2007). This assortment of physiological and chemical abnormalities may create adverse, long-lasting symptoms, including short-term memory deficits (Dean &amp; Sterr, 2013) and an increase in subjectively disturbed sleep (AFHSC et al., 2013; Bhalerao et al., 2013; Orff et al., 2009; Pillar et al., 2003; Verma et al., 2007).</w:t>
      </w:r>
    </w:p>
    <w:p w14:paraId="66582C9C"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5FB43DDA"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Subjective sleep complaints are likely rooted in physiological changes in sleep. Objective measures of sleep reveal decreased sleep efficiency (time asleep / time in bed) and increased wake after sleep onset time (WASO) following TBI (Kaufman et al., 2001; Parcell et al., 2008; Shekleton et al., 2010). An increased need for sleep, evidenced by self-reported and objectively measured hypersomnia (Baumann et al., 2007; Kempf et al., 2010; Sommerauer et al., 2013; Imbach et al., 2015) has also been found in post-TBI </w:t>
      </w:r>
      <w:r w:rsidRPr="00C421E4">
        <w:rPr>
          <w:rFonts w:ascii="Times" w:eastAsia="Times New Roman" w:hAnsi="Times" w:cs="Times New Roman"/>
          <w:color w:val="auto"/>
          <w:sz w:val="24"/>
          <w:szCs w:val="24"/>
        </w:rPr>
        <w:lastRenderedPageBreak/>
        <w:t>individuals. Additionally, overnight sleep recordings after chronic TBI show alterations in sleep architecture. Reports of sleep architecture vary, however, suggesting either lower percentage of sleep in non-rapid eye movement stage 2 (NREM2) and REM (Parcell et al., 2008; Schreiber et al., 2008) or a higher percentage of Slow Wave Sleep (SWS; Parcell et al., Shekleton et al., 2010; Sommerauer et al., 2013)</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 xml:space="preserve">when compared to those without a history of TBI. Finally, alterations in spectral power, a measure of synaptic strength and synchronization, have also been found following injury (Khoury et al., 2013). </w:t>
      </w:r>
    </w:p>
    <w:p w14:paraId="20B5C497"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78439A03"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Atypical sleep architecture may exacerbate long-term cognitive deficits caused by injury, as sleep is beneficial for the formation of new memories. Specifically, sleep rich in NREM2 and SWS facilitates declarative memory consolidation, which is </w:t>
      </w:r>
      <w:r w:rsidRPr="00C421E4">
        <w:rPr>
          <w:rFonts w:ascii="Times" w:eastAsia="Times New Roman" w:hAnsi="Times" w:cs="Times New Roman"/>
          <w:color w:val="auto"/>
          <w:sz w:val="24"/>
          <w:szCs w:val="24"/>
          <w:shd w:val="clear" w:color="auto" w:fill="FFFFFF"/>
        </w:rPr>
        <w:t>the stabilization and transfer of memory traces from short-term to long-term memory</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(Diekelman &amp; Born, 2010; Plihal &amp; Born, 1997; Stickgold, 2005; Wilson et al., 2012). For instance, it has been suggested that, during NREM2, declarative memory traces are reactivated and redistributed from the hippocampus to neocortex (</w:t>
      </w:r>
      <w:r w:rsidRPr="00C421E4">
        <w:rPr>
          <w:rFonts w:ascii="Times" w:eastAsia="Times New Roman" w:hAnsi="Times" w:cs="Times New Roman"/>
          <w:color w:val="auto"/>
          <w:sz w:val="24"/>
          <w:szCs w:val="24"/>
          <w:shd w:val="clear" w:color="auto" w:fill="FFFFFF"/>
        </w:rPr>
        <w:t>Kempf et al., 2010</w:t>
      </w:r>
      <w:r w:rsidRPr="00C421E4">
        <w:rPr>
          <w:rFonts w:ascii="Times" w:eastAsia="Times New Roman" w:hAnsi="Times" w:cs="Times New Roman"/>
          <w:color w:val="auto"/>
          <w:sz w:val="24"/>
          <w:szCs w:val="24"/>
        </w:rPr>
        <w:t>), and this transfer is enhanced through increased cortical synchronization that occurs during SWS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(Sirota et al., 2002; Takashima et al., 2006). Moreover, specific traits of NREM2 (e.g., sleep spindles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or sigma power [Genzel et al., 2009; Ruch et al., 2012; Clemens et al., 2005; Holz et al., 2012]) and SWS (e.g., %SWS and delta power</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[Holz et al., 2012]) have been linked with declarative memory performance following a sleep bout</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(Marshall et al., 2006), particularly early in the night</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 xml:space="preserve">(Plihal et al., 1997; Genzel et al., 2009). Combined NREM measures (e.g., spindle density across both stages and total %NREM; Plihal et al., </w:t>
      </w:r>
      <w:r w:rsidRPr="00C421E4">
        <w:rPr>
          <w:rFonts w:ascii="Times" w:eastAsia="Times New Roman" w:hAnsi="Times" w:cs="Times New Roman"/>
          <w:color w:val="auto"/>
          <w:sz w:val="24"/>
          <w:szCs w:val="24"/>
        </w:rPr>
        <w:lastRenderedPageBreak/>
        <w:t>1997; Clemens et al., 2005; Holz et al., 2012) have also been linked with overnight consolidation. The latter studies align with recent notions that sleep stages may act sequentially or in concordance to have beneficial declarative memory consolidation effects (Ruch et al., 2012; Clemens et al., 2005; Göder et al., 2007; Ficca et al., 2000; Mazzoni et al., 1999).</w:t>
      </w:r>
    </w:p>
    <w:p w14:paraId="54785807"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27D5F6F6"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Despite well-established sleep deficits following brain injury, to our knowledge, sleep-dependent memory consolidation has never been examined in individuals with a history of TBI. Given that both NREM2 and SWS stages have reportedly been affected by TBI, we sought to examine whether these changes in sleep impair sleep-dependent consolidation. To this end, we utilized a word-pair learning task and investigated memory following intervals containing overnight sleep or spent fully awake. We used polysomnography, a system that objectively quantifies sleep quality and architecture, to examine sleep physiology in those with a history of mild TBI (i.e., having suffered from a concussion) compared to controls without a history of TBI. We hypothesized that TBI subjects would have impaired sleep, in measures of sleep stage duration and fragmentation (i.e., lower sleep efficiency and greater WASO) compared to those without a history of TBI. Moreover, we posited that poorer sleep quality would hinder sleep-dependent memory consolidation when compared to those without a history of TBI. </w:t>
      </w:r>
    </w:p>
    <w:p w14:paraId="566FFCDA" w14:textId="77777777" w:rsidR="00F7044C" w:rsidRDefault="00F7044C" w:rsidP="00F7044C">
      <w:pPr>
        <w:pStyle w:val="Body"/>
        <w:spacing w:after="0" w:line="480" w:lineRule="auto"/>
        <w:ind w:firstLine="720"/>
        <w:rPr>
          <w:rFonts w:ascii="Times" w:eastAsia="Times New Roman" w:hAnsi="Times" w:cs="Times New Roman"/>
          <w:color w:val="auto"/>
          <w:sz w:val="24"/>
          <w:szCs w:val="24"/>
        </w:rPr>
      </w:pPr>
    </w:p>
    <w:p w14:paraId="21442DF5" w14:textId="77777777" w:rsidR="00F7044C" w:rsidRDefault="00F7044C" w:rsidP="00F7044C">
      <w:pPr>
        <w:pStyle w:val="Body"/>
        <w:spacing w:after="0" w:line="480" w:lineRule="auto"/>
        <w:ind w:firstLine="720"/>
        <w:rPr>
          <w:rFonts w:ascii="Times" w:eastAsia="Times New Roman" w:hAnsi="Times" w:cs="Times New Roman"/>
          <w:color w:val="auto"/>
          <w:sz w:val="24"/>
          <w:szCs w:val="24"/>
        </w:rPr>
      </w:pPr>
    </w:p>
    <w:p w14:paraId="4FA3E605" w14:textId="77777777" w:rsidR="00F7044C" w:rsidRDefault="00F7044C" w:rsidP="00F7044C">
      <w:pPr>
        <w:pStyle w:val="Body"/>
        <w:spacing w:after="0" w:line="480" w:lineRule="auto"/>
        <w:ind w:firstLine="720"/>
        <w:rPr>
          <w:rFonts w:ascii="Times" w:eastAsia="Times New Roman" w:hAnsi="Times" w:cs="Times New Roman"/>
          <w:color w:val="auto"/>
          <w:sz w:val="24"/>
          <w:szCs w:val="24"/>
        </w:rPr>
      </w:pPr>
    </w:p>
    <w:p w14:paraId="5DBC3BBC" w14:textId="77777777" w:rsidR="00F7044C" w:rsidRPr="00C421E4" w:rsidRDefault="00F7044C" w:rsidP="00F7044C">
      <w:pPr>
        <w:pStyle w:val="Body"/>
        <w:spacing w:after="0" w:line="480" w:lineRule="auto"/>
        <w:ind w:firstLine="720"/>
        <w:rPr>
          <w:rFonts w:ascii="Times" w:eastAsia="Times New Roman" w:hAnsi="Times" w:cs="Times New Roman"/>
          <w:color w:val="auto"/>
          <w:sz w:val="24"/>
          <w:szCs w:val="24"/>
        </w:rPr>
      </w:pPr>
    </w:p>
    <w:p w14:paraId="194C870C" w14:textId="77777777" w:rsidR="00F7044C" w:rsidRPr="00921E6F" w:rsidRDefault="00F7044C" w:rsidP="00F7044C">
      <w:pPr>
        <w:pStyle w:val="Body"/>
        <w:spacing w:after="0" w:line="480" w:lineRule="auto"/>
        <w:jc w:val="center"/>
        <w:outlineLvl w:val="0"/>
        <w:rPr>
          <w:rFonts w:ascii="Times" w:eastAsia="Times New Roman" w:hAnsi="Times" w:cs="Times New Roman"/>
          <w:b/>
          <w:bCs/>
          <w:color w:val="auto"/>
          <w:sz w:val="24"/>
          <w:szCs w:val="24"/>
          <w:u w:val="single"/>
        </w:rPr>
      </w:pPr>
      <w:r w:rsidRPr="00921E6F">
        <w:rPr>
          <w:rFonts w:ascii="Times" w:eastAsia="Times New Roman" w:hAnsi="Times" w:cs="Times New Roman"/>
          <w:b/>
          <w:bCs/>
          <w:color w:val="auto"/>
          <w:sz w:val="24"/>
          <w:szCs w:val="24"/>
          <w:u w:val="single"/>
        </w:rPr>
        <w:lastRenderedPageBreak/>
        <w:t>B. Methods</w:t>
      </w:r>
    </w:p>
    <w:p w14:paraId="27E5927B" w14:textId="77777777" w:rsidR="00F7044C" w:rsidRPr="00921E6F" w:rsidRDefault="00F7044C" w:rsidP="00F7044C">
      <w:pPr>
        <w:pStyle w:val="Body"/>
        <w:spacing w:after="0" w:line="480" w:lineRule="auto"/>
        <w:jc w:val="center"/>
        <w:outlineLvl w:val="0"/>
        <w:rPr>
          <w:rFonts w:ascii="Times" w:eastAsia="Times New Roman" w:hAnsi="Times" w:cs="Times New Roman"/>
          <w:b/>
          <w:iCs/>
          <w:color w:val="auto"/>
          <w:sz w:val="24"/>
          <w:szCs w:val="24"/>
        </w:rPr>
      </w:pPr>
      <w:r>
        <w:rPr>
          <w:rFonts w:ascii="Times" w:eastAsia="Times New Roman" w:hAnsi="Times" w:cs="Times New Roman"/>
          <w:b/>
          <w:iCs/>
          <w:color w:val="auto"/>
          <w:sz w:val="24"/>
          <w:szCs w:val="24"/>
        </w:rPr>
        <w:t xml:space="preserve">1. </w:t>
      </w:r>
      <w:r w:rsidRPr="00921E6F">
        <w:rPr>
          <w:rFonts w:ascii="Times" w:eastAsia="Times New Roman" w:hAnsi="Times" w:cs="Times New Roman"/>
          <w:b/>
          <w:iCs/>
          <w:color w:val="auto"/>
          <w:sz w:val="24"/>
          <w:szCs w:val="24"/>
        </w:rPr>
        <w:t>Participants</w:t>
      </w:r>
    </w:p>
    <w:p w14:paraId="2D313839"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Participants were 58 healthy young adult participants (18-22 yrs). Subjects were recruited through an online recruitment system (SONA) or by word-of-mouth and were compensated with extra credit for a Psychology course or monetary payment. To be eligible, participants were required to habitually sleep more than 6 hrs per night and have less than 3 naps per week. Participants were excluded if they typically consumed more than 14 cups of coffee or alcohol per week, had a neurological disorder (other than a history of TBI in the TBI group), were taking anti-psychotic or anti-seizure medications, or were taking sleep-affecting medications. Importantly, to specifically examine the chronic effects of TBI (as opposed to transient, acute effects), participants in the TBI group had a history of TBI with injury at least one year prior to participation in the study. </w:t>
      </w:r>
    </w:p>
    <w:p w14:paraId="5446BDBE"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p>
    <w:p w14:paraId="38EA1676"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Participants were assigned to one of four groups: TBI Wake, TBI Sleep, non-TBI Wake, or non-TBI Sleep. Participants were first assigned to a group based on TBI history and then semi-randomly assigned to a Sleep or Wake group, with careful balance of numbers of TBI incidents and severity of TBIs across the TBI Sleep and TBI Wake groups.</w:t>
      </w:r>
    </w:p>
    <w:p w14:paraId="076C910D"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6B054D94" w14:textId="77777777" w:rsidR="00F7044C" w:rsidRPr="00763F6C" w:rsidRDefault="00F7044C" w:rsidP="00F7044C">
      <w:pPr>
        <w:pStyle w:val="Body"/>
        <w:spacing w:after="0" w:line="480" w:lineRule="auto"/>
        <w:jc w:val="center"/>
        <w:outlineLvl w:val="0"/>
        <w:rPr>
          <w:rFonts w:ascii="Times" w:eastAsia="Times New Roman" w:hAnsi="Times" w:cs="Times New Roman"/>
          <w:b/>
          <w:iCs/>
          <w:color w:val="auto"/>
          <w:sz w:val="24"/>
          <w:szCs w:val="24"/>
        </w:rPr>
      </w:pPr>
      <w:r>
        <w:rPr>
          <w:rFonts w:ascii="Times" w:eastAsia="Times New Roman" w:hAnsi="Times" w:cs="Times New Roman"/>
          <w:b/>
          <w:iCs/>
          <w:color w:val="auto"/>
          <w:sz w:val="24"/>
          <w:szCs w:val="24"/>
        </w:rPr>
        <w:t xml:space="preserve">2. </w:t>
      </w:r>
      <w:r w:rsidRPr="00763F6C">
        <w:rPr>
          <w:rFonts w:ascii="Times" w:eastAsia="Times New Roman" w:hAnsi="Times" w:cs="Times New Roman"/>
          <w:b/>
          <w:iCs/>
          <w:color w:val="auto"/>
          <w:sz w:val="24"/>
          <w:szCs w:val="24"/>
        </w:rPr>
        <w:t>Word-pair learning task</w:t>
      </w:r>
    </w:p>
    <w:p w14:paraId="457E06E6"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The word-pair task has been utilized to examine declarative memory consolidation in previous studies in our lab (Wilson et al., 2012).  Stimuli were 40 semantically-unrelated word pairs consisting of single-syllable nouns. The task had three phases: Encoding, Immediate Recall, and Delayed Recall. During encoding, word pairs appeared on a </w:t>
      </w:r>
      <w:r w:rsidRPr="00C421E4">
        <w:rPr>
          <w:rFonts w:ascii="Times" w:eastAsia="Times New Roman" w:hAnsi="Times" w:cs="Times New Roman"/>
          <w:color w:val="auto"/>
          <w:sz w:val="24"/>
          <w:szCs w:val="24"/>
        </w:rPr>
        <w:lastRenderedPageBreak/>
        <w:t>computer monitor for 5s with a 100ms inter-stimuli interval. Participants passively viewed the pairs and were instructed to use a mnemonic strategy to help remember the pairs. Specifically, participants were told to think of associations between the pairs and to picture this association in their mind (e.g., if “aunt-zoo” was presented, they could imagine their aunt on display at a zoo). This instruction was designed to facilitate hippocampal-dependent contextual learning</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(Toki et al., 2014).</w:t>
      </w:r>
      <w:r w:rsidRPr="00C421E4">
        <w:rPr>
          <w:rFonts w:ascii="Times" w:hAnsi="Times"/>
          <w:color w:val="auto"/>
          <w:sz w:val="16"/>
          <w:szCs w:val="16"/>
        </w:rPr>
        <w:t xml:space="preserve"> </w:t>
      </w:r>
      <w:r w:rsidRPr="00C421E4">
        <w:rPr>
          <w:rFonts w:ascii="Times" w:eastAsia="Times New Roman" w:hAnsi="Times" w:cs="Times New Roman"/>
          <w:color w:val="auto"/>
          <w:sz w:val="24"/>
          <w:szCs w:val="24"/>
        </w:rPr>
        <w:t xml:space="preserve">Subsequently, participants practiced recalling the pairs with feedback. The first word from each pair was presented individually in a random order. The first and last two pairs of the encoded list were removed to eliminate primacy and recency effects (leaving a total of 36 pairs). If the participant’s response was incorrect, the correct response was displayed on the computer monitor for 750ms. If the response was correct, the next stimuli appeared on the screen. Recall practice continued until participants reached 65% proficiency or the full list of words had appeared 5 times. </w:t>
      </w:r>
    </w:p>
    <w:p w14:paraId="0EDB8132"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p>
    <w:p w14:paraId="15F81443"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The Immediate Recall phase began following the Encoding phase. Participants were presented with one word from the encoded pairs and were instructed to recall the corresponding word in the pair. There was no feedback for correct or incorrect responses. In Session 2, which occurred after a 12-hr break, participants completed the Delayed Recall phase, which was identical to the Immediate Recall phase. </w:t>
      </w:r>
    </w:p>
    <w:p w14:paraId="692E118C"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27642571" w14:textId="77777777" w:rsidR="00F7044C" w:rsidRPr="009A513B" w:rsidRDefault="00F7044C" w:rsidP="00F7044C">
      <w:pPr>
        <w:pStyle w:val="Body"/>
        <w:spacing w:after="0" w:line="480" w:lineRule="auto"/>
        <w:jc w:val="center"/>
        <w:outlineLvl w:val="0"/>
        <w:rPr>
          <w:rFonts w:ascii="Times" w:eastAsia="Times New Roman" w:hAnsi="Times" w:cs="Times New Roman"/>
          <w:b/>
          <w:iCs/>
          <w:color w:val="auto"/>
          <w:sz w:val="24"/>
          <w:szCs w:val="24"/>
        </w:rPr>
      </w:pPr>
      <w:r>
        <w:rPr>
          <w:rFonts w:ascii="Times" w:eastAsia="Times New Roman" w:hAnsi="Times" w:cs="Times New Roman"/>
          <w:b/>
          <w:iCs/>
          <w:color w:val="auto"/>
          <w:sz w:val="24"/>
          <w:szCs w:val="24"/>
        </w:rPr>
        <w:t xml:space="preserve">3. </w:t>
      </w:r>
      <w:r w:rsidRPr="009A513B">
        <w:rPr>
          <w:rFonts w:ascii="Times" w:eastAsia="Times New Roman" w:hAnsi="Times" w:cs="Times New Roman"/>
          <w:b/>
          <w:iCs/>
          <w:color w:val="auto"/>
          <w:sz w:val="24"/>
          <w:szCs w:val="24"/>
        </w:rPr>
        <w:t>Procedure</w:t>
      </w:r>
    </w:p>
    <w:p w14:paraId="47FD2403"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Procedures were approved by the Institutional Review Board at the University of Massachusetts, Amherst. Before the study commenced, each participant provided written </w:t>
      </w:r>
      <w:r w:rsidRPr="00C421E4">
        <w:rPr>
          <w:rFonts w:ascii="Times" w:eastAsia="Times New Roman" w:hAnsi="Times" w:cs="Times New Roman"/>
          <w:color w:val="auto"/>
          <w:sz w:val="24"/>
          <w:szCs w:val="24"/>
        </w:rPr>
        <w:lastRenderedPageBreak/>
        <w:t>informed consent. Participants then underwent one of two in-lab sessions. For those in the Wake group, session 1 took place in the morning and session 2 took place in the evening, following 12 hrs awake. For the Sleep group, session 1 took place in the evening and session 2 took place the next morning, following 12 hrs containing an overnight sleep interval.</w:t>
      </w:r>
    </w:p>
    <w:p w14:paraId="555B5743"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p>
    <w:p w14:paraId="2C2F8CD1"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In the first session, after completing the consent process and the Stanford Sleepiness Scale, Morningness-Eveningness Questionnaire, Epworth Sleepiness Scale, Pittsburgh Sleep Quality Index, forward digit span test, and TBI questionnaire (all described below), participants performed the Encoding and Immediate Recall phases. Participants returned 12hrs later to complete the Delayed Recall phase.  Subsequently, participants in the Wake group were instructed not to nap. Participants in the Sleep group were equipped with polysomngraphy electrodes in their home, 1 hr prior to their typical bedtime. Twelve hrs after session 1, session 2 took place in the lab. Subjects completed the Stanford Sleepiness Scale followed by the Delayed Recall phase of the word-pair task. </w:t>
      </w:r>
    </w:p>
    <w:p w14:paraId="373A01D9" w14:textId="77777777" w:rsidR="00F7044C" w:rsidRPr="00C421E4" w:rsidRDefault="00F7044C" w:rsidP="00F7044C">
      <w:pPr>
        <w:pStyle w:val="Body"/>
        <w:widowControl w:val="0"/>
        <w:spacing w:after="0" w:line="480" w:lineRule="auto"/>
        <w:ind w:firstLine="720"/>
        <w:rPr>
          <w:rFonts w:ascii="Times" w:eastAsia="Times New Roman" w:hAnsi="Times" w:cs="Times New Roman"/>
          <w:color w:val="auto"/>
          <w:sz w:val="24"/>
          <w:szCs w:val="24"/>
        </w:rPr>
      </w:pPr>
    </w:p>
    <w:p w14:paraId="4765A617" w14:textId="77777777" w:rsidR="00F7044C" w:rsidRPr="009A513B" w:rsidRDefault="00F7044C" w:rsidP="00F7044C">
      <w:pPr>
        <w:pStyle w:val="Body"/>
        <w:widowControl w:val="0"/>
        <w:spacing w:after="0" w:line="480" w:lineRule="auto"/>
        <w:jc w:val="center"/>
        <w:outlineLvl w:val="0"/>
        <w:rPr>
          <w:rFonts w:ascii="Times" w:eastAsia="Times New Roman" w:hAnsi="Times" w:cs="Times New Roman"/>
          <w:b/>
          <w:color w:val="auto"/>
          <w:sz w:val="24"/>
          <w:szCs w:val="24"/>
        </w:rPr>
      </w:pPr>
      <w:r>
        <w:rPr>
          <w:rFonts w:ascii="Times" w:eastAsia="Times New Roman" w:hAnsi="Times" w:cs="Times New Roman"/>
          <w:b/>
          <w:color w:val="auto"/>
          <w:sz w:val="24"/>
          <w:szCs w:val="24"/>
        </w:rPr>
        <w:t xml:space="preserve">4. </w:t>
      </w:r>
      <w:r w:rsidRPr="009A513B">
        <w:rPr>
          <w:rFonts w:ascii="Times" w:eastAsia="Times New Roman" w:hAnsi="Times" w:cs="Times New Roman"/>
          <w:b/>
          <w:color w:val="auto"/>
          <w:sz w:val="24"/>
          <w:szCs w:val="24"/>
        </w:rPr>
        <w:t>Questionnaires</w:t>
      </w:r>
    </w:p>
    <w:p w14:paraId="21A1AC67" w14:textId="77777777" w:rsidR="00F7044C" w:rsidRPr="00C421E4" w:rsidRDefault="00F7044C" w:rsidP="00F7044C">
      <w:pPr>
        <w:pStyle w:val="Body"/>
        <w:widowControl w:val="0"/>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During Session 1, participants completed an in-house questionnaire that recorded self-reported number of TBIs, cause of TBI(s), presence of post-concussive syndrome, and symptoms present after the injury. To assess the participant’s sleepiness level, or tendency to fall asleep during certain everyday activities, the Epworth Sleepiness Scale (ESS) was completed (Johns et al., 1994). The Pittsburgh Sleep Quality Index (PSQI) was administered to assess the participant’s habitual sleep quality and sleep disturbances </w:t>
      </w:r>
      <w:r w:rsidRPr="00C421E4">
        <w:rPr>
          <w:rFonts w:ascii="Times" w:eastAsia="Times New Roman" w:hAnsi="Times" w:cs="Times New Roman"/>
          <w:color w:val="auto"/>
          <w:sz w:val="24"/>
          <w:szCs w:val="24"/>
        </w:rPr>
        <w:lastRenderedPageBreak/>
        <w:t>during the past month of sleep (Buysse et al., 1989). The Morningness-Eveningness Questionnaire (MEQ) was used to determine the participant’s chronotype, or preference for performing tasks and activities during the morning hours or evening hours (Horne &amp; Ostberg, 1976). The Stanford Sleepiness Scale (SSS) was used to determine the participant’s level of sleepiness at the time of the session (Hoddes et al., 1973). Lastly, the participants in the Sleep group were given a sleep survey to gather subjective information about the participant’s sleep during the night prior.</w:t>
      </w:r>
    </w:p>
    <w:p w14:paraId="525FC269"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3EB20B90"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We used the Forward Digit Span task (FDS) from the Wechsler Adult Intelligence Scale IV to assess possible working memory deficits in the TBI group</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(Dean &amp; Sterr, 2013). The FDS requires a series of digits to be read to the subject, who is then asked to verbally repeat the digits in the same order. This task begins with a series of 2 digits and increases in length by a single digit per trial up to a series of 10 digits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(Wechsler, 2008). Due to late adoption of this measure, the FDS was performed by 18 participants in the TBI group and 24 in the non-TBI group.</w:t>
      </w:r>
    </w:p>
    <w:p w14:paraId="4F726FD9" w14:textId="77777777" w:rsidR="00F7044C" w:rsidRPr="00C421E4" w:rsidRDefault="00F7044C" w:rsidP="00F7044C">
      <w:pPr>
        <w:pStyle w:val="Body"/>
        <w:widowControl w:val="0"/>
        <w:spacing w:after="0" w:line="480" w:lineRule="auto"/>
        <w:rPr>
          <w:rFonts w:ascii="Times" w:eastAsia="Times New Roman" w:hAnsi="Times" w:cs="Times New Roman"/>
          <w:i/>
          <w:color w:val="auto"/>
          <w:sz w:val="24"/>
          <w:szCs w:val="24"/>
        </w:rPr>
      </w:pPr>
    </w:p>
    <w:p w14:paraId="7439BE2E" w14:textId="77777777" w:rsidR="00F7044C" w:rsidRPr="004F12FF" w:rsidRDefault="00F7044C" w:rsidP="00F7044C">
      <w:pPr>
        <w:pStyle w:val="Body"/>
        <w:widowControl w:val="0"/>
        <w:spacing w:after="0" w:line="480" w:lineRule="auto"/>
        <w:jc w:val="center"/>
        <w:outlineLvl w:val="0"/>
        <w:rPr>
          <w:rFonts w:ascii="Times" w:eastAsia="Times New Roman" w:hAnsi="Times" w:cs="Times New Roman"/>
          <w:b/>
          <w:color w:val="auto"/>
          <w:sz w:val="24"/>
          <w:szCs w:val="24"/>
        </w:rPr>
      </w:pPr>
      <w:r>
        <w:rPr>
          <w:rFonts w:ascii="Times" w:eastAsia="Times New Roman" w:hAnsi="Times" w:cs="Times New Roman"/>
          <w:b/>
          <w:color w:val="auto"/>
          <w:sz w:val="24"/>
          <w:szCs w:val="24"/>
        </w:rPr>
        <w:t xml:space="preserve">5. </w:t>
      </w:r>
      <w:r w:rsidRPr="004F12FF">
        <w:rPr>
          <w:rFonts w:ascii="Times" w:eastAsia="Times New Roman" w:hAnsi="Times" w:cs="Times New Roman"/>
          <w:b/>
          <w:color w:val="auto"/>
          <w:sz w:val="24"/>
          <w:szCs w:val="24"/>
        </w:rPr>
        <w:t>Polysomnography</w:t>
      </w:r>
    </w:p>
    <w:p w14:paraId="6641EF8F" w14:textId="77777777" w:rsidR="00F7044C" w:rsidRDefault="00F7044C" w:rsidP="00F7044C">
      <w:pPr>
        <w:pStyle w:val="Body"/>
        <w:spacing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Polysomnography was recorded with the Aura PSG ambulatory system (Grass Technologies). An electrode montage was applied in the participants’ home approximately 1 hr before their typical bedtime. The montage included 2 EOG leads (right and left ocular canthus), two chin EMG leads, and six cortical EEG leads (F3, F4, C3, C4, O1, O2) with each electrode referenced to Cz. Data analysis was conducted according to the revised AASM manual</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(Silber et al., 2007).</w:t>
      </w:r>
    </w:p>
    <w:p w14:paraId="0A901CBD" w14:textId="77777777" w:rsidR="00F7044C" w:rsidRPr="00C421E4" w:rsidRDefault="00F7044C" w:rsidP="00F7044C">
      <w:pPr>
        <w:pStyle w:val="Body"/>
        <w:spacing w:line="480" w:lineRule="auto"/>
        <w:rPr>
          <w:rFonts w:ascii="Times" w:eastAsia="Times New Roman" w:hAnsi="Times" w:cs="Times New Roman"/>
          <w:color w:val="auto"/>
          <w:sz w:val="24"/>
          <w:szCs w:val="24"/>
        </w:rPr>
      </w:pPr>
    </w:p>
    <w:p w14:paraId="55AB45B1" w14:textId="77777777" w:rsidR="00F7044C" w:rsidRPr="004F12FF" w:rsidRDefault="00F7044C" w:rsidP="00F7044C">
      <w:pPr>
        <w:pStyle w:val="Body"/>
        <w:spacing w:after="0" w:line="480" w:lineRule="auto"/>
        <w:jc w:val="center"/>
        <w:outlineLvl w:val="0"/>
        <w:rPr>
          <w:rFonts w:ascii="Times" w:eastAsia="Times New Roman" w:hAnsi="Times" w:cs="Times New Roman"/>
          <w:b/>
          <w:color w:val="auto"/>
          <w:sz w:val="24"/>
          <w:szCs w:val="24"/>
        </w:rPr>
      </w:pPr>
      <w:r>
        <w:rPr>
          <w:rFonts w:ascii="Times" w:eastAsia="Times New Roman" w:hAnsi="Times" w:cs="Times New Roman"/>
          <w:b/>
          <w:color w:val="auto"/>
          <w:sz w:val="24"/>
          <w:szCs w:val="24"/>
        </w:rPr>
        <w:t xml:space="preserve">6. </w:t>
      </w:r>
      <w:r w:rsidRPr="004F12FF">
        <w:rPr>
          <w:rFonts w:ascii="Times" w:eastAsia="Times New Roman" w:hAnsi="Times" w:cs="Times New Roman"/>
          <w:b/>
          <w:color w:val="auto"/>
          <w:sz w:val="24"/>
          <w:szCs w:val="24"/>
        </w:rPr>
        <w:t>Data Analysis</w:t>
      </w:r>
    </w:p>
    <w:p w14:paraId="269D78A2"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Word pair data were individually reviewed for total number of correct word pair responses, allowing for misspelling. Recall accuracy was measured as percentage of the total number of word pairs (of 36 possible). The change in performance between Immediate and Delayed Recall was assessed using an Intersession Change score. Intersession Change in recall was calculated by subtracting the Immediate Recall accuracy from the Delayed Recall accuracy and normalizing to baseline accuracy. </w:t>
      </w:r>
    </w:p>
    <w:p w14:paraId="0229B6D2"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15575335"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Intersession Change was compared across groups using t-tests to determine whether there was a difference between Sleep and Wake group performance. T-tests were also used to compare sleep staging and spectral power between TBI Sleep and non-TBI Sleep groups. Circadian effects at time of encoding were tested using a 2x2 ANOVA, with between-subject variables condition (Sleep v. Wake) and group (TBI v. non-TBI). Similarly, ANOVA tests were used to compare subjective sleep scores (SSS, ESS, PSQI, MEQ), cognitive performance on the FDS, and Intersession Change. Finally, Pearson’s correlations were performed to investigate relationships between sleep factors (e.g., WASO and %SWS) with Intersession Change to determine whether specific qualities of sleep are related to memory performance. Given the large number of statistical analyses, alpha was set to .01. </w:t>
      </w:r>
    </w:p>
    <w:p w14:paraId="521FE595" w14:textId="77777777" w:rsidR="00F7044C" w:rsidRPr="00C421E4" w:rsidRDefault="00F7044C" w:rsidP="00F7044C">
      <w:pPr>
        <w:pStyle w:val="Body"/>
        <w:spacing w:after="0" w:line="480" w:lineRule="auto"/>
        <w:ind w:firstLine="720"/>
        <w:rPr>
          <w:rFonts w:ascii="Times" w:eastAsia="Times New Roman" w:hAnsi="Times" w:cs="Times New Roman"/>
          <w:color w:val="auto"/>
          <w:sz w:val="24"/>
          <w:szCs w:val="24"/>
        </w:rPr>
      </w:pPr>
    </w:p>
    <w:p w14:paraId="2CB760FE"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EEG, EMG, and EOG data were scored using the American Academy of Sleep Medicine (AASM) Manual for the Scoring of Sleep and Associated Events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 xml:space="preserve">(Silber et al., 2007), </w:t>
      </w:r>
      <w:r w:rsidRPr="00C421E4">
        <w:rPr>
          <w:rFonts w:ascii="Times" w:eastAsia="Times New Roman" w:hAnsi="Times" w:cs="Times New Roman"/>
          <w:color w:val="auto"/>
          <w:sz w:val="24"/>
          <w:szCs w:val="24"/>
        </w:rPr>
        <w:lastRenderedPageBreak/>
        <w:t>identifying periods of wake and sleep stages NREM1, NREM2, SWS, and REM. Two trained sleep researchers scored all polysomnograms. Total sleep across the night and percent in each sleep stage was calculated and compared across TBI and non-TBI groups. A combined %NREM2 and %SWS composite (%NREM) was created to address sleep stage interaction effects</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(Clemens et al., 2005; Göder et al., 2007). Pearson’s R coefficients were used to assess correlations between percent total sleep time spent in each sleep stage and intersession change in recall.</w:t>
      </w:r>
    </w:p>
    <w:p w14:paraId="1210BE47" w14:textId="77777777" w:rsidR="00F7044C" w:rsidRPr="00C421E4" w:rsidRDefault="00F7044C" w:rsidP="00F7044C">
      <w:pPr>
        <w:pStyle w:val="NoSpacing"/>
        <w:spacing w:line="480" w:lineRule="auto"/>
        <w:rPr>
          <w:rFonts w:ascii="Times" w:eastAsia="Times New Roman" w:hAnsi="Times"/>
        </w:rPr>
      </w:pPr>
    </w:p>
    <w:p w14:paraId="276060A4" w14:textId="77777777" w:rsidR="00F7044C" w:rsidRPr="00C421E4" w:rsidRDefault="00F7044C" w:rsidP="00F7044C">
      <w:pPr>
        <w:pStyle w:val="NoSpacing"/>
        <w:spacing w:line="480" w:lineRule="auto"/>
        <w:rPr>
          <w:rFonts w:ascii="Times" w:hAnsi="Times"/>
        </w:rPr>
      </w:pPr>
      <w:r w:rsidRPr="00C421E4">
        <w:rPr>
          <w:rFonts w:ascii="Times" w:eastAsia="Times New Roman" w:hAnsi="Times"/>
        </w:rPr>
        <w:t>The spectral power density (</w:t>
      </w:r>
      <w:r w:rsidRPr="00C421E4">
        <w:rPr>
          <w:rFonts w:ascii="Times" w:hAnsi="Times"/>
        </w:rPr>
        <w:t>μV</w:t>
      </w:r>
      <w:r w:rsidRPr="00C421E4">
        <w:rPr>
          <w:rFonts w:ascii="Times" w:hAnsi="Times"/>
          <w:vertAlign w:val="superscript"/>
        </w:rPr>
        <w:t>2</w:t>
      </w:r>
      <w:r w:rsidRPr="00C421E4">
        <w:rPr>
          <w:rFonts w:ascii="Times" w:hAnsi="Times"/>
        </w:rPr>
        <w:t xml:space="preserve">/Hz) </w:t>
      </w:r>
      <w:r w:rsidRPr="00C421E4">
        <w:rPr>
          <w:rFonts w:ascii="Times" w:eastAsia="Times New Roman" w:hAnsi="Times"/>
        </w:rPr>
        <w:t>in the sigma (12-15Hz) and delta (0.5-4Hz) range was quantified using BrainAnalyzer 2.0 Software (BrainVision, Berlin, Germany). Delta was examined during SWS, and sigma was examined in both NREM2 and over a combined NREM2 and SWS measure</w:t>
      </w:r>
      <w:r w:rsidRPr="00C421E4">
        <w:rPr>
          <w:rFonts w:ascii="Times" w:eastAsia="Times New Roman" w:hAnsi="Times"/>
          <w:vertAlign w:val="superscript"/>
        </w:rPr>
        <w:t xml:space="preserve"> </w:t>
      </w:r>
      <w:r w:rsidRPr="00C421E4">
        <w:rPr>
          <w:rFonts w:ascii="Times" w:eastAsia="Times New Roman" w:hAnsi="Times"/>
        </w:rPr>
        <w:t>(Clemens et al., 2005; Holz et al., 2012). EEG data was first segmented into stages and filtered to 0.3-25Hz. Raw data inspection was performed to eliminate artifacts, and data were again segmented into 4 s sections. Semi-automatic artifact rejection was performed on individual channels. Fast-Fourier transformation was performed with a Hanning window with 10% overlap. Analyses with delta and sigma utilize relative power (</w:t>
      </w:r>
      <w:r w:rsidRPr="00C421E4">
        <w:rPr>
          <w:rFonts w:ascii="Times" w:eastAsia="Times New Roman" w:hAnsi="Times"/>
          <w:shd w:val="clear" w:color="auto" w:fill="FFFFFF"/>
        </w:rPr>
        <w:t>Khoury et al., 2013)</w:t>
      </w:r>
      <w:r w:rsidRPr="00C421E4">
        <w:rPr>
          <w:rFonts w:ascii="Times" w:eastAsia="Times New Roman" w:hAnsi="Times"/>
        </w:rPr>
        <w:t xml:space="preserve"> in which power in the given spectrum was divided by time in the sleep stage measured (i.e., delta power divided by minutes in SWS; sigma power divided by minutes in NREM2 and NREM2/SWS combined)</w:t>
      </w:r>
      <w:r w:rsidRPr="00C421E4">
        <w:rPr>
          <w:rFonts w:ascii="Times" w:eastAsia="Times New Roman" w:hAnsi="Times"/>
          <w:shd w:val="clear" w:color="auto" w:fill="FFFFFF"/>
        </w:rPr>
        <w:t xml:space="preserve">. </w:t>
      </w:r>
      <w:r w:rsidRPr="00C421E4">
        <w:rPr>
          <w:rFonts w:ascii="Times" w:eastAsia="Times New Roman" w:hAnsi="Times"/>
        </w:rPr>
        <w:t xml:space="preserve"> </w:t>
      </w:r>
    </w:p>
    <w:p w14:paraId="37684BEB" w14:textId="77777777" w:rsidR="00F7044C" w:rsidRDefault="00F7044C" w:rsidP="00F7044C">
      <w:pPr>
        <w:pStyle w:val="Body"/>
        <w:spacing w:after="0" w:line="480" w:lineRule="auto"/>
        <w:rPr>
          <w:rFonts w:ascii="Times" w:eastAsia="Times New Roman" w:hAnsi="Times" w:cs="Times New Roman"/>
          <w:color w:val="auto"/>
          <w:sz w:val="24"/>
          <w:szCs w:val="24"/>
        </w:rPr>
      </w:pPr>
    </w:p>
    <w:p w14:paraId="37355621" w14:textId="77777777" w:rsidR="00F7044C" w:rsidRDefault="00F7044C" w:rsidP="00F7044C">
      <w:pPr>
        <w:pStyle w:val="Body"/>
        <w:spacing w:after="0" w:line="480" w:lineRule="auto"/>
        <w:rPr>
          <w:rFonts w:ascii="Times" w:eastAsia="Times New Roman" w:hAnsi="Times" w:cs="Times New Roman"/>
          <w:color w:val="auto"/>
          <w:sz w:val="24"/>
          <w:szCs w:val="24"/>
        </w:rPr>
      </w:pPr>
    </w:p>
    <w:p w14:paraId="14360F13" w14:textId="77777777" w:rsidR="00F7044C" w:rsidRDefault="00F7044C" w:rsidP="00F7044C">
      <w:pPr>
        <w:pStyle w:val="Body"/>
        <w:spacing w:after="0" w:line="480" w:lineRule="auto"/>
        <w:rPr>
          <w:rFonts w:ascii="Times" w:eastAsia="Times New Roman" w:hAnsi="Times" w:cs="Times New Roman"/>
          <w:color w:val="auto"/>
          <w:sz w:val="24"/>
          <w:szCs w:val="24"/>
        </w:rPr>
      </w:pPr>
    </w:p>
    <w:p w14:paraId="78ED12A2"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39F0BCAD" w14:textId="77777777" w:rsidR="00F7044C" w:rsidRPr="004F12FF" w:rsidRDefault="00F7044C" w:rsidP="00F7044C">
      <w:pPr>
        <w:pStyle w:val="Body"/>
        <w:spacing w:after="0" w:line="480" w:lineRule="auto"/>
        <w:jc w:val="center"/>
        <w:outlineLvl w:val="0"/>
        <w:rPr>
          <w:rFonts w:ascii="Times" w:eastAsia="Times New Roman" w:hAnsi="Times" w:cs="Times New Roman"/>
          <w:b/>
          <w:bCs/>
          <w:color w:val="auto"/>
          <w:sz w:val="24"/>
          <w:szCs w:val="24"/>
          <w:u w:val="single"/>
        </w:rPr>
      </w:pPr>
      <w:r w:rsidRPr="004F12FF">
        <w:rPr>
          <w:rFonts w:ascii="Times" w:eastAsia="Times New Roman" w:hAnsi="Times" w:cs="Times New Roman"/>
          <w:b/>
          <w:bCs/>
          <w:color w:val="auto"/>
          <w:sz w:val="24"/>
          <w:szCs w:val="24"/>
          <w:u w:val="single"/>
        </w:rPr>
        <w:t>C. Results</w:t>
      </w:r>
    </w:p>
    <w:p w14:paraId="6382FB02" w14:textId="77777777" w:rsidR="00F7044C" w:rsidRPr="004F12FF" w:rsidRDefault="00F7044C" w:rsidP="00F7044C">
      <w:pPr>
        <w:pStyle w:val="Body"/>
        <w:spacing w:after="0" w:line="480" w:lineRule="auto"/>
        <w:jc w:val="center"/>
        <w:outlineLvl w:val="0"/>
        <w:rPr>
          <w:rFonts w:ascii="Times" w:eastAsia="Times New Roman" w:hAnsi="Times" w:cs="Times New Roman"/>
          <w:b/>
          <w:bCs/>
          <w:color w:val="auto"/>
          <w:sz w:val="24"/>
          <w:szCs w:val="24"/>
        </w:rPr>
      </w:pPr>
      <w:r>
        <w:rPr>
          <w:rFonts w:ascii="Times" w:eastAsia="Times New Roman" w:hAnsi="Times" w:cs="Times New Roman"/>
          <w:b/>
          <w:bCs/>
          <w:color w:val="auto"/>
          <w:sz w:val="24"/>
          <w:szCs w:val="24"/>
        </w:rPr>
        <w:t xml:space="preserve">1. </w:t>
      </w:r>
      <w:r w:rsidRPr="004F12FF">
        <w:rPr>
          <w:rFonts w:ascii="Times" w:eastAsia="Times New Roman" w:hAnsi="Times" w:cs="Times New Roman"/>
          <w:b/>
          <w:bCs/>
          <w:color w:val="auto"/>
          <w:sz w:val="24"/>
          <w:szCs w:val="24"/>
        </w:rPr>
        <w:t>Group descriptions</w:t>
      </w:r>
    </w:p>
    <w:p w14:paraId="32E4647A"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One TBI Sleep participant, 1 TBI Wake participant, and 1 non-TBI Wake participant were excluded for falling above or below 3 standard deviations of the mean in terms of Intersession Change in recall. The final sample included 56 participants </w:t>
      </w:r>
      <w:r>
        <w:rPr>
          <w:rFonts w:ascii="Times" w:eastAsia="Times New Roman" w:hAnsi="Times" w:cs="Times New Roman"/>
          <w:color w:val="auto"/>
          <w:sz w:val="24"/>
          <w:szCs w:val="24"/>
        </w:rPr>
        <w:t>across the four groups</w:t>
      </w:r>
      <w:r w:rsidRPr="00C421E4">
        <w:rPr>
          <w:rFonts w:ascii="Times" w:eastAsia="Times New Roman" w:hAnsi="Times" w:cs="Times New Roman"/>
          <w:color w:val="auto"/>
          <w:sz w:val="24"/>
          <w:szCs w:val="24"/>
        </w:rPr>
        <w:t>. We confirmed all Wake participants slept &gt;5 hrs the night before the experiment and all Sleep participants slept &gt;5 hrs the night of the experiment. No Wake participants reported napping during the 12-hour interval between session 1 and 2. No participants reported using alcohol or sleep medications during the study. There were no significant differences in age, gender ratio, or years of ed</w:t>
      </w:r>
      <w:r>
        <w:rPr>
          <w:rFonts w:ascii="Times" w:eastAsia="Times New Roman" w:hAnsi="Times" w:cs="Times New Roman"/>
          <w:color w:val="auto"/>
          <w:sz w:val="24"/>
          <w:szCs w:val="24"/>
        </w:rPr>
        <w:t>ucation between groups</w:t>
      </w:r>
      <w:r w:rsidRPr="00C421E4">
        <w:rPr>
          <w:rFonts w:ascii="Times" w:eastAsia="Times New Roman" w:hAnsi="Times" w:cs="Times New Roman"/>
          <w:color w:val="auto"/>
          <w:sz w:val="24"/>
          <w:szCs w:val="24"/>
        </w:rPr>
        <w:t xml:space="preserve">. </w:t>
      </w:r>
    </w:p>
    <w:p w14:paraId="7EEF739C"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433318F7"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There were no significant differences between TBI Sleep and Wake groups for TBI history or symptoms. Among the 26 TBI participants, there were 34 diagnosed concussions (19 in the Sleep group and 15 in the Wake group; 6 participants had more than 1 diagnosed TBI), 11 of which were accompanied by post-concussive syndrome. The average time since most recent concussion was 4.35±3.14 yrs.  The most common symptoms in both groups were dizziness, headache, decreased ability to co</w:t>
      </w:r>
      <w:r>
        <w:rPr>
          <w:rFonts w:ascii="Times" w:eastAsia="Times New Roman" w:hAnsi="Times" w:cs="Times New Roman"/>
          <w:color w:val="auto"/>
          <w:sz w:val="24"/>
          <w:szCs w:val="24"/>
        </w:rPr>
        <w:t>ncentrate, and fatigue</w:t>
      </w:r>
      <w:r w:rsidRPr="00C421E4">
        <w:rPr>
          <w:rFonts w:ascii="Times" w:eastAsia="Times New Roman" w:hAnsi="Times" w:cs="Times New Roman"/>
          <w:color w:val="auto"/>
          <w:sz w:val="24"/>
          <w:szCs w:val="24"/>
        </w:rPr>
        <w:t>. Interestingly, only 2 TBI Wake participants and no TBI Sleep participants reported (TBI questionnaire) having sleep disturbances since the time of TBI.</w:t>
      </w:r>
    </w:p>
    <w:p w14:paraId="1A5187C9"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44D2EB82"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Groups also did not differ in terms of habitual sleep or sleepiness or</w:t>
      </w:r>
      <w:r>
        <w:rPr>
          <w:rFonts w:ascii="Times" w:eastAsia="Times New Roman" w:hAnsi="Times" w:cs="Times New Roman"/>
          <w:color w:val="auto"/>
          <w:sz w:val="24"/>
          <w:szCs w:val="24"/>
        </w:rPr>
        <w:t xml:space="preserve"> chronotype. There were no significant differences </w:t>
      </w:r>
      <w:r w:rsidRPr="00C421E4">
        <w:rPr>
          <w:rFonts w:ascii="Times" w:eastAsia="Times New Roman" w:hAnsi="Times" w:cs="Times New Roman"/>
          <w:color w:val="auto"/>
          <w:sz w:val="24"/>
          <w:szCs w:val="24"/>
        </w:rPr>
        <w:t xml:space="preserve">observed in PSQI, SSS at Immediate Recall, SSS at </w:t>
      </w:r>
      <w:r w:rsidRPr="00C421E4">
        <w:rPr>
          <w:rFonts w:ascii="Times" w:eastAsia="Times New Roman" w:hAnsi="Times" w:cs="Times New Roman"/>
          <w:color w:val="auto"/>
          <w:sz w:val="24"/>
          <w:szCs w:val="24"/>
        </w:rPr>
        <w:lastRenderedPageBreak/>
        <w:t>Delayed Recall, ESS, or MEQ scores. Importantly, no significant differences were found for FDS scores, indicating that TBI condition did not affect short-term memory and attention.</w:t>
      </w:r>
    </w:p>
    <w:p w14:paraId="6AA1AA9F"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571B9224" w14:textId="77777777" w:rsidR="00F7044C" w:rsidRPr="004F12FF" w:rsidRDefault="00F7044C" w:rsidP="00F7044C">
      <w:pPr>
        <w:pStyle w:val="Body"/>
        <w:spacing w:after="0" w:line="480" w:lineRule="auto"/>
        <w:jc w:val="center"/>
        <w:outlineLvl w:val="0"/>
        <w:rPr>
          <w:rFonts w:ascii="Times" w:eastAsia="Times New Roman" w:hAnsi="Times" w:cs="Times New Roman"/>
          <w:b/>
          <w:iCs/>
          <w:color w:val="auto"/>
          <w:sz w:val="24"/>
          <w:szCs w:val="24"/>
        </w:rPr>
      </w:pPr>
      <w:r>
        <w:rPr>
          <w:rFonts w:ascii="Times" w:eastAsia="Times New Roman" w:hAnsi="Times" w:cs="Times New Roman"/>
          <w:b/>
          <w:iCs/>
          <w:color w:val="auto"/>
          <w:sz w:val="24"/>
          <w:szCs w:val="24"/>
        </w:rPr>
        <w:t xml:space="preserve">2. </w:t>
      </w:r>
      <w:r w:rsidRPr="004F12FF">
        <w:rPr>
          <w:rFonts w:ascii="Times" w:eastAsia="Times New Roman" w:hAnsi="Times" w:cs="Times New Roman"/>
          <w:b/>
          <w:iCs/>
          <w:color w:val="auto"/>
          <w:sz w:val="24"/>
          <w:szCs w:val="24"/>
        </w:rPr>
        <w:t>Word pair learning task</w:t>
      </w:r>
    </w:p>
    <w:p w14:paraId="57C25CFF"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There were no significant differences in baseline performance across all groups as measured by Immediate Recall accuracy, </w:t>
      </w:r>
      <w:proofErr w:type="gramStart"/>
      <w:r w:rsidRPr="00C421E4">
        <w:rPr>
          <w:rFonts w:ascii="Times" w:eastAsia="Times New Roman" w:hAnsi="Times" w:cs="Times New Roman"/>
          <w:color w:val="auto"/>
          <w:sz w:val="24"/>
          <w:szCs w:val="24"/>
        </w:rPr>
        <w:t>F(</w:t>
      </w:r>
      <w:proofErr w:type="gramEnd"/>
      <w:r w:rsidRPr="00C421E4">
        <w:rPr>
          <w:rFonts w:ascii="Times" w:eastAsia="Times New Roman" w:hAnsi="Times" w:cs="Times New Roman"/>
          <w:color w:val="auto"/>
          <w:sz w:val="24"/>
          <w:szCs w:val="24"/>
        </w:rPr>
        <w:t>3,52)=.655;p=.58, or by number of rounds to reach criteria, F(3,52)=1.51,p=.22, indicating circadian effects and time-of-day did not affect perfo</w:t>
      </w:r>
      <w:r>
        <w:rPr>
          <w:rFonts w:ascii="Times" w:eastAsia="Times New Roman" w:hAnsi="Times" w:cs="Times New Roman"/>
          <w:color w:val="auto"/>
          <w:sz w:val="24"/>
          <w:szCs w:val="24"/>
        </w:rPr>
        <w:t>rmance</w:t>
      </w:r>
      <w:r w:rsidRPr="00C421E4">
        <w:rPr>
          <w:rFonts w:ascii="Times" w:eastAsia="Times New Roman" w:hAnsi="Times" w:cs="Times New Roman"/>
          <w:color w:val="auto"/>
          <w:sz w:val="24"/>
          <w:szCs w:val="24"/>
        </w:rPr>
        <w:t xml:space="preserve">. Moreover, there was no significant difference in Immediate Recall for TBI and non-TBI groups, </w:t>
      </w:r>
      <w:proofErr w:type="gramStart"/>
      <w:r w:rsidRPr="00C421E4">
        <w:rPr>
          <w:rFonts w:ascii="Times" w:eastAsia="Times New Roman" w:hAnsi="Times" w:cs="Times New Roman"/>
          <w:color w:val="auto"/>
          <w:sz w:val="24"/>
          <w:szCs w:val="24"/>
        </w:rPr>
        <w:t>t(</w:t>
      </w:r>
      <w:proofErr w:type="gramEnd"/>
      <w:r w:rsidRPr="00C421E4">
        <w:rPr>
          <w:rFonts w:ascii="Times" w:eastAsia="Times New Roman" w:hAnsi="Times" w:cs="Times New Roman"/>
          <w:color w:val="auto"/>
          <w:sz w:val="24"/>
          <w:szCs w:val="24"/>
        </w:rPr>
        <w:t xml:space="preserve">52)=-1.38,p=.187, or for the number of rounds to reach criteria, t(52)=.345,p=.63, suggesting that the history of TBI did not impair word-pair learning. </w:t>
      </w:r>
    </w:p>
    <w:p w14:paraId="56768E62" w14:textId="77777777" w:rsidR="00F7044C" w:rsidRPr="00C421E4" w:rsidRDefault="00F7044C" w:rsidP="00F7044C">
      <w:pPr>
        <w:spacing w:line="480" w:lineRule="auto"/>
        <w:rPr>
          <w:rFonts w:ascii="Times" w:hAnsi="Times"/>
        </w:rPr>
      </w:pPr>
    </w:p>
    <w:p w14:paraId="1D412716" w14:textId="77777777" w:rsidR="00F7044C" w:rsidRPr="00C421E4" w:rsidRDefault="00F7044C" w:rsidP="00F7044C">
      <w:pPr>
        <w:spacing w:line="480" w:lineRule="auto"/>
        <w:rPr>
          <w:rFonts w:ascii="Times" w:hAnsi="Times"/>
        </w:rPr>
      </w:pPr>
      <w:r w:rsidRPr="00C421E4">
        <w:rPr>
          <w:rFonts w:ascii="Times" w:hAnsi="Times"/>
        </w:rPr>
        <w:t>We examined whether performance improvements were greater following sleep compared to wake, as predicted by our previous work</w:t>
      </w:r>
      <w:r w:rsidRPr="00C421E4">
        <w:rPr>
          <w:rFonts w:ascii="Times" w:hAnsi="Times"/>
          <w:vertAlign w:val="superscript"/>
        </w:rPr>
        <w:t xml:space="preserve"> </w:t>
      </w:r>
      <w:r w:rsidRPr="00C421E4">
        <w:rPr>
          <w:rFonts w:ascii="Times" w:hAnsi="Times"/>
        </w:rPr>
        <w:t xml:space="preserve">(Wilson et al., 2012). There was a significant main effect of condition (Sleep v. Wake) with greater reduction in recall in the Wake groups, </w:t>
      </w:r>
      <w:proofErr w:type="gramStart"/>
      <w:r w:rsidRPr="00C421E4">
        <w:rPr>
          <w:rFonts w:ascii="Times" w:hAnsi="Times"/>
        </w:rPr>
        <w:t>F(</w:t>
      </w:r>
      <w:proofErr w:type="gramEnd"/>
      <w:r w:rsidRPr="00C421E4">
        <w:rPr>
          <w:rFonts w:ascii="Times" w:hAnsi="Times"/>
        </w:rPr>
        <w:t xml:space="preserve">1,51)=9.30;p=.004 (Figure 1). The main effect of group (TBI v. non-TBI) was not significant, </w:t>
      </w:r>
      <w:proofErr w:type="gramStart"/>
      <w:r w:rsidRPr="00C421E4">
        <w:rPr>
          <w:rFonts w:ascii="Times" w:hAnsi="Times"/>
        </w:rPr>
        <w:t>F(</w:t>
      </w:r>
      <w:proofErr w:type="gramEnd"/>
      <w:r w:rsidRPr="00C421E4">
        <w:rPr>
          <w:rFonts w:ascii="Times" w:hAnsi="Times"/>
        </w:rPr>
        <w:t>2,51)=.421;p=.658, and there was no interaction between the Sleep/Wake condition and TBI/non-TBI status, F(1,51)=.006;p=.939. These results indicate both Sleep groups significantly outperformed the Wake groups, and there were no differences in sleep-dependent consolidation between the TBI and non-TBI groups.</w:t>
      </w:r>
    </w:p>
    <w:p w14:paraId="67853687"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7C89DA71" w14:textId="77777777" w:rsidR="00F7044C" w:rsidRPr="004F12FF" w:rsidRDefault="00F7044C" w:rsidP="00F7044C">
      <w:pPr>
        <w:pStyle w:val="Body"/>
        <w:spacing w:after="0" w:line="480" w:lineRule="auto"/>
        <w:jc w:val="center"/>
        <w:outlineLvl w:val="0"/>
        <w:rPr>
          <w:rFonts w:ascii="Times" w:eastAsia="Times New Roman" w:hAnsi="Times" w:cs="Times New Roman"/>
          <w:b/>
          <w:iCs/>
          <w:color w:val="auto"/>
          <w:sz w:val="24"/>
          <w:szCs w:val="24"/>
        </w:rPr>
      </w:pPr>
      <w:r>
        <w:rPr>
          <w:rFonts w:ascii="Times" w:eastAsia="Times New Roman" w:hAnsi="Times" w:cs="Times New Roman"/>
          <w:b/>
          <w:iCs/>
          <w:color w:val="auto"/>
          <w:sz w:val="24"/>
          <w:szCs w:val="24"/>
        </w:rPr>
        <w:t xml:space="preserve">3. </w:t>
      </w:r>
      <w:r w:rsidRPr="004F12FF">
        <w:rPr>
          <w:rFonts w:ascii="Times" w:eastAsia="Times New Roman" w:hAnsi="Times" w:cs="Times New Roman"/>
          <w:b/>
          <w:iCs/>
          <w:color w:val="auto"/>
          <w:sz w:val="24"/>
          <w:szCs w:val="24"/>
        </w:rPr>
        <w:t>Sleep assessments</w:t>
      </w:r>
    </w:p>
    <w:p w14:paraId="4F8E157D" w14:textId="77777777" w:rsidR="00F7044C" w:rsidRPr="00C421E4" w:rsidRDefault="00F7044C" w:rsidP="00F7044C">
      <w:pPr>
        <w:pStyle w:val="Body"/>
        <w:keepNext/>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lastRenderedPageBreak/>
        <w:t xml:space="preserve">Due to equipment malfunction and operation errors, 5 sleep reports were unusable. The following results are based on polysomnography recorded in 11 participants in the TBI Sleep and 13 participants in the non-TBI Sleep group. </w:t>
      </w:r>
    </w:p>
    <w:p w14:paraId="18DB40BE"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2E4F74D1" w14:textId="77777777" w:rsidR="00F7044C" w:rsidRPr="00C421E4" w:rsidRDefault="00F7044C" w:rsidP="00F7044C">
      <w:pPr>
        <w:pStyle w:val="Body"/>
        <w:spacing w:after="0" w:line="480" w:lineRule="auto"/>
        <w:rPr>
          <w:rFonts w:ascii="Times" w:hAnsi="Times"/>
          <w:color w:val="auto"/>
        </w:rPr>
      </w:pPr>
      <w:r w:rsidRPr="00C421E4">
        <w:rPr>
          <w:rFonts w:ascii="Times" w:eastAsia="Times New Roman" w:hAnsi="Times" w:cs="Times New Roman"/>
          <w:color w:val="auto"/>
          <w:sz w:val="24"/>
          <w:szCs w:val="24"/>
        </w:rPr>
        <w:t>Contrary to our p</w:t>
      </w:r>
      <w:r>
        <w:rPr>
          <w:rFonts w:ascii="Times" w:eastAsia="Times New Roman" w:hAnsi="Times" w:cs="Times New Roman"/>
          <w:color w:val="auto"/>
          <w:sz w:val="24"/>
          <w:szCs w:val="24"/>
        </w:rPr>
        <w:t>redictions</w:t>
      </w:r>
      <w:r w:rsidRPr="00C421E4">
        <w:rPr>
          <w:rFonts w:ascii="Times" w:eastAsia="Times New Roman" w:hAnsi="Times" w:cs="Times New Roman"/>
          <w:color w:val="auto"/>
          <w:sz w:val="24"/>
          <w:szCs w:val="24"/>
        </w:rPr>
        <w:t xml:space="preserve"> there were no differences in sleep efficiency or WASO between the TBI and non-TBI Sleep groups. However, a two-tailed t-test showed a significant difference in %SWS between groups, where the TBI Sleep group had greater %SWS than the non-TBI Sleep grou</w:t>
      </w:r>
      <w:r>
        <w:rPr>
          <w:rFonts w:ascii="Times" w:eastAsia="Times New Roman" w:hAnsi="Times" w:cs="Times New Roman"/>
          <w:color w:val="auto"/>
          <w:sz w:val="24"/>
          <w:szCs w:val="24"/>
        </w:rPr>
        <w:t xml:space="preserve">p, </w:t>
      </w:r>
      <w:proofErr w:type="gramStart"/>
      <w:r>
        <w:rPr>
          <w:rFonts w:ascii="Times" w:eastAsia="Times New Roman" w:hAnsi="Times" w:cs="Times New Roman"/>
          <w:color w:val="auto"/>
          <w:sz w:val="24"/>
          <w:szCs w:val="24"/>
        </w:rPr>
        <w:t>t(</w:t>
      </w:r>
      <w:proofErr w:type="gramEnd"/>
      <w:r>
        <w:rPr>
          <w:rFonts w:ascii="Times" w:eastAsia="Times New Roman" w:hAnsi="Times" w:cs="Times New Roman"/>
          <w:color w:val="auto"/>
          <w:sz w:val="24"/>
          <w:szCs w:val="24"/>
        </w:rPr>
        <w:t>22)=4.675, p=&lt;.001</w:t>
      </w:r>
      <w:r w:rsidRPr="00C421E4">
        <w:rPr>
          <w:rFonts w:ascii="Times" w:eastAsia="Times New Roman" w:hAnsi="Times" w:cs="Times New Roman"/>
          <w:color w:val="auto"/>
          <w:sz w:val="24"/>
          <w:szCs w:val="24"/>
        </w:rPr>
        <w:t xml:space="preserve">. This excess of SWS was at the expense of %NREM1, as an additional t-test revealed TBI participants had near-significantly less %NREM1 compared to non-TBI Sleep participants, </w:t>
      </w:r>
      <w:proofErr w:type="gramStart"/>
      <w:r w:rsidRPr="00C421E4">
        <w:rPr>
          <w:rFonts w:ascii="Times" w:eastAsia="Times New Roman" w:hAnsi="Times" w:cs="Times New Roman"/>
          <w:color w:val="auto"/>
          <w:sz w:val="24"/>
          <w:szCs w:val="24"/>
        </w:rPr>
        <w:t>t(</w:t>
      </w:r>
      <w:proofErr w:type="gramEnd"/>
      <w:r w:rsidRPr="00C421E4">
        <w:rPr>
          <w:rFonts w:ascii="Times" w:eastAsia="Times New Roman" w:hAnsi="Times" w:cs="Times New Roman"/>
          <w:color w:val="auto"/>
          <w:sz w:val="24"/>
          <w:szCs w:val="24"/>
        </w:rPr>
        <w:t xml:space="preserve">22)=-2.502, p=.02 (Figure 2). There were no differences between groups in total sleep time, sleep latency, %NREM2 or %REM. The TBI Sleep group spent more time, albeit not significantly more, in %NREM than did the non-TBI Sleep group, </w:t>
      </w:r>
      <w:proofErr w:type="gramStart"/>
      <w:r w:rsidRPr="00C421E4">
        <w:rPr>
          <w:rFonts w:ascii="Times" w:eastAsia="Times New Roman" w:hAnsi="Times" w:cs="Times New Roman"/>
          <w:color w:val="auto"/>
          <w:sz w:val="24"/>
          <w:szCs w:val="24"/>
        </w:rPr>
        <w:t>t(</w:t>
      </w:r>
      <w:proofErr w:type="gramEnd"/>
      <w:r w:rsidRPr="00C421E4">
        <w:rPr>
          <w:rFonts w:ascii="Times" w:eastAsia="Times New Roman" w:hAnsi="Times" w:cs="Times New Roman"/>
          <w:color w:val="auto"/>
          <w:sz w:val="24"/>
          <w:szCs w:val="24"/>
        </w:rPr>
        <w:t xml:space="preserve">22)=1.96, p=.062, likely as a result of increased %SWS. </w:t>
      </w:r>
    </w:p>
    <w:p w14:paraId="39414DD1"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1953273D"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Spectral power in the relative sigma (12-15Hz) and relative delta (0.5-4Hz) bands was compared between TBI and non-TBI Sleep groups using two-tailed t-tests. No differences were found in sigma power, or a combined NREM2/SWS sigma measure at any frontal or central locations. However, the central delta band differed near-significantly between the groups, </w:t>
      </w:r>
      <w:proofErr w:type="gramStart"/>
      <w:r w:rsidRPr="00C421E4">
        <w:rPr>
          <w:rFonts w:ascii="Times" w:eastAsia="Times New Roman" w:hAnsi="Times" w:cs="Times New Roman"/>
          <w:color w:val="auto"/>
          <w:sz w:val="24"/>
          <w:szCs w:val="24"/>
        </w:rPr>
        <w:t>t(</w:t>
      </w:r>
      <w:proofErr w:type="gramEnd"/>
      <w:r w:rsidRPr="00C421E4">
        <w:rPr>
          <w:rFonts w:ascii="Times" w:eastAsia="Times New Roman" w:hAnsi="Times" w:cs="Times New Roman"/>
          <w:color w:val="auto"/>
          <w:sz w:val="24"/>
          <w:szCs w:val="24"/>
        </w:rPr>
        <w:t>22)=-1.78, p=.08, such that that TBI group had lower relative delta power, as has been previously found (</w:t>
      </w:r>
      <w:r w:rsidRPr="00C421E4">
        <w:rPr>
          <w:rFonts w:ascii="Times" w:eastAsia="Times New Roman" w:hAnsi="Times" w:cs="Times New Roman"/>
          <w:color w:val="auto"/>
          <w:sz w:val="24"/>
          <w:szCs w:val="24"/>
          <w:shd w:val="clear" w:color="auto" w:fill="FFFFFF"/>
        </w:rPr>
        <w:t>Khoury et al., 2013</w:t>
      </w:r>
      <w:r w:rsidRPr="00C421E4">
        <w:rPr>
          <w:rFonts w:ascii="Times" w:eastAsia="Times New Roman" w:hAnsi="Times" w:cs="Times New Roman"/>
          <w:color w:val="auto"/>
          <w:sz w:val="24"/>
          <w:szCs w:val="24"/>
        </w:rPr>
        <w:t xml:space="preserve">). </w:t>
      </w:r>
    </w:p>
    <w:p w14:paraId="2615209C"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1390C529" w14:textId="77777777" w:rsidR="00F7044C" w:rsidRPr="004F12FF" w:rsidRDefault="00F7044C" w:rsidP="00F7044C">
      <w:pPr>
        <w:pStyle w:val="Body"/>
        <w:tabs>
          <w:tab w:val="left" w:pos="4186"/>
        </w:tabs>
        <w:spacing w:after="0" w:line="480" w:lineRule="auto"/>
        <w:jc w:val="center"/>
        <w:outlineLvl w:val="0"/>
        <w:rPr>
          <w:rFonts w:ascii="Times" w:eastAsia="Times New Roman" w:hAnsi="Times" w:cs="Times New Roman"/>
          <w:b/>
          <w:color w:val="auto"/>
          <w:sz w:val="24"/>
          <w:szCs w:val="24"/>
        </w:rPr>
      </w:pPr>
      <w:r>
        <w:rPr>
          <w:rFonts w:ascii="Times" w:eastAsia="Times New Roman" w:hAnsi="Times" w:cs="Times New Roman"/>
          <w:b/>
          <w:iCs/>
          <w:color w:val="auto"/>
          <w:sz w:val="24"/>
          <w:szCs w:val="24"/>
        </w:rPr>
        <w:t xml:space="preserve">4. </w:t>
      </w:r>
      <w:r w:rsidRPr="004F12FF">
        <w:rPr>
          <w:rFonts w:ascii="Times" w:eastAsia="Times New Roman" w:hAnsi="Times" w:cs="Times New Roman"/>
          <w:b/>
          <w:iCs/>
          <w:color w:val="auto"/>
          <w:sz w:val="24"/>
          <w:szCs w:val="24"/>
        </w:rPr>
        <w:t>Sleep and memory performance</w:t>
      </w:r>
    </w:p>
    <w:p w14:paraId="33E86A1F"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lastRenderedPageBreak/>
        <w:t>We used correlations to assess the relationship between sleep parameters and Intersession Change, a measure of memory consolidation. Given that there were no differences in the Intersession Change between the TBI and non-TBI groups, we initially considered these groups combined, and then analyzed the both the non-TBI and TBI groups separately.  Counter to previous work</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 xml:space="preserve">(Holz et al., 2012), there was no significant correlation between Intersession Change and %SWS, %NREM2, delta power, sigma power in NREM2 or sigma power combined over NREM2 and SWS in any </w:t>
      </w:r>
      <w:r>
        <w:rPr>
          <w:rFonts w:ascii="Times" w:eastAsia="Times New Roman" w:hAnsi="Times" w:cs="Times New Roman"/>
          <w:color w:val="auto"/>
          <w:sz w:val="24"/>
          <w:szCs w:val="24"/>
        </w:rPr>
        <w:t>of the groups</w:t>
      </w:r>
      <w:r w:rsidRPr="00C421E4">
        <w:rPr>
          <w:rFonts w:ascii="Times" w:eastAsia="Times New Roman" w:hAnsi="Times" w:cs="Times New Roman"/>
          <w:color w:val="auto"/>
          <w:sz w:val="24"/>
          <w:szCs w:val="24"/>
        </w:rPr>
        <w:t>. There was, however, a significant positive correlation between total %NREM and Intersession Change in the comb</w:t>
      </w:r>
      <w:r>
        <w:rPr>
          <w:rFonts w:ascii="Times" w:eastAsia="Times New Roman" w:hAnsi="Times" w:cs="Times New Roman"/>
          <w:color w:val="auto"/>
          <w:sz w:val="24"/>
          <w:szCs w:val="24"/>
        </w:rPr>
        <w:t>ined group (see Figure 3, r=.52</w:t>
      </w:r>
      <w:r w:rsidRPr="00C421E4">
        <w:rPr>
          <w:rFonts w:ascii="Times" w:eastAsia="Times New Roman" w:hAnsi="Times" w:cs="Times New Roman"/>
          <w:color w:val="auto"/>
          <w:sz w:val="24"/>
          <w:szCs w:val="24"/>
        </w:rPr>
        <w:t>; p=.01) and a near-significant positive correlation with Intersession Change (r=.56;</w:t>
      </w:r>
      <w:r>
        <w:rPr>
          <w:rFonts w:ascii="Times" w:eastAsia="Times New Roman" w:hAnsi="Times" w:cs="Times New Roman"/>
          <w:color w:val="auto"/>
          <w:sz w:val="24"/>
          <w:szCs w:val="24"/>
        </w:rPr>
        <w:t xml:space="preserve"> </w:t>
      </w:r>
      <w:r w:rsidRPr="00C421E4">
        <w:rPr>
          <w:rFonts w:ascii="Times" w:eastAsia="Times New Roman" w:hAnsi="Times" w:cs="Times New Roman"/>
          <w:color w:val="auto"/>
          <w:sz w:val="24"/>
          <w:szCs w:val="24"/>
        </w:rPr>
        <w:t xml:space="preserve">p=.05) in the non-TBI group. </w:t>
      </w:r>
    </w:p>
    <w:p w14:paraId="763BF1E3"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74BB8E5E"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Given that NREM during the first half of the night is particularly beneficial for memory consolidation</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 xml:space="preserve">(Plihal et al., 1997) we performed a post-hoc correlation between %NREM and Intersession Change in each half of the night, including all participants (values not reported). Consistent with prior reports, %NREM in the first half of the night was nearly positively correlated with Intersession Change (r=.437; p=.04) but this relationship was not present for %NREM2 (r=.228; p=.19). </w:t>
      </w:r>
    </w:p>
    <w:p w14:paraId="5A51A48F"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0922D7E5"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18C12CC8" w14:textId="77777777" w:rsidR="00F7044C" w:rsidRPr="008367B9" w:rsidRDefault="00F7044C" w:rsidP="00F7044C">
      <w:pPr>
        <w:pStyle w:val="Body"/>
        <w:spacing w:after="0" w:line="480" w:lineRule="auto"/>
        <w:jc w:val="center"/>
        <w:outlineLvl w:val="0"/>
        <w:rPr>
          <w:rFonts w:ascii="Times" w:eastAsia="Times New Roman" w:hAnsi="Times" w:cs="Times New Roman"/>
          <w:b/>
          <w:bCs/>
          <w:color w:val="auto"/>
          <w:sz w:val="24"/>
          <w:szCs w:val="24"/>
          <w:u w:val="single"/>
        </w:rPr>
      </w:pPr>
      <w:r w:rsidRPr="008367B9">
        <w:rPr>
          <w:rFonts w:ascii="Times" w:eastAsia="Times New Roman" w:hAnsi="Times" w:cs="Times New Roman"/>
          <w:b/>
          <w:bCs/>
          <w:color w:val="auto"/>
          <w:sz w:val="24"/>
          <w:szCs w:val="24"/>
          <w:u w:val="single"/>
        </w:rPr>
        <w:t>D. Discussion</w:t>
      </w:r>
    </w:p>
    <w:p w14:paraId="45DFBE29"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This study investigated whether young adults with a history of TBI have decreased sleep quality and architecture and whether this affects sleep-dependent declarative memory consolidation. Contrary to our predictions, TBI subjects did not have increased WASO or </w:t>
      </w:r>
      <w:r w:rsidRPr="00C421E4">
        <w:rPr>
          <w:rFonts w:ascii="Times" w:eastAsia="Times New Roman" w:hAnsi="Times" w:cs="Times New Roman"/>
          <w:color w:val="auto"/>
          <w:sz w:val="24"/>
          <w:szCs w:val="24"/>
        </w:rPr>
        <w:lastRenderedPageBreak/>
        <w:t xml:space="preserve">decreased sleep efficiency. However, we report an increase in %SWS sleep, at the expense of %NREM1 sleep, in individuals who have experienced a TBI. This study is also the first to show preserved declarative sleep-dependent memory consolidation in those with a history of TBI. Interestingly, sleep-dependent memory consolidation was exhibited despite atypical sleep architecture. </w:t>
      </w:r>
    </w:p>
    <w:p w14:paraId="338F0C01"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11CC456D"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As has been previously reported, after performing a declarative word-pair learning task, those who slept had a significantly greater Intersession Change than those who remained awake for an equivalent period of time, a hallmark of sleep-dependent memory consolidation. We do not believe this difference in recall is due to circadian effects, as there were no differences between learning at Immediate Recall for those who learned in the morning (Wake groups) and those who learned in the evening (Sleep groups).</w:t>
      </w:r>
    </w:p>
    <w:p w14:paraId="64902FE0"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0A8996F2" w14:textId="77777777" w:rsidR="00F7044C" w:rsidRPr="00C421E4" w:rsidRDefault="00F7044C" w:rsidP="00F7044C">
      <w:pPr>
        <w:pStyle w:val="Body"/>
        <w:tabs>
          <w:tab w:val="left" w:pos="270"/>
        </w:tabs>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 xml:space="preserve">Moreover, a significant correlation between %NREM and Intersession Change support an active role of sleep in memory consolidation (Wilson et al., 2012; Holz et al., 2012). We did not find a correlation between %SWS, %NREM2, or spindles and Intersession Change as reported in previous studies (Genzel et al., 2009; Ruch et al., 2012; Clemens et al., 2005; Holz et al., 2012). However, the association between Intersession Change and %NREM is consistent with hypotheses that sleep stages may interact or act sequentially (Ruch et al., 2012; Clemens et al., 2005; Göder et al., 2007; Ficca et al., 2000; Mazzoni et al., 1999). For example, recent studies using experimental sleep stage manipulations have found enhancing both NREM2 and SWS boost declarative sleep-dependent consolidation (Mednick et al., 2013), whereas enhancing only SWS did not (Feld et al., 2013). It has </w:t>
      </w:r>
      <w:r w:rsidRPr="00C421E4">
        <w:rPr>
          <w:rFonts w:ascii="Times" w:eastAsia="Times New Roman" w:hAnsi="Times" w:cs="Times New Roman"/>
          <w:color w:val="auto"/>
          <w:sz w:val="24"/>
          <w:szCs w:val="24"/>
        </w:rPr>
        <w:lastRenderedPageBreak/>
        <w:t xml:space="preserve">therefore been suggested that the shared components of NREM2 and SWS (e.g., sleep spindles, slow oscillations) underlie consolidation in concert (Ackermann &amp; Rasch, 2014). Thus, it may be that both NREM2 and SWS are important for declarative sleep-dependent memory consolidation. </w:t>
      </w:r>
    </w:p>
    <w:p w14:paraId="5B706AF9" w14:textId="77777777" w:rsidR="00F7044C" w:rsidRPr="00C421E4" w:rsidRDefault="00F7044C" w:rsidP="00F7044C">
      <w:pPr>
        <w:pStyle w:val="Body"/>
        <w:spacing w:line="480" w:lineRule="auto"/>
        <w:rPr>
          <w:rFonts w:ascii="Times" w:eastAsia="Times New Roman" w:hAnsi="Times" w:cs="Times New Roman"/>
          <w:color w:val="auto"/>
          <w:sz w:val="24"/>
          <w:szCs w:val="24"/>
          <w:shd w:val="clear" w:color="auto" w:fill="FFFFFF"/>
        </w:rPr>
      </w:pPr>
    </w:p>
    <w:p w14:paraId="02C4C0FB" w14:textId="77777777" w:rsidR="00F7044C" w:rsidRPr="00C421E4" w:rsidRDefault="00F7044C" w:rsidP="00F7044C">
      <w:pPr>
        <w:pStyle w:val="Body"/>
        <w:spacing w:line="480" w:lineRule="auto"/>
        <w:rPr>
          <w:rFonts w:ascii="Times" w:eastAsia="Times New Roman" w:hAnsi="Times" w:cs="Times New Roman"/>
          <w:color w:val="auto"/>
          <w:sz w:val="24"/>
          <w:szCs w:val="24"/>
          <w:shd w:val="clear" w:color="auto" w:fill="FFFFFF"/>
        </w:rPr>
      </w:pPr>
      <w:r w:rsidRPr="00C421E4">
        <w:rPr>
          <w:rFonts w:ascii="Times" w:eastAsia="Times New Roman" w:hAnsi="Times" w:cs="Times New Roman"/>
          <w:color w:val="auto"/>
          <w:sz w:val="24"/>
          <w:szCs w:val="24"/>
          <w:shd w:val="clear" w:color="auto" w:fill="FFFFFF"/>
        </w:rPr>
        <w:t>Despite prior studies showing that short-term memory is affected in those who have suffered from a TBI</w:t>
      </w:r>
      <w:r w:rsidRPr="00C421E4">
        <w:rPr>
          <w:rFonts w:ascii="Times" w:eastAsia="Times New Roman" w:hAnsi="Times" w:cs="Times New Roman"/>
          <w:color w:val="auto"/>
          <w:sz w:val="24"/>
          <w:szCs w:val="24"/>
          <w:shd w:val="clear" w:color="auto" w:fill="FFFFFF"/>
          <w:vertAlign w:val="superscript"/>
        </w:rPr>
        <w:t xml:space="preserve"> </w:t>
      </w:r>
      <w:r w:rsidRPr="00C421E4">
        <w:rPr>
          <w:rFonts w:ascii="Times" w:eastAsia="Times New Roman" w:hAnsi="Times" w:cs="Times New Roman"/>
          <w:color w:val="auto"/>
          <w:sz w:val="24"/>
          <w:szCs w:val="24"/>
          <w:shd w:val="clear" w:color="auto" w:fill="FFFFFF"/>
        </w:rPr>
        <w:t>(Dean &amp; Sterr, 2013), we did not see deficits in sleep-dependent memory consolidation for those with and without a history of TBI. It has been posited that SWS facilitates restoration following brain injury (</w:t>
      </w:r>
      <w:r w:rsidRPr="00C421E4">
        <w:rPr>
          <w:rFonts w:ascii="Times" w:eastAsia="Times New Roman" w:hAnsi="Times" w:cs="Times New Roman"/>
          <w:color w:val="auto"/>
          <w:sz w:val="24"/>
          <w:szCs w:val="24"/>
        </w:rPr>
        <w:t xml:space="preserve">Sommerauer et al., 2013; </w:t>
      </w:r>
      <w:r w:rsidRPr="00C421E4">
        <w:rPr>
          <w:rFonts w:ascii="Times" w:eastAsia="Times New Roman" w:hAnsi="Times" w:cs="Times New Roman"/>
          <w:color w:val="auto"/>
          <w:sz w:val="24"/>
          <w:szCs w:val="24"/>
          <w:shd w:val="clear" w:color="auto" w:fill="FFFFFF"/>
        </w:rPr>
        <w:t>Gao et al., 2010</w:t>
      </w:r>
      <w:r w:rsidRPr="00C421E4">
        <w:rPr>
          <w:rFonts w:ascii="Times" w:eastAsia="Times New Roman" w:hAnsi="Times" w:cs="Times New Roman"/>
          <w:color w:val="auto"/>
          <w:sz w:val="24"/>
          <w:szCs w:val="24"/>
        </w:rPr>
        <w:t>)</w:t>
      </w:r>
      <w:r w:rsidRPr="00C421E4">
        <w:rPr>
          <w:rFonts w:ascii="Times" w:eastAsia="Times New Roman" w:hAnsi="Times" w:cs="Times New Roman"/>
          <w:color w:val="auto"/>
          <w:sz w:val="24"/>
          <w:szCs w:val="24"/>
          <w:shd w:val="clear" w:color="auto" w:fill="FFFFFF"/>
        </w:rPr>
        <w:t xml:space="preserve">, and it may be that the normal-to-increased amount of SWS, which is a stage that is beneficial for cortical communication and plasticity, conserved both short-term memory and sleep-dependent consolidation in this sample. </w:t>
      </w:r>
    </w:p>
    <w:p w14:paraId="512C0D96" w14:textId="77777777" w:rsidR="00F7044C" w:rsidRPr="00C421E4" w:rsidRDefault="00F7044C" w:rsidP="00F7044C">
      <w:pPr>
        <w:pStyle w:val="Body"/>
        <w:spacing w:after="0" w:line="480" w:lineRule="auto"/>
        <w:rPr>
          <w:rFonts w:ascii="Times" w:eastAsia="Times New Roman" w:hAnsi="Times" w:cs="Times New Roman"/>
          <w:color w:val="auto"/>
          <w:sz w:val="24"/>
          <w:szCs w:val="24"/>
          <w:shd w:val="clear" w:color="auto" w:fill="FFFFFF"/>
        </w:rPr>
      </w:pPr>
      <w:r w:rsidRPr="00C421E4">
        <w:rPr>
          <w:rFonts w:ascii="Times" w:eastAsia="Times New Roman" w:hAnsi="Times" w:cs="Times New Roman"/>
          <w:color w:val="auto"/>
          <w:sz w:val="24"/>
          <w:szCs w:val="24"/>
          <w:shd w:val="clear" w:color="auto" w:fill="FFFFFF"/>
        </w:rPr>
        <w:t>Previous studies found decreased sleep efficiency and increased WASO in those with TBI</w:t>
      </w:r>
      <w:r w:rsidRPr="00C421E4">
        <w:rPr>
          <w:rFonts w:ascii="Times" w:eastAsia="Times New Roman" w:hAnsi="Times" w:cs="Times New Roman"/>
          <w:color w:val="auto"/>
          <w:sz w:val="24"/>
          <w:szCs w:val="24"/>
          <w:shd w:val="clear" w:color="auto" w:fill="FFFFFF"/>
          <w:vertAlign w:val="superscript"/>
        </w:rPr>
        <w:t xml:space="preserve"> </w:t>
      </w:r>
      <w:r w:rsidRPr="00C421E4">
        <w:rPr>
          <w:rFonts w:ascii="Times" w:eastAsia="Times New Roman" w:hAnsi="Times" w:cs="Times New Roman"/>
          <w:color w:val="auto"/>
          <w:sz w:val="24"/>
          <w:szCs w:val="24"/>
          <w:shd w:val="clear" w:color="auto" w:fill="FFFFFF"/>
        </w:rPr>
        <w:t>(Kaufman et al., 2001; Parcell et al., 2008; Shekleton et al., 2010), yet we did not find a difference in these measures between groups in the present study. Differing sample demographics may account for these discrepancies in findings. Kaufman et al. (2001) studied younger individuals (10-16.5yrs), who have considerably different sleep characteristics and needs than our young adult sample. Participants in the young adult age range are often sleep deprived and may therefore have a higher homeostatic sleep drive than younger adults</w:t>
      </w:r>
      <w:r w:rsidRPr="00C421E4">
        <w:rPr>
          <w:rFonts w:ascii="Times" w:eastAsia="Times New Roman" w:hAnsi="Times" w:cs="Times New Roman"/>
          <w:color w:val="auto"/>
          <w:sz w:val="24"/>
          <w:szCs w:val="24"/>
          <w:shd w:val="clear" w:color="auto" w:fill="FFFFFF"/>
          <w:vertAlign w:val="superscript"/>
        </w:rPr>
        <w:t xml:space="preserve"> </w:t>
      </w:r>
      <w:r w:rsidRPr="00C421E4">
        <w:rPr>
          <w:rFonts w:ascii="Times" w:eastAsia="Times New Roman" w:hAnsi="Times" w:cs="Times New Roman"/>
          <w:color w:val="auto"/>
          <w:sz w:val="24"/>
          <w:szCs w:val="24"/>
          <w:shd w:val="clear" w:color="auto" w:fill="FFFFFF"/>
        </w:rPr>
        <w:t xml:space="preserve">(Herschner et al., 2014). An increased homeostatic drive may minimize awakenings, which ultimately increases sleep efficiency. Additionally, Parcell et al. (2008) investigated individuals with a history of moderate to severe brain injury, whereas our sample had only mild TBI. It may be that poorer sleep quality accompanies </w:t>
      </w:r>
      <w:r w:rsidRPr="00C421E4">
        <w:rPr>
          <w:rFonts w:ascii="Times" w:eastAsia="Times New Roman" w:hAnsi="Times" w:cs="Times New Roman"/>
          <w:color w:val="auto"/>
          <w:sz w:val="24"/>
          <w:szCs w:val="24"/>
          <w:shd w:val="clear" w:color="auto" w:fill="FFFFFF"/>
        </w:rPr>
        <w:lastRenderedPageBreak/>
        <w:t xml:space="preserve">more severe brain injury, and that sleep efficiency remains intact following a mild brain injury in young adults. Finally, because none of the TBI Sleep individuals reported sleep issues following injury, it may be that, by chance, our sample did not include subjects with poor sleep quality. </w:t>
      </w:r>
    </w:p>
    <w:p w14:paraId="22121A60"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p>
    <w:p w14:paraId="2B8A880D" w14:textId="77777777" w:rsidR="00F7044C" w:rsidRPr="00C421E4" w:rsidRDefault="00F7044C" w:rsidP="00F7044C">
      <w:pPr>
        <w:pStyle w:val="Body"/>
        <w:spacing w:after="0" w:line="480" w:lineRule="auto"/>
        <w:rPr>
          <w:rFonts w:ascii="Times" w:eastAsia="Times New Roman" w:hAnsi="Times" w:cs="Times New Roman"/>
          <w:color w:val="auto"/>
          <w:sz w:val="24"/>
          <w:szCs w:val="24"/>
          <w:shd w:val="clear" w:color="auto" w:fill="FFFFFF"/>
        </w:rPr>
      </w:pPr>
      <w:r w:rsidRPr="00C421E4">
        <w:rPr>
          <w:rFonts w:ascii="Times" w:eastAsia="Times New Roman" w:hAnsi="Times" w:cs="Times New Roman"/>
          <w:color w:val="auto"/>
          <w:sz w:val="24"/>
          <w:szCs w:val="24"/>
        </w:rPr>
        <w:t>An increased %SWS was previously found in those with a history of TBI</w:t>
      </w:r>
      <w:r w:rsidRPr="00C421E4">
        <w:rPr>
          <w:rFonts w:ascii="Times" w:eastAsia="Times New Roman" w:hAnsi="Times" w:cs="Times New Roman"/>
          <w:color w:val="auto"/>
          <w:sz w:val="24"/>
          <w:szCs w:val="24"/>
          <w:vertAlign w:val="superscript"/>
        </w:rPr>
        <w:t xml:space="preserve"> </w:t>
      </w:r>
      <w:r w:rsidRPr="00C421E4">
        <w:rPr>
          <w:rFonts w:ascii="Times" w:eastAsia="Times New Roman" w:hAnsi="Times" w:cs="Times New Roman"/>
          <w:color w:val="auto"/>
          <w:sz w:val="24"/>
          <w:szCs w:val="24"/>
        </w:rPr>
        <w:t>(Parcell et al., 2008; Shekleton et al., 2010; Sommerauer et al., 2013). Consistent with these findings, our non-TBI sample had %SWS in the normal range (~20%), and the TBI group had an unusually high %SWS compared to previous reports (Ohayon et al., 2004), with some exceeding 30%. Additionally, the TBI group had notably lower normalized delta power during SWS. There are multiple hypotheses that attempt to explain increased SWS post-TBI. First, following a series of investigations that found increased sleep need after both acute and chronic TBI, it was posited that SWS and its neuroplastic processes (e.g., axonal sprouting, synaptic remodeling) act as a recovery mechanism that may aid in healing (Sommerauer et al., 2013). This hypothesis is supported by investigations in which SWS accelerates healing following a stroke (</w:t>
      </w:r>
      <w:r w:rsidRPr="00C421E4">
        <w:rPr>
          <w:rFonts w:ascii="Times" w:eastAsia="Times New Roman" w:hAnsi="Times" w:cs="Times New Roman"/>
          <w:color w:val="auto"/>
          <w:sz w:val="24"/>
          <w:szCs w:val="24"/>
          <w:shd w:val="clear" w:color="auto" w:fill="FFFFFF"/>
        </w:rPr>
        <w:t>Gao et al., 2010</w:t>
      </w:r>
      <w:r w:rsidRPr="00C421E4">
        <w:rPr>
          <w:rFonts w:ascii="Times" w:eastAsia="Times New Roman" w:hAnsi="Times" w:cs="Times New Roman"/>
          <w:color w:val="auto"/>
          <w:sz w:val="24"/>
          <w:szCs w:val="24"/>
        </w:rPr>
        <w:t xml:space="preserve">). Paralleling this hypothesis, Parcell and colleagues (2008) suggested </w:t>
      </w:r>
      <w:r w:rsidRPr="00C421E4">
        <w:rPr>
          <w:rFonts w:ascii="Times" w:eastAsia="Times New Roman" w:hAnsi="Times" w:cs="Times New Roman"/>
          <w:color w:val="auto"/>
          <w:sz w:val="24"/>
          <w:szCs w:val="24"/>
          <w:shd w:val="clear" w:color="auto" w:fill="FFFFFF"/>
        </w:rPr>
        <w:t xml:space="preserve">TBI may trigger a compensatory mechanism that occurs in response to brain injury, and this mechanism may increase %SWS and delta power. This hypothesis is supported by the increased neuronal reorganization, synaptic potentiation and neural proliferation seen following brain injury (Nudo et al., 2011; Kernie et al., 2011). Strengthening of neurons in response to injury may contribute to the synchronicity required for initiation and maintenance of %SWS. Finally, it has been suggested that the trauma itself increases SWS, as most brain injuries </w:t>
      </w:r>
      <w:r w:rsidRPr="00C421E4">
        <w:rPr>
          <w:rFonts w:ascii="Times" w:eastAsia="Times New Roman" w:hAnsi="Times" w:cs="Times New Roman"/>
          <w:color w:val="auto"/>
          <w:sz w:val="24"/>
          <w:szCs w:val="24"/>
          <w:shd w:val="clear" w:color="auto" w:fill="FFFFFF"/>
        </w:rPr>
        <w:lastRenderedPageBreak/>
        <w:t>having a widespread affect on multiple brain circuits (</w:t>
      </w:r>
      <w:r w:rsidRPr="00C421E4">
        <w:rPr>
          <w:rFonts w:ascii="Times" w:eastAsia="Times New Roman" w:hAnsi="Times" w:cs="Times New Roman"/>
          <w:color w:val="auto"/>
          <w:sz w:val="24"/>
          <w:szCs w:val="24"/>
        </w:rPr>
        <w:t>Sommerauer et al., 2013</w:t>
      </w:r>
      <w:r w:rsidRPr="00C421E4">
        <w:rPr>
          <w:rFonts w:ascii="Times" w:eastAsia="Times New Roman" w:hAnsi="Times" w:cs="Times New Roman"/>
          <w:color w:val="auto"/>
          <w:sz w:val="24"/>
          <w:szCs w:val="24"/>
          <w:shd w:val="clear" w:color="auto" w:fill="FFFFFF"/>
        </w:rPr>
        <w:t xml:space="preserve">). Given the current results, we posit that increased %NREM may be necessary to compensate for marginally lower delta power in the central sites. </w:t>
      </w:r>
    </w:p>
    <w:p w14:paraId="7C9236E2" w14:textId="77777777" w:rsidR="00F7044C" w:rsidRPr="00C421E4" w:rsidRDefault="00F7044C" w:rsidP="00F7044C">
      <w:pPr>
        <w:pStyle w:val="Body"/>
        <w:spacing w:after="0" w:line="480" w:lineRule="auto"/>
        <w:rPr>
          <w:rFonts w:ascii="Times" w:eastAsia="Times New Roman" w:hAnsi="Times" w:cs="Times New Roman"/>
          <w:color w:val="auto"/>
          <w:sz w:val="24"/>
          <w:szCs w:val="24"/>
          <w:shd w:val="clear" w:color="auto" w:fill="FFFFFF"/>
        </w:rPr>
      </w:pPr>
    </w:p>
    <w:p w14:paraId="105065FA" w14:textId="77777777" w:rsidR="00F7044C" w:rsidRPr="00C421E4" w:rsidRDefault="00F7044C" w:rsidP="00F7044C">
      <w:pPr>
        <w:pStyle w:val="Body"/>
        <w:spacing w:after="0" w:line="480" w:lineRule="auto"/>
        <w:rPr>
          <w:rFonts w:ascii="Times" w:eastAsia="Times New Roman" w:hAnsi="Times" w:cs="Times New Roman"/>
          <w:color w:val="auto"/>
          <w:sz w:val="24"/>
          <w:szCs w:val="24"/>
        </w:rPr>
      </w:pPr>
      <w:r w:rsidRPr="00C421E4">
        <w:rPr>
          <w:rFonts w:ascii="Times" w:eastAsia="Times New Roman" w:hAnsi="Times" w:cs="Times New Roman"/>
          <w:color w:val="auto"/>
          <w:sz w:val="24"/>
          <w:szCs w:val="24"/>
        </w:rPr>
        <w:t>At the expense of increased %SWS, the TBI individuals had decreased %NREM1. Of note, %NREM1 found in the current sample is higher than that reported previously in young adults (15-20% vs. 2-5%: Ohayon et al., 2004). However, a closer examination of previous work shows that whereas %NREM1 is low when nocturnal sleep follows an adaptation night (Martin et al., 1997; Fischer et al., 2002), nights without an adaptation period often have NREM1 in a range of 14-23% (Crowley et al., 2002; Baran et al., 2012).</w:t>
      </w:r>
    </w:p>
    <w:p w14:paraId="7764F49E" w14:textId="77777777" w:rsidR="00F7044C" w:rsidRPr="00C421E4" w:rsidRDefault="00F7044C" w:rsidP="00F7044C">
      <w:pPr>
        <w:spacing w:line="480" w:lineRule="auto"/>
        <w:rPr>
          <w:rFonts w:ascii="Times" w:hAnsi="Times"/>
        </w:rPr>
      </w:pPr>
    </w:p>
    <w:p w14:paraId="77095891" w14:textId="77777777" w:rsidR="00F7044C" w:rsidRPr="00C421E4" w:rsidRDefault="00F7044C" w:rsidP="00F7044C">
      <w:pPr>
        <w:spacing w:line="480" w:lineRule="auto"/>
        <w:rPr>
          <w:rFonts w:ascii="Times" w:hAnsi="Times"/>
        </w:rPr>
      </w:pPr>
      <w:r w:rsidRPr="00C421E4">
        <w:rPr>
          <w:rFonts w:ascii="Times" w:hAnsi="Times"/>
        </w:rPr>
        <w:t xml:space="preserve">It is important to address the potential limitations of this study. Our sample included subjects who suffered from a concussion at least 1 year prior to enrollment, as we sought to include only those with long-term consequences of TBI. However, we did not require neurological records to verify TBI presence and severity. It is therefore possible that the TBI group included participants who did not suffer from a concussion as reported. Likewise, the non-TBI group may have included individuals who have indeed suffered from a concussion. However, given that we provided equal compensation for participants in both groups, it is doubtful that participants would deliberately falsely report their TBI history. </w:t>
      </w:r>
    </w:p>
    <w:p w14:paraId="3C97A697" w14:textId="77777777" w:rsidR="00F7044C" w:rsidRPr="00C421E4" w:rsidRDefault="00F7044C" w:rsidP="00F7044C">
      <w:pPr>
        <w:spacing w:line="480" w:lineRule="auto"/>
        <w:rPr>
          <w:rFonts w:ascii="Times" w:hAnsi="Times"/>
        </w:rPr>
      </w:pPr>
    </w:p>
    <w:p w14:paraId="20DEC8B2" w14:textId="77777777" w:rsidR="00F7044C" w:rsidRPr="00C421E4" w:rsidRDefault="00F7044C" w:rsidP="00F7044C">
      <w:pPr>
        <w:spacing w:line="480" w:lineRule="auto"/>
        <w:rPr>
          <w:rFonts w:ascii="Times" w:hAnsi="Times"/>
        </w:rPr>
        <w:sectPr w:rsidR="00F7044C" w:rsidRPr="00C421E4" w:rsidSect="00804E6B">
          <w:headerReference w:type="default" r:id="rId10"/>
          <w:footerReference w:type="even" r:id="rId11"/>
          <w:footerReference w:type="default" r:id="rId12"/>
          <w:pgSz w:w="12240" w:h="15840"/>
          <w:pgMar w:top="1440" w:right="1440" w:bottom="1440" w:left="2160" w:header="720" w:footer="720" w:gutter="0"/>
          <w:pgNumType w:start="1"/>
          <w:cols w:space="720"/>
        </w:sectPr>
      </w:pPr>
      <w:r w:rsidRPr="00C421E4">
        <w:rPr>
          <w:rFonts w:ascii="Times" w:hAnsi="Times"/>
        </w:rPr>
        <w:lastRenderedPageBreak/>
        <w:t>This sample lacked sleep efficiency and WASO deficits, as have been shown previously. They also lacked cognitive impairment, indicated by Digit Span scores and also unimpaired Immediate Recall performance. It may be, then, that our sample included an atypical population that is not representative of others with acute TBI. The heterogeneity of our sample (e.g., time since TBI, site of injury, etc.) may account for a lack of overlap with previous reports. However, given that differences observed in %SWS and relative delta power are consistent with prior work</w:t>
      </w:r>
      <w:r w:rsidRPr="00C421E4">
        <w:rPr>
          <w:rFonts w:ascii="Times" w:hAnsi="Times"/>
          <w:vertAlign w:val="superscript"/>
        </w:rPr>
        <w:t xml:space="preserve"> </w:t>
      </w:r>
      <w:r w:rsidRPr="00C421E4">
        <w:rPr>
          <w:rFonts w:ascii="Times" w:hAnsi="Times"/>
        </w:rPr>
        <w:t xml:space="preserve">(Parcell et al., 2008; Shekleton et al., 2010; Khoury et al., 2013), it is unlikely that our sample was dissimilar from others. These results, in fact, highlight the severity of mild TBI, as our heterogeneous group in the chronic TBI stage exhibits characteristics that have been found in more homogenous groups with acute injury. Nonetheless, future work would benefit from neurological exams characterizing the TBI and identifying a more uniform group. </w:t>
      </w:r>
    </w:p>
    <w:p w14:paraId="1DC62657" w14:textId="77777777" w:rsidR="00F7044C" w:rsidRPr="00C421E4" w:rsidRDefault="00F7044C" w:rsidP="00F7044C">
      <w:pPr>
        <w:rPr>
          <w:rFonts w:ascii="Times" w:hAnsi="Times"/>
          <w:shd w:val="clear" w:color="auto" w:fill="FFFFFF"/>
        </w:rPr>
      </w:pPr>
      <w:r w:rsidRPr="00C421E4">
        <w:rPr>
          <w:rFonts w:ascii="Times" w:hAnsi="Times"/>
          <w:noProof/>
        </w:rPr>
        <w:lastRenderedPageBreak/>
        <w:drawing>
          <wp:anchor distT="0" distB="0" distL="114300" distR="114300" simplePos="0" relativeHeight="251659264" behindDoc="0" locked="0" layoutInCell="1" allowOverlap="1" wp14:anchorId="719D021E" wp14:editId="2F673E32">
            <wp:simplePos x="0" y="0"/>
            <wp:positionH relativeFrom="column">
              <wp:posOffset>-61595</wp:posOffset>
            </wp:positionH>
            <wp:positionV relativeFrom="paragraph">
              <wp:posOffset>-111760</wp:posOffset>
            </wp:positionV>
            <wp:extent cx="2926080" cy="2743200"/>
            <wp:effectExtent l="0" t="0" r="0" b="0"/>
            <wp:wrapSquare wrapText="bothSides"/>
            <wp:docPr id="21" name="Picture 21" descr="../../../../Downloads/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Figure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2608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B98AA1" w14:textId="77777777" w:rsidR="00F7044C" w:rsidRPr="00C421E4" w:rsidRDefault="00F7044C" w:rsidP="00F7044C">
      <w:pPr>
        <w:rPr>
          <w:rFonts w:ascii="Times" w:hAnsi="Times"/>
          <w:shd w:val="clear" w:color="auto" w:fill="FFFFFF"/>
        </w:rPr>
      </w:pPr>
    </w:p>
    <w:p w14:paraId="4A083714" w14:textId="77777777" w:rsidR="00F7044C" w:rsidRPr="00C421E4" w:rsidRDefault="00F7044C" w:rsidP="00F7044C">
      <w:pPr>
        <w:rPr>
          <w:rFonts w:ascii="Times" w:hAnsi="Times"/>
          <w:shd w:val="clear" w:color="auto" w:fill="FFFFFF"/>
        </w:rPr>
      </w:pPr>
    </w:p>
    <w:p w14:paraId="3835C605" w14:textId="77777777" w:rsidR="00F7044C" w:rsidRPr="00C421E4" w:rsidRDefault="00F7044C" w:rsidP="00F7044C">
      <w:pPr>
        <w:rPr>
          <w:rFonts w:ascii="Times" w:hAnsi="Times"/>
          <w:shd w:val="clear" w:color="auto" w:fill="FFFFFF"/>
        </w:rPr>
      </w:pPr>
    </w:p>
    <w:p w14:paraId="01FA79CC" w14:textId="77777777" w:rsidR="00F7044C" w:rsidRPr="00C421E4" w:rsidRDefault="00F7044C" w:rsidP="00F7044C">
      <w:pPr>
        <w:rPr>
          <w:rFonts w:ascii="Times" w:hAnsi="Times"/>
          <w:shd w:val="clear" w:color="auto" w:fill="FFFFFF"/>
        </w:rPr>
      </w:pPr>
    </w:p>
    <w:p w14:paraId="011F41A2" w14:textId="77777777" w:rsidR="00F7044C" w:rsidRPr="00C421E4" w:rsidRDefault="00F7044C" w:rsidP="00F7044C">
      <w:pPr>
        <w:rPr>
          <w:rFonts w:ascii="Times" w:hAnsi="Times"/>
          <w:shd w:val="clear" w:color="auto" w:fill="FFFFFF"/>
        </w:rPr>
      </w:pPr>
    </w:p>
    <w:p w14:paraId="27259203" w14:textId="77777777" w:rsidR="00F7044C" w:rsidRPr="00C421E4" w:rsidRDefault="00F7044C" w:rsidP="00F7044C">
      <w:pPr>
        <w:rPr>
          <w:rFonts w:ascii="Times" w:hAnsi="Times"/>
          <w:shd w:val="clear" w:color="auto" w:fill="FFFFFF"/>
        </w:rPr>
      </w:pPr>
    </w:p>
    <w:p w14:paraId="675F435D" w14:textId="77777777" w:rsidR="00F7044C" w:rsidRPr="00C421E4" w:rsidRDefault="00F7044C" w:rsidP="00F7044C">
      <w:pPr>
        <w:rPr>
          <w:rFonts w:ascii="Times" w:hAnsi="Times"/>
          <w:shd w:val="clear" w:color="auto" w:fill="FFFFFF"/>
        </w:rPr>
      </w:pPr>
    </w:p>
    <w:p w14:paraId="4CA84261" w14:textId="77777777" w:rsidR="00F7044C" w:rsidRPr="00C421E4" w:rsidRDefault="00F7044C" w:rsidP="00F7044C">
      <w:pPr>
        <w:rPr>
          <w:rFonts w:ascii="Times" w:hAnsi="Times"/>
          <w:shd w:val="clear" w:color="auto" w:fill="FFFFFF"/>
        </w:rPr>
      </w:pPr>
    </w:p>
    <w:p w14:paraId="6E07617F" w14:textId="77777777" w:rsidR="00F7044C" w:rsidRPr="00C421E4" w:rsidRDefault="00F7044C" w:rsidP="00F7044C">
      <w:pPr>
        <w:rPr>
          <w:rFonts w:ascii="Times" w:hAnsi="Times"/>
          <w:shd w:val="clear" w:color="auto" w:fill="FFFFFF"/>
        </w:rPr>
      </w:pPr>
    </w:p>
    <w:p w14:paraId="2C34324F" w14:textId="77777777" w:rsidR="00F7044C" w:rsidRPr="00C421E4" w:rsidRDefault="00F7044C" w:rsidP="00F7044C">
      <w:pPr>
        <w:rPr>
          <w:rFonts w:ascii="Times" w:hAnsi="Times"/>
          <w:shd w:val="clear" w:color="auto" w:fill="FFFFFF"/>
        </w:rPr>
      </w:pPr>
    </w:p>
    <w:p w14:paraId="697ACD33" w14:textId="77777777" w:rsidR="00F7044C" w:rsidRPr="00C421E4" w:rsidRDefault="00F7044C" w:rsidP="00F7044C">
      <w:pPr>
        <w:rPr>
          <w:rFonts w:ascii="Times" w:hAnsi="Times"/>
          <w:shd w:val="clear" w:color="auto" w:fill="FFFFFF"/>
        </w:rPr>
      </w:pPr>
    </w:p>
    <w:p w14:paraId="271F08D4" w14:textId="77777777" w:rsidR="00F7044C" w:rsidRPr="00C421E4" w:rsidRDefault="00F7044C" w:rsidP="00F7044C">
      <w:pPr>
        <w:rPr>
          <w:rFonts w:ascii="Times" w:hAnsi="Times"/>
          <w:shd w:val="clear" w:color="auto" w:fill="FFFFFF"/>
        </w:rPr>
      </w:pPr>
    </w:p>
    <w:p w14:paraId="6CA264AF" w14:textId="77777777" w:rsidR="00F7044C" w:rsidRPr="00C421E4" w:rsidRDefault="00F7044C" w:rsidP="00F7044C">
      <w:pPr>
        <w:rPr>
          <w:rFonts w:ascii="Times" w:hAnsi="Times"/>
          <w:shd w:val="clear" w:color="auto" w:fill="FFFFFF"/>
        </w:rPr>
      </w:pPr>
    </w:p>
    <w:p w14:paraId="2CFD8C34" w14:textId="77777777" w:rsidR="00F7044C" w:rsidRPr="00C421E4" w:rsidRDefault="00F7044C" w:rsidP="00F7044C">
      <w:pPr>
        <w:rPr>
          <w:rFonts w:ascii="Times" w:hAnsi="Times"/>
          <w:shd w:val="clear" w:color="auto" w:fill="FFFFFF"/>
        </w:rPr>
      </w:pPr>
    </w:p>
    <w:p w14:paraId="15F87FD5" w14:textId="77777777" w:rsidR="00F7044C" w:rsidRPr="00C421E4" w:rsidRDefault="00F7044C" w:rsidP="00F7044C">
      <w:pPr>
        <w:rPr>
          <w:rFonts w:ascii="Times" w:hAnsi="Times"/>
          <w:shd w:val="clear" w:color="auto" w:fill="FFFFFF"/>
        </w:rPr>
      </w:pPr>
    </w:p>
    <w:p w14:paraId="794CD927"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Figure 1: Differences in Intersession Change between Sleep and Wake groups. Error bars represent standard error of the mean.</w:t>
      </w:r>
    </w:p>
    <w:p w14:paraId="1433B803" w14:textId="77777777" w:rsidR="00F7044C" w:rsidRPr="00C421E4" w:rsidRDefault="00F7044C" w:rsidP="00F7044C">
      <w:pPr>
        <w:spacing w:line="480" w:lineRule="auto"/>
        <w:rPr>
          <w:rFonts w:ascii="Times" w:hAnsi="Times"/>
          <w:shd w:val="clear" w:color="auto" w:fill="FFFFFF"/>
        </w:rPr>
      </w:pPr>
    </w:p>
    <w:p w14:paraId="1F2714E6" w14:textId="77777777" w:rsidR="00F7044C" w:rsidRPr="00C421E4" w:rsidRDefault="00F7044C" w:rsidP="00F7044C">
      <w:pPr>
        <w:spacing w:line="480" w:lineRule="auto"/>
        <w:rPr>
          <w:rFonts w:ascii="Times" w:hAnsi="Times"/>
          <w:shd w:val="clear" w:color="auto" w:fill="FFFFFF"/>
        </w:rPr>
      </w:pPr>
    </w:p>
    <w:p w14:paraId="39596BCF"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br w:type="page"/>
      </w:r>
    </w:p>
    <w:p w14:paraId="3689BD24" w14:textId="77777777" w:rsidR="00F7044C" w:rsidRPr="00C421E4" w:rsidRDefault="00F7044C" w:rsidP="00F7044C">
      <w:pPr>
        <w:spacing w:line="480" w:lineRule="auto"/>
        <w:rPr>
          <w:rFonts w:ascii="Times" w:hAnsi="Times"/>
          <w:shd w:val="clear" w:color="auto" w:fill="FFFFFF"/>
        </w:rPr>
      </w:pPr>
      <w:r w:rsidRPr="00C421E4">
        <w:rPr>
          <w:rFonts w:ascii="Times" w:hAnsi="Times"/>
          <w:noProof/>
        </w:rPr>
        <w:lastRenderedPageBreak/>
        <w:drawing>
          <wp:anchor distT="0" distB="0" distL="114300" distR="114300" simplePos="0" relativeHeight="251660288" behindDoc="0" locked="0" layoutInCell="1" allowOverlap="1" wp14:anchorId="26C9E366" wp14:editId="2A2594BA">
            <wp:simplePos x="0" y="0"/>
            <wp:positionH relativeFrom="column">
              <wp:posOffset>-62865</wp:posOffset>
            </wp:positionH>
            <wp:positionV relativeFrom="paragraph">
              <wp:posOffset>-111760</wp:posOffset>
            </wp:positionV>
            <wp:extent cx="2974975" cy="2736850"/>
            <wp:effectExtent l="0" t="0" r="0" b="6350"/>
            <wp:wrapSquare wrapText="bothSides"/>
            <wp:docPr id="22" name="Picture 22" descr="../../../../Downloads/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wnloads/Figure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74975" cy="2736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29D8DB" w14:textId="77777777" w:rsidR="00F7044C" w:rsidRPr="00C421E4" w:rsidRDefault="00F7044C" w:rsidP="00F7044C">
      <w:pPr>
        <w:spacing w:line="480" w:lineRule="auto"/>
        <w:rPr>
          <w:rFonts w:ascii="Times" w:hAnsi="Times"/>
          <w:shd w:val="clear" w:color="auto" w:fill="FFFFFF"/>
        </w:rPr>
      </w:pPr>
    </w:p>
    <w:p w14:paraId="29712E0A" w14:textId="77777777" w:rsidR="00F7044C" w:rsidRPr="00C421E4" w:rsidRDefault="00F7044C" w:rsidP="00F7044C">
      <w:pPr>
        <w:spacing w:line="480" w:lineRule="auto"/>
        <w:rPr>
          <w:rFonts w:ascii="Times" w:hAnsi="Times"/>
          <w:shd w:val="clear" w:color="auto" w:fill="FFFFFF"/>
        </w:rPr>
      </w:pPr>
    </w:p>
    <w:p w14:paraId="75FFFF5C" w14:textId="77777777" w:rsidR="00F7044C" w:rsidRPr="00C421E4" w:rsidRDefault="00F7044C" w:rsidP="00F7044C">
      <w:pPr>
        <w:spacing w:line="480" w:lineRule="auto"/>
        <w:rPr>
          <w:rFonts w:ascii="Times" w:hAnsi="Times"/>
          <w:shd w:val="clear" w:color="auto" w:fill="FFFFFF"/>
        </w:rPr>
      </w:pPr>
    </w:p>
    <w:p w14:paraId="78F4626E" w14:textId="77777777" w:rsidR="00F7044C" w:rsidRPr="00C421E4" w:rsidRDefault="00F7044C" w:rsidP="00F7044C">
      <w:pPr>
        <w:spacing w:line="480" w:lineRule="auto"/>
        <w:rPr>
          <w:rFonts w:ascii="Times" w:hAnsi="Times"/>
          <w:shd w:val="clear" w:color="auto" w:fill="FFFFFF"/>
        </w:rPr>
      </w:pPr>
    </w:p>
    <w:p w14:paraId="52711976" w14:textId="77777777" w:rsidR="00F7044C" w:rsidRPr="00C421E4" w:rsidRDefault="00F7044C" w:rsidP="00F7044C">
      <w:pPr>
        <w:spacing w:line="480" w:lineRule="auto"/>
        <w:rPr>
          <w:rFonts w:ascii="Times" w:hAnsi="Times"/>
          <w:shd w:val="clear" w:color="auto" w:fill="FFFFFF"/>
        </w:rPr>
      </w:pPr>
    </w:p>
    <w:p w14:paraId="57EA9550" w14:textId="77777777" w:rsidR="00F7044C" w:rsidRPr="00C421E4" w:rsidRDefault="00F7044C" w:rsidP="00F7044C">
      <w:pPr>
        <w:spacing w:line="480" w:lineRule="auto"/>
        <w:rPr>
          <w:rFonts w:ascii="Times" w:hAnsi="Times"/>
          <w:shd w:val="clear" w:color="auto" w:fill="FFFFFF"/>
        </w:rPr>
      </w:pPr>
    </w:p>
    <w:p w14:paraId="5D6F08E9" w14:textId="77777777" w:rsidR="00F7044C" w:rsidRPr="00C421E4" w:rsidRDefault="00F7044C" w:rsidP="00F7044C">
      <w:pPr>
        <w:spacing w:line="480" w:lineRule="auto"/>
        <w:rPr>
          <w:rFonts w:ascii="Times" w:hAnsi="Times"/>
          <w:shd w:val="clear" w:color="auto" w:fill="FFFFFF"/>
        </w:rPr>
      </w:pPr>
    </w:p>
    <w:p w14:paraId="07B5AD3D" w14:textId="77777777" w:rsidR="00F7044C" w:rsidRPr="00C421E4" w:rsidRDefault="00F7044C" w:rsidP="00F7044C">
      <w:pPr>
        <w:spacing w:line="480" w:lineRule="auto"/>
        <w:rPr>
          <w:rFonts w:ascii="Times" w:hAnsi="Times"/>
          <w:shd w:val="clear" w:color="auto" w:fill="FFFFFF"/>
        </w:rPr>
      </w:pPr>
    </w:p>
    <w:p w14:paraId="5FC3A16D"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 xml:space="preserve">Figure 2: </w:t>
      </w:r>
      <w:r w:rsidRPr="00C421E4">
        <w:rPr>
          <w:rFonts w:ascii="Times" w:hAnsi="Times"/>
        </w:rPr>
        <w:t xml:space="preserve">Percent total sleep time spent in each stage of sleep. Error bars represent standard error of the mean. </w:t>
      </w:r>
    </w:p>
    <w:p w14:paraId="6F14A923" w14:textId="77777777" w:rsidR="00F7044C" w:rsidRPr="00C421E4" w:rsidRDefault="00F7044C" w:rsidP="00F7044C">
      <w:pPr>
        <w:spacing w:line="480" w:lineRule="auto"/>
        <w:rPr>
          <w:rFonts w:ascii="Times" w:hAnsi="Times"/>
          <w:shd w:val="clear" w:color="auto" w:fill="FFFFFF"/>
        </w:rPr>
      </w:pPr>
    </w:p>
    <w:p w14:paraId="06A99C0E" w14:textId="77777777" w:rsidR="00F7044C" w:rsidRPr="00C421E4" w:rsidRDefault="00F7044C" w:rsidP="00F7044C">
      <w:pPr>
        <w:spacing w:line="480" w:lineRule="auto"/>
        <w:rPr>
          <w:rFonts w:ascii="Times" w:hAnsi="Times"/>
          <w:shd w:val="clear" w:color="auto" w:fill="FFFFFF"/>
        </w:rPr>
      </w:pPr>
    </w:p>
    <w:p w14:paraId="33D46DC6"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br w:type="page"/>
      </w:r>
    </w:p>
    <w:p w14:paraId="7784109B" w14:textId="77777777" w:rsidR="00F7044C" w:rsidRPr="00C421E4" w:rsidRDefault="00F7044C" w:rsidP="00F7044C">
      <w:pPr>
        <w:spacing w:line="480" w:lineRule="auto"/>
        <w:rPr>
          <w:rFonts w:ascii="Times" w:hAnsi="Times"/>
          <w:shd w:val="clear" w:color="auto" w:fill="FFFFFF"/>
        </w:rPr>
      </w:pPr>
      <w:r w:rsidRPr="00C421E4">
        <w:rPr>
          <w:rFonts w:ascii="Times" w:hAnsi="Times"/>
          <w:noProof/>
        </w:rPr>
        <w:lastRenderedPageBreak/>
        <w:drawing>
          <wp:anchor distT="0" distB="0" distL="114300" distR="114300" simplePos="0" relativeHeight="251661312" behindDoc="0" locked="0" layoutInCell="1" allowOverlap="1" wp14:anchorId="7EC760C9" wp14:editId="41D8E838">
            <wp:simplePos x="0" y="0"/>
            <wp:positionH relativeFrom="column">
              <wp:posOffset>-62865</wp:posOffset>
            </wp:positionH>
            <wp:positionV relativeFrom="paragraph">
              <wp:posOffset>-114300</wp:posOffset>
            </wp:positionV>
            <wp:extent cx="2932430" cy="2273935"/>
            <wp:effectExtent l="0" t="0" r="0" b="12065"/>
            <wp:wrapSquare wrapText="bothSides"/>
            <wp:docPr id="23" name="Picture 23" descr="../../../../Downloads/Fig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wnloads/Figure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32430" cy="2273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7DF5AF" w14:textId="77777777" w:rsidR="00F7044C" w:rsidRPr="00C421E4" w:rsidRDefault="00F7044C" w:rsidP="00F7044C">
      <w:pPr>
        <w:spacing w:line="480" w:lineRule="auto"/>
        <w:rPr>
          <w:rFonts w:ascii="Times" w:hAnsi="Times"/>
          <w:shd w:val="clear" w:color="auto" w:fill="FFFFFF"/>
        </w:rPr>
      </w:pPr>
    </w:p>
    <w:p w14:paraId="1B46F94B" w14:textId="77777777" w:rsidR="00F7044C" w:rsidRPr="00C421E4" w:rsidRDefault="00F7044C" w:rsidP="00F7044C">
      <w:pPr>
        <w:spacing w:line="480" w:lineRule="auto"/>
        <w:rPr>
          <w:rFonts w:ascii="Times" w:hAnsi="Times"/>
          <w:shd w:val="clear" w:color="auto" w:fill="FFFFFF"/>
        </w:rPr>
      </w:pPr>
    </w:p>
    <w:p w14:paraId="0CD66700" w14:textId="77777777" w:rsidR="00F7044C" w:rsidRPr="00C421E4" w:rsidRDefault="00F7044C" w:rsidP="00F7044C">
      <w:pPr>
        <w:spacing w:line="480" w:lineRule="auto"/>
        <w:rPr>
          <w:rFonts w:ascii="Times" w:hAnsi="Times"/>
          <w:shd w:val="clear" w:color="auto" w:fill="FFFFFF"/>
        </w:rPr>
      </w:pPr>
    </w:p>
    <w:p w14:paraId="183A19AF" w14:textId="77777777" w:rsidR="00F7044C" w:rsidRPr="00C421E4" w:rsidRDefault="00F7044C" w:rsidP="00F7044C">
      <w:pPr>
        <w:spacing w:line="480" w:lineRule="auto"/>
        <w:rPr>
          <w:rFonts w:ascii="Times" w:hAnsi="Times"/>
          <w:shd w:val="clear" w:color="auto" w:fill="FFFFFF"/>
        </w:rPr>
      </w:pPr>
    </w:p>
    <w:p w14:paraId="07F80846" w14:textId="77777777" w:rsidR="00F7044C" w:rsidRPr="00C421E4" w:rsidRDefault="00F7044C" w:rsidP="00F7044C">
      <w:pPr>
        <w:spacing w:line="480" w:lineRule="auto"/>
        <w:rPr>
          <w:rFonts w:ascii="Times" w:hAnsi="Times"/>
          <w:shd w:val="clear" w:color="auto" w:fill="FFFFFF"/>
        </w:rPr>
      </w:pPr>
    </w:p>
    <w:p w14:paraId="516213A9" w14:textId="77777777" w:rsidR="00F7044C" w:rsidRPr="00C421E4" w:rsidRDefault="00F7044C" w:rsidP="00F7044C">
      <w:pPr>
        <w:spacing w:line="480" w:lineRule="auto"/>
        <w:rPr>
          <w:rFonts w:ascii="Times" w:hAnsi="Times"/>
          <w:shd w:val="clear" w:color="auto" w:fill="FFFFFF"/>
        </w:rPr>
      </w:pPr>
    </w:p>
    <w:p w14:paraId="3A991702" w14:textId="77777777" w:rsidR="00F7044C" w:rsidRPr="00C421E4" w:rsidRDefault="00F7044C" w:rsidP="00F7044C">
      <w:pPr>
        <w:spacing w:line="480" w:lineRule="auto"/>
        <w:rPr>
          <w:rFonts w:ascii="Times" w:hAnsi="Times"/>
          <w:u w:color="000000"/>
          <w:shd w:val="clear" w:color="auto" w:fill="FFFFFF"/>
        </w:rPr>
      </w:pPr>
      <w:r w:rsidRPr="00C421E4">
        <w:rPr>
          <w:rFonts w:ascii="Times" w:hAnsi="Times"/>
          <w:shd w:val="clear" w:color="auto" w:fill="FFFFFF"/>
        </w:rPr>
        <w:t>F</w:t>
      </w:r>
      <w:r w:rsidRPr="00C421E4">
        <w:rPr>
          <w:rFonts w:ascii="Times" w:hAnsi="Times"/>
          <w:u w:color="000000"/>
          <w:shd w:val="clear" w:color="auto" w:fill="FFFFFF"/>
        </w:rPr>
        <w:t xml:space="preserve">igure 3: Intersession Change and percent of the night in NREM (%NREM2 + %SWS). Line represents line of best fit for combined groups. </w:t>
      </w:r>
    </w:p>
    <w:p w14:paraId="1E146EB0"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br w:type="page"/>
      </w:r>
    </w:p>
    <w:p w14:paraId="10E709F1" w14:textId="77777777" w:rsidR="00F7044C" w:rsidRPr="00C421E4" w:rsidRDefault="00F7044C" w:rsidP="00F7044C">
      <w:pPr>
        <w:pStyle w:val="Body"/>
        <w:spacing w:line="240" w:lineRule="auto"/>
        <w:jc w:val="center"/>
        <w:rPr>
          <w:rFonts w:ascii="Times" w:eastAsia="Times New Roman" w:hAnsi="Times" w:cs="Times New Roman"/>
          <w:b/>
          <w:bCs/>
          <w:color w:val="auto"/>
          <w:sz w:val="24"/>
          <w:szCs w:val="24"/>
        </w:rPr>
      </w:pPr>
      <w:r>
        <w:rPr>
          <w:rFonts w:ascii="Times" w:eastAsia="Times New Roman" w:hAnsi="Times" w:cs="Times New Roman"/>
          <w:b/>
          <w:bCs/>
          <w:color w:val="auto"/>
          <w:sz w:val="24"/>
          <w:szCs w:val="24"/>
        </w:rPr>
        <w:lastRenderedPageBreak/>
        <w:t>CHAPTER 3</w:t>
      </w:r>
    </w:p>
    <w:p w14:paraId="0A751847" w14:textId="77777777" w:rsidR="00F7044C" w:rsidRPr="00C421E4" w:rsidRDefault="00F7044C" w:rsidP="00F7044C">
      <w:pPr>
        <w:rPr>
          <w:rFonts w:ascii="Times" w:hAnsi="Times"/>
          <w:b/>
          <w:bCs/>
        </w:rPr>
      </w:pPr>
    </w:p>
    <w:p w14:paraId="49311856" w14:textId="77777777" w:rsidR="00F7044C" w:rsidRPr="00C421E4" w:rsidRDefault="00F7044C" w:rsidP="00F7044C">
      <w:pPr>
        <w:pStyle w:val="Body"/>
        <w:spacing w:line="240" w:lineRule="auto"/>
        <w:jc w:val="center"/>
        <w:outlineLvl w:val="0"/>
        <w:rPr>
          <w:rFonts w:ascii="Times" w:eastAsia="Times New Roman" w:hAnsi="Times" w:cs="Times New Roman"/>
          <w:b/>
          <w:bCs/>
          <w:color w:val="auto"/>
          <w:sz w:val="24"/>
          <w:szCs w:val="24"/>
        </w:rPr>
      </w:pPr>
      <w:r w:rsidRPr="00C421E4">
        <w:rPr>
          <w:rFonts w:ascii="Times" w:eastAsia="Times New Roman" w:hAnsi="Times" w:cs="Times New Roman"/>
          <w:b/>
          <w:bCs/>
          <w:color w:val="auto"/>
          <w:sz w:val="24"/>
          <w:szCs w:val="24"/>
        </w:rPr>
        <w:t xml:space="preserve">MILD TRAUMATIC BRAIN INJURY CHRONICALLY IMPAIRS SLEEP- AND </w:t>
      </w:r>
    </w:p>
    <w:p w14:paraId="7B7F6C16" w14:textId="77777777" w:rsidR="00F7044C" w:rsidRDefault="00F7044C" w:rsidP="00F7044C">
      <w:pPr>
        <w:pStyle w:val="Body"/>
        <w:spacing w:line="240" w:lineRule="auto"/>
        <w:jc w:val="center"/>
        <w:outlineLvl w:val="0"/>
        <w:rPr>
          <w:rFonts w:ascii="Times" w:eastAsiaTheme="minorHAnsi" w:hAnsi="Times" w:cs="Times New Roman"/>
          <w:color w:val="auto"/>
          <w:sz w:val="24"/>
          <w:szCs w:val="24"/>
          <w:bdr w:val="none" w:sz="0" w:space="0" w:color="auto"/>
        </w:rPr>
      </w:pPr>
      <w:r w:rsidRPr="00C421E4">
        <w:rPr>
          <w:rFonts w:ascii="Times" w:eastAsia="Times New Roman" w:hAnsi="Times" w:cs="Times New Roman"/>
          <w:b/>
          <w:bCs/>
          <w:color w:val="auto"/>
          <w:sz w:val="24"/>
          <w:szCs w:val="24"/>
        </w:rPr>
        <w:t>WAK</w:t>
      </w:r>
      <w:r>
        <w:rPr>
          <w:rFonts w:ascii="Times" w:eastAsia="Times New Roman" w:hAnsi="Times" w:cs="Times New Roman"/>
          <w:b/>
          <w:bCs/>
          <w:color w:val="auto"/>
          <w:sz w:val="24"/>
          <w:szCs w:val="24"/>
        </w:rPr>
        <w:t>E-DEPENDENT EMOTIONAL PROCESSING</w:t>
      </w:r>
    </w:p>
    <w:p w14:paraId="626287D1" w14:textId="77777777" w:rsidR="00F7044C" w:rsidRPr="00C421E4" w:rsidRDefault="00F7044C" w:rsidP="00F7044C">
      <w:pPr>
        <w:pStyle w:val="Body"/>
        <w:spacing w:line="240" w:lineRule="auto"/>
        <w:outlineLvl w:val="0"/>
        <w:rPr>
          <w:rFonts w:ascii="Times" w:hAnsi="Times"/>
        </w:rPr>
      </w:pPr>
    </w:p>
    <w:p w14:paraId="790158A1" w14:textId="77777777" w:rsidR="00F7044C" w:rsidRPr="0092190B" w:rsidRDefault="00F7044C" w:rsidP="00F7044C">
      <w:pPr>
        <w:spacing w:line="480" w:lineRule="auto"/>
        <w:jc w:val="center"/>
        <w:rPr>
          <w:rFonts w:ascii="Times" w:hAnsi="Times"/>
          <w:b/>
          <w:u w:val="single"/>
        </w:rPr>
      </w:pPr>
      <w:r w:rsidRPr="0092190B">
        <w:rPr>
          <w:rFonts w:ascii="Times" w:hAnsi="Times"/>
          <w:b/>
          <w:u w:val="single"/>
        </w:rPr>
        <w:t>A. Introduction</w:t>
      </w:r>
    </w:p>
    <w:p w14:paraId="43B2146B" w14:textId="77777777" w:rsidR="00F7044C" w:rsidRPr="00C421E4" w:rsidRDefault="00F7044C" w:rsidP="00F7044C">
      <w:pPr>
        <w:spacing w:line="480" w:lineRule="auto"/>
        <w:rPr>
          <w:rFonts w:ascii="Times" w:hAnsi="Times"/>
        </w:rPr>
      </w:pPr>
      <w:r w:rsidRPr="00C421E4">
        <w:rPr>
          <w:rFonts w:ascii="Times" w:hAnsi="Times"/>
        </w:rPr>
        <w:t xml:space="preserve">Mild traumatic brain injuries (TBIs), or concussions, occur pervasively. It is estimated that 1.4-3 million people suffer from a TBI each year in the United States, with 70-80% of these injuries being classified as mild (Glasgow Coma Score ≥ 13; </w:t>
      </w:r>
      <w:r w:rsidRPr="00C421E4">
        <w:rPr>
          <w:rFonts w:ascii="Times" w:hAnsi="Times"/>
        </w:rPr>
        <w:fldChar w:fldCharType="begin" w:fldLock="1"/>
      </w:r>
      <w:r w:rsidRPr="00C421E4">
        <w:rPr>
          <w:rFonts w:ascii="Times" w:hAnsi="Times"/>
        </w:rPr>
        <w:instrText xml:space="preserve"> ADDIN ZOTERO_ITEM CSL_CITATION {"citationID":"0EGSSWpc","properties":{"formattedCitation":"(Rutland-Brown et al., 2006; Silver et al., 2005)","plainCitation":"(Rutland-Brown et al., 2006; Silver et al., 2005)"},"citationItems":[{"id":"ITEM-1","uris":["http://www.mendeley.com/documents/?uuid=96242a45-918e-449e-b606-cc54458e7238"],"uri":["http://www.mendeley.com/documents/?uuid=96242a45-918e-449e-b606-cc54458e7238"],"itemData":{"DOI":"10.1001/jama.293.17.2161-a","ISBN":"1585621056","ISSN":"00987484","abstract":"Extensively updated and expanded by recognized experts, this comprehensive textbook contains 40 chapters, including 15 new for this, and more than 100 informative figures and illustrations. New chapters address structural and functional imaging, electrophysiologic techniques, neuropsychological assessment, social issues, systems of care, and treatment modalities, including alternative therapies. Expanded chapters discuss the multiple neuropsychiatric sequelae but not encompassed by the usual psychiatric syndromes, including apathy, reduced awareness of deficits, fatigue, pain, headaches, balance problems, visual difficulties, and sports injuries.","author":[{"dropping-particle":"","family":"Silver","given":"Jonathan M","non-dropping-particle":"","parse-names":false,"suffix":""},{"dropping-particle":"","family":"McAllister","given":"Thomas W","non-dropping-particle":"","parse-names":false,"suffix":""},{"dropping-particle":"","family":"Yudofsky","given":"Stuart C","non-dropping-particle":"","parse-names":false,"suffix":""}],"container-title":"Jama The Journal Of The American Medical Association","id":"ITEM-1","issued":{"date-parts":[["2005"]]},"number-of-pages":"771","title":"Textbook of traumatic brain injury","type":"book","volume":"293"}},{"id":"ITEM-2","uris":["http://www.mendeley.com/documents/?uuid=a7f0ab34-3262-4272-8b3e-8efd02186e33"],"uri":["http://www.mendeley.com/documents/?uuid=a7f0ab34-3262-4272-8b3e-8efd02186e33"],"itemData":{"DOI":"00001199-200611000-00009 [pii]","ISBN":"0885-9701 (Print)\\r0885-9701 (Linking)","ISSN":"0885-9701","PMID":"17122685","abstract":"Traumatic brain injury (TBI) is an important public health problem in the United States. In 2003, there were an estimated 1,565,000 TBIs in the United States: 1,224,000 emergency department visits, 290,000 hospitalizations, and 51,000 deaths. Findings were similar to those from previous years in which rates of TBI were highest for young children (aged 0-4) and men, and the leading causes of TBI were falls and motor vehicle traffic.","author":[{"dropping-particle":"","family":"Rutland-Brown","given":"W","non-dropping-particle":"","parse-names":false,"suffix":""},{"dropping-particle":"","family":"Langlois","given":"J A","non-dropping-particle":"","parse-names":false,"suffix":""},{"dropping-particle":"","family":"Thomas","given":"K E","non-dropping-particle":"","parse-names":false,"suffix":""},{"dropping-particle":"","family":"Xi","given":"Y L","non-dropping-particle":"","parse-names":false,"suffix":""}],"container-title":"J Head Trauma Rehabil","id":"ITEM-2","issue":"6","issued":{"date-parts":[["2006"]]},"page":"544-548","title":"Incidence of traumatic brain injury in the United States, 2003","type":"article-journal","volume":"21"}}],"schema":"https://github.com/citation-style-language/schema/raw/master/csl-citation.json"} </w:instrText>
      </w:r>
      <w:r w:rsidRPr="00C421E4">
        <w:rPr>
          <w:rFonts w:ascii="Times" w:hAnsi="Times"/>
        </w:rPr>
        <w:fldChar w:fldCharType="separate"/>
      </w:r>
      <w:r w:rsidRPr="00C421E4">
        <w:rPr>
          <w:rFonts w:ascii="Times" w:hAnsi="Times"/>
          <w:noProof/>
        </w:rPr>
        <w:t>Rutland-Brown et al., 2006; Silver et al., 2005)</w:t>
      </w:r>
      <w:r w:rsidRPr="00C421E4">
        <w:rPr>
          <w:rFonts w:ascii="Times" w:hAnsi="Times"/>
        </w:rPr>
        <w:fldChar w:fldCharType="end"/>
      </w:r>
      <w:r w:rsidRPr="00C421E4">
        <w:rPr>
          <w:rFonts w:ascii="Times" w:hAnsi="Times"/>
        </w:rPr>
        <w:t xml:space="preserve">. Importantly, TBIs classified as mild are not necessarily benign: in 2003, the US Centers for Disease Control and Prevention released a report stating that mild TBI is a “silent epidemic,” the prevalence and severity of which are highly underestimated </w:t>
      </w:r>
      <w:r w:rsidRPr="00C421E4">
        <w:rPr>
          <w:rFonts w:ascii="Times" w:hAnsi="Times"/>
        </w:rPr>
        <w:fldChar w:fldCharType="begin" w:fldLock="1"/>
      </w:r>
      <w:r w:rsidRPr="00C421E4">
        <w:rPr>
          <w:rFonts w:ascii="Times" w:hAnsi="Times"/>
        </w:rPr>
        <w:instrText xml:space="preserve"> ADDIN ZOTERO_ITEM CSL_CITATION {"citationID":"ASELXuoT","properties":{"formattedCitation":"(Gerberding JL, 2003)","plainCitation":"(Gerberding JL, 2003)"},"citationItems":[{"id":"ITEM-1","uris":["http://www.mendeley.com/documents/?uuid=9e6039d0-2ea5-4395-8873-e40bc1adcdbe"],"uri":["http://www.mendeley.com/documents/?uuid=9e6039d0-2ea5-4395-8873-e40bc1adcdbe"],"itemData":{"abstract":"According to existing data, more than 1.5 million people experience a traumatic brain injury (TBI) each year in the United States. Of them, as many as 75 percent sustain a mild traumatic brain injury—or MTBI. These injuries may cause long-term or permanent impairments and disabilities. Many people with MTBI have difficulty returning to rou- tine, daily activities and may be unable to return to work for many weeks or months. In addition to the human toll of these injuries, MTBI costs the nation nearly $17 billion each year. These data, however, likely underestimate the problem of MTBI in this country—for several reasons. First, no standard definitions exist for MTBI and MTBI-related impair- ments and disabilities. The existing Centers for Disease Control and Prevention (CDC) definition for TBI surveillance is designed to identify cases of TBI that result in hospital- ization, which tend to be more severe. MTBI is most often treated in emergency depart- ments or in non-hospital medical settings, or it is not treated at all. Few states conduct emergency department-based surveillance, and current efforts do not capture data about persons with MTBI who receive no medical treatment. Additionally, neither hospital- nor emergency department-based data can provide estimates of the long-term consequences of MTBI. In response to concerns about this public health problem, Congress passed the Children’s Health Act of 2000, which required CDC to determine how best to measure the incidence (i.e., rate at which new cases of MTBI occur) and the prevalence (i.e., proportion of the U.S. population at any given time that is experiencing the effects) of MTBI and to report the findings to Congress. To that end, CDC formed the Mild Traumatic Brain Injury Work Group to determine appropriate and feasible methods for assessing the incidence and prevalence of MTBI in the United States.","author":[{"dropping-particle":"","family":"Gerberding JL","given":"Binder S.","non-dropping-particle":"","parse-names":false,"suffix":""}],"container-title":"Centers for Disease Control and Prevention","id":"ITEM-1","issue":"September","issued":{"date-parts":[["2003"]]},"page":"9-11","title":"Report to Congress on Mild Traumatic Brain Injury in the United States: Steps to prevent a serious public health problem","type":"article-journal"}}],"schema":"https://github.com/citation-style-language/schema/raw/master/csl-citation.json"} </w:instrText>
      </w:r>
      <w:r w:rsidRPr="00C421E4">
        <w:rPr>
          <w:rFonts w:ascii="Times" w:hAnsi="Times"/>
        </w:rPr>
        <w:fldChar w:fldCharType="separate"/>
      </w:r>
      <w:r w:rsidRPr="00C421E4">
        <w:rPr>
          <w:rFonts w:ascii="Times" w:hAnsi="Times"/>
          <w:noProof/>
        </w:rPr>
        <w:t>(Gerberding, 2003)</w:t>
      </w:r>
      <w:r w:rsidRPr="00C421E4">
        <w:rPr>
          <w:rFonts w:ascii="Times" w:hAnsi="Times"/>
        </w:rPr>
        <w:fldChar w:fldCharType="end"/>
      </w:r>
      <w:r w:rsidRPr="00C421E4">
        <w:rPr>
          <w:rFonts w:ascii="Times" w:hAnsi="Times"/>
        </w:rPr>
        <w:t>. Moreover, recent evidence from empirical studies suggests just a single, mild TBI can cause lasting, unfavorable consequences. Therefore, the need for exploration of this topic is both critical and broadly impactful.</w:t>
      </w:r>
    </w:p>
    <w:p w14:paraId="21C6377F" w14:textId="77777777" w:rsidR="00F7044C" w:rsidRPr="00C421E4" w:rsidRDefault="00F7044C" w:rsidP="00F7044C">
      <w:pPr>
        <w:spacing w:line="480" w:lineRule="auto"/>
        <w:rPr>
          <w:rFonts w:ascii="Times" w:hAnsi="Times"/>
        </w:rPr>
      </w:pPr>
    </w:p>
    <w:p w14:paraId="4C4BC8D2" w14:textId="77777777" w:rsidR="00F7044C" w:rsidRPr="003E6BDA" w:rsidRDefault="00F7044C" w:rsidP="00F7044C">
      <w:pPr>
        <w:spacing w:line="480" w:lineRule="auto"/>
        <w:jc w:val="center"/>
        <w:rPr>
          <w:rFonts w:ascii="Times" w:hAnsi="Times"/>
          <w:b/>
        </w:rPr>
      </w:pPr>
      <w:r>
        <w:rPr>
          <w:rFonts w:ascii="Times" w:hAnsi="Times"/>
          <w:b/>
        </w:rPr>
        <w:t xml:space="preserve">1. </w:t>
      </w:r>
      <w:r w:rsidRPr="003E6BDA">
        <w:rPr>
          <w:rFonts w:ascii="Times" w:hAnsi="Times"/>
          <w:b/>
        </w:rPr>
        <w:t>Emotional disturbances following mild TBI</w:t>
      </w:r>
    </w:p>
    <w:p w14:paraId="1263F749" w14:textId="77777777" w:rsidR="00F7044C" w:rsidRPr="00C421E4" w:rsidRDefault="00F7044C" w:rsidP="00F7044C">
      <w:pPr>
        <w:spacing w:line="480" w:lineRule="auto"/>
        <w:rPr>
          <w:rFonts w:ascii="Times" w:hAnsi="Times"/>
        </w:rPr>
      </w:pPr>
      <w:r w:rsidRPr="00C421E4">
        <w:rPr>
          <w:rFonts w:ascii="Times" w:hAnsi="Times"/>
        </w:rPr>
        <w:t xml:space="preserve">Mild TBI patients exhibit a wide range of physical, cognitive, and emotional complaints chronically (&gt;1 yr since injury). One of the most well-documented, long-term impacts of mild TBI is an increased risk for mood disturbances. Specifically, new-onset depression is common following mild TBI </w:t>
      </w:r>
      <w:r w:rsidRPr="00C421E4">
        <w:rPr>
          <w:rFonts w:ascii="Times" w:hAnsi="Times"/>
        </w:rPr>
        <w:fldChar w:fldCharType="begin" w:fldLock="1"/>
      </w:r>
      <w:r w:rsidRPr="00C421E4">
        <w:rPr>
          <w:rFonts w:ascii="Times" w:hAnsi="Times"/>
        </w:rPr>
        <w:instrText xml:space="preserve"> ADDIN ZOTERO_ITEM CSL_CITATION {"citationID":"HNHIF8kf","properties":{"formattedCitation":"(Chi et al., 2016; Rao et al., 2010)","plainCitation":"(Chi et al., 2016; Rao et al., 2010)"},"citationItems":[{"id":"ITEM-1","uris":["http://www.mendeley.com/documents/?uuid=0fb57a08-a54b-4be9-9994-68523499f49d"],"uri":["http://www.mendeley.com/documents/?uuid=0fb57a08-a54b-4be9-9994-68523499f49d"],"itemData":{"DOI":"10.1016/j.jad.2015.11.035","ISSN":"01650327","PMID":"26650968","abstract":"BACKGROUND: Studies investigating the relationship between head injury and the subsequent onset of affective disorders often show conflicting results.\\n\\nAIMS: To investigate the risk of affective disorders following traumatic brain injury in a large Taiwanese cohort.\\n\\nMETHOD: This retrospective cohort study makes use of the National Health Insurance Research Database. A cohort containing 68,376 individuals who experienced traumatic brain injury (TBI) during 2000-2010 and had no prior history of mental disorders before the injury was identified. Using Cox Proportional Hazards regression, the subsequent risk of affective disorders was determined.\\n\\nRESULTS: TBI was associated with a higher risk of both bipolar disorder (Hazard Ratio [HR]=1.42, 95% Confidence Interval [CI]=[1.26, 1.59]) and major depression (HR=1.41, 95% CI=[1.28, 1.54]). More severe injury was associated with greater risk. The first year following the injury was the highest risk period for major depression, while the highest risk period for bipolar disorder was delayed until two to four years following the injury.\\n\\nLIMITATIONS: Using a claims database, we were unable to assess confounding variables that were not contained in the data set.\\n\\nCONCLUSIONS: The elevated risks of affective disorders after TBI speak to the psychiatric need of individuals who suffer from brain injury. Early detection and timely intervention may help prevent secondary and tertiary disability associated with head trauma.","author":[{"dropping-particle":"","family":"Chi","given":"Ying-Chen","non-dropping-particle":"","parse-names":false,"suffix":""},{"dropping-particle":"","family":"Wu","given":"Hyun-Ling","non-dropping-particle":"","parse-names":false,"suffix":""},{"dropping-particle":"","family":"Chu","given":"Chih-Pang","non-dropping-particle":"","parse-names":false,"suffix":""},{"dropping-particle":"","family":"Huang","given":"Ming-Chyi","non-dropping-particle":"","parse-names":false,"suffix":""},{"dropping-particle":"","family":"Lee","given":"Pei-Chen","non-dropping-particle":"","parse-names":false,"suffix":""},{"dropping-particle":"","family":"Chen","given":"Ying-Yeh","non-dropping-particle":"","parse-names":false,"suffix":""}],"container-title":"Journal of Affective Disorders","id":"ITEM-1","issued":{"date-parts":[["2016"]]},"page":"56-61","title":"Traumatic brain injury and affective disorder: A nationwide cohort study in Taiwan, 2000–2010","type":"article-journal","volume":"191"}},{"id":"ITEM-2","uris":["http://www.mendeley.com/documents/?uuid=cd959827-d657-407a-9766-c5e4c84fc5ba"],"uri":["http://www.mendeley.com/documents/?uuid=cd959827-d657-407a-9766-c5e4c84fc5ba"],"itemData":{"DOI":"10.1176/appi.neuropsych.22.1.100","ISBN":"0895-0172","ISSN":"1545-7222","PMID":"20160216","abstract":"Mild traumatic brain injury (TBI) is the most common form of TBI. Most people recover after mild TBI, but a small percentage continues to have persistent problems, predominantly depression. There is, however, minimal literature on the risk factors associated with mild TBI depression. In a sample of 43 mild TBI patients, followed longitudinally for 1 year, the prevalence of new-onset depression was found to be 18%. Older age and presence of frontal subdural hemorrhage were the only two significant findings noted in the depressed group compared with the nondepressed group. Identifying risk factors for mild TBI depression can aid in early diagnosis and treatment.","author":[{"dropping-particle":"","family":"Rao","given":"Vani","non-dropping-particle":"","parse-names":false,"suffix":""},{"dropping-particle":"","family":"Bertrand","given":"Melaine","non-dropping-particle":"","parse-names":false,"suffix":""},{"dropping-particle":"","family":"Rosenberg","given":"Paul","non-dropping-particle":"","parse-names":false,"suffix":""},{"dropping-particle":"","family":"Makley","given":"Michael","non-dropping-particle":"","parse-names":false,"suffix":""},{"dropping-particle":"","family":"Schretlen","given":"David J","non-dropping-particle":"","parse-names":false,"suffix":""},{"dropping-particle":"","family":"Brandt","given":"Jason","non-dropping-particle":"","parse-names":false,"suffix":""},{"dropping-particle":"","family":"Mielke","given":"Michelle M","non-dropping-particle":"","parse-names":false,"suffix":""}],"container-title":"J Neuropsychiatry Clin.Neurosci.","id":"ITEM-2","issue":"1","issued":{"date-parts":[["2010"]]},"page":"100-4","title":"Predictors of new-onset depression after mild traumatic brain injury.","type":"article-journal","volume":"22"}}],"schema":"https://github.com/citation-style-language/schema/raw/master/csl-citation.json"} </w:instrText>
      </w:r>
      <w:r w:rsidRPr="00C421E4">
        <w:rPr>
          <w:rFonts w:ascii="Times" w:hAnsi="Times"/>
        </w:rPr>
        <w:fldChar w:fldCharType="separate"/>
      </w:r>
      <w:r w:rsidRPr="00C421E4">
        <w:rPr>
          <w:rFonts w:ascii="Times" w:hAnsi="Times"/>
          <w:noProof/>
        </w:rPr>
        <w:t>(Chi et al., 2016; Rao et al., 2010)</w:t>
      </w:r>
      <w:r w:rsidRPr="00C421E4">
        <w:rPr>
          <w:rFonts w:ascii="Times" w:hAnsi="Times"/>
        </w:rPr>
        <w:fldChar w:fldCharType="end"/>
      </w:r>
      <w:r w:rsidRPr="00C421E4">
        <w:rPr>
          <w:rFonts w:ascii="Times" w:hAnsi="Times"/>
        </w:rPr>
        <w:t xml:space="preserve">, and elevated depression rates have been detected as long as 6 years after injury </w:t>
      </w:r>
      <w:r w:rsidRPr="00C421E4">
        <w:rPr>
          <w:rFonts w:ascii="Times" w:hAnsi="Times"/>
        </w:rPr>
        <w:fldChar w:fldCharType="begin" w:fldLock="1"/>
      </w:r>
      <w:r w:rsidRPr="00C421E4">
        <w:rPr>
          <w:rFonts w:ascii="Times" w:hAnsi="Times"/>
        </w:rPr>
        <w:instrText xml:space="preserve"> ADDIN ZOTERO_ITEM CSL_CITATION {"citationID":"0v9FxmSM","properties":{"formattedCitation":"(Konrad et al., 2011)","plainCitation":"(Konrad et al., 2011)"},"citationItems":[{"id":"ITEM-1","uris":["http://www.mendeley.com/documents/?uuid=28f0f7e5-c429-4cea-9c8b-b629b0032703"],"uri":["http://www.mendeley.com/documents/?uuid=28f0f7e5-c429-4cea-9c8b-b629b0032703"],"itemData":{"DOI":"10.1017/S0033291710001728","ISBN":"1469-8978 (Electronic)\\r0033-2917 (Linking)","ISSN":"1469-8978","PMID":"20860865","abstract":"BACKGROUND: The objective of this study was to investigate long-term cognitive and emotional sequelae of mild traumatic brain injury (mTBI), as previous research has remained inconclusive with respect to their prevalence and extent.\\n\\nMETHOD: Thirty-three individuals who had sustained mTBI on average 6 years prior to the study and 33 healthy control subjects were matched according to age, gender and education. Structural brain damage at time of testing was excluded by magnetic resonance imaging (MRI). A comprehensive neuropsychological test battery was conducted to assess learning, recall, working memory, attention and executive function. Psychiatric symptoms were assessed by the Structured Clinical Interview for DSM-IV Axis I Disorders (SCID-I) and the Beck Depression Inventory (BDI). Possible negative response bias was ruled out by implementing the Word Memory Test (WMT).\\n\\nRESULTS: The mTBI individuals had significant impairments in all cognitive domains compared to the healthy control subjects. Effect sizes of cognitive deficits were medium to large, and could not be accounted for by self-perceived deficits, depression, compensation claims or negative response bias. BDI scores were significantly higher in the patient group, and three patients fulfilled DSM-IV criteria for a mild episode of major depression.\\n\\nCONCLUSIONS: Primarily, well-recovered individuals who had sustained a minor trauma more than half a decade ago continue to have long-term cognitive and emotional sequelae relevant for everyday social and professional life. mTBI may lead to a lasting disruption of neurofunctional circuits not detectable by standard structural MRI and needs to be taken seriously in clinical and forensic evaluations.","author":[{"dropping-particle":"","family":"Konrad","given":"C.","non-dropping-particle":"","parse-names":false,"suffix":""},{"dropping-particle":"","family":"Geburek","given":"a. J.","non-dropping-particle":"","parse-names":false,"suffix":""},{"dropping-particle":"","family":"Rist","given":"F.","non-dropping-particle":"","parse-names":false,"suffix":""},{"dropping-particle":"","family":"Blumenroth","given":"H.","non-dropping-particle":"","parse-names":false,"suffix":""},{"dropping-particle":"","family":"Fischer","given":"B.","non-dropping-particle":"","parse-names":false,"suffix":""},{"dropping-particle":"","family":"Husstedt","given":"I.","non-dropping-particle":"","parse-names":false,"suffix":""},{"dropping-particle":"","family":"Arolt","given":"V.","non-dropping-particle":"","parse-names":false,"suffix":""},{"dropping-particle":"","family":"Schiffbauer","given":"H.","non-dropping-particle":"","parse-names":false,"suffix":""},{"dropping-particle":"","family":"Lohmann","given":"H.","non-dropping-particle":"","parse-names":false,"suffix":""}],"container-title":"Psychological medicine","id":"ITEM-1","issue":"6","issued":{"date-parts":[["2011"]]},"page":"1197-1211","title":"Long-term cognitive and emotional consequences of mild traumatic brain injury.","type":"article-journal","volume":"41"}}],"schema":"https://github.com/citation-style-language/schema/raw/master/csl-citation.json"} </w:instrText>
      </w:r>
      <w:r w:rsidRPr="00C421E4">
        <w:rPr>
          <w:rFonts w:ascii="Times" w:hAnsi="Times"/>
        </w:rPr>
        <w:fldChar w:fldCharType="separate"/>
      </w:r>
      <w:r w:rsidRPr="00C421E4">
        <w:rPr>
          <w:rFonts w:ascii="Times" w:hAnsi="Times"/>
          <w:noProof/>
        </w:rPr>
        <w:t>(Konrad et al., 2011)</w:t>
      </w:r>
      <w:r w:rsidRPr="00C421E4">
        <w:rPr>
          <w:rFonts w:ascii="Times" w:hAnsi="Times"/>
        </w:rPr>
        <w:fldChar w:fldCharType="end"/>
      </w:r>
      <w:r w:rsidRPr="00C421E4">
        <w:rPr>
          <w:rFonts w:ascii="Times" w:hAnsi="Times"/>
        </w:rPr>
        <w:t xml:space="preserve">. A recent meta-analysis also identified an increased prevalence of anxiety symptoms following TBI, relative to a non-injured, control population </w:t>
      </w:r>
      <w:r w:rsidRPr="00C421E4">
        <w:rPr>
          <w:rFonts w:ascii="Times" w:hAnsi="Times"/>
        </w:rPr>
        <w:fldChar w:fldCharType="begin" w:fldLock="1"/>
      </w:r>
      <w:r w:rsidRPr="00C421E4">
        <w:rPr>
          <w:rFonts w:ascii="Times" w:hAnsi="Times"/>
        </w:rPr>
        <w:instrText xml:space="preserve"> ADDIN ZOTERO_ITEM CSL_CITATION {"citationID":"TxuloaZq","properties":{"formattedCitation":"(Scholten et al., 2016)","plainCitation":"(Scholten et al., 2016)"},"citationItems":[{"id":"ITEM-1","uris":["http://www.mendeley.com/documents/?uuid=80d108a7-06d0-4376-a1da-3f0a0fe8722b"],"uri":["http://www.mendeley.com/documents/?uuid=80d108a7-06d0-4376-a1da-3f0a0fe8722b"],"itemData":{"DOI":"10.1089/neu.2015.4252","ISSN":"1557-9042","PMID":"26729611","abstract":"This review examined the pre- and post-injury prevalence of and risk factors for anxiety disorders and depressive disorders following traumatic brain injury (TBI), based on evidence from structured diagnostic interviews. A systematic literature search was conducted in EMBASE, MEDLINE, Cochrane Central, PubMed, PsycINFO, and Google Scholar. We identified studies in civilian adults with TBI reporting on the prevalence of anxiety and depressive disorders using structured diagnostic interviews, and assessed their quality. Pooled pre- and post-injury prevalence estimates of anxiety disorders and depressive disorders were computed. A total of 34 studies described in 68 publications were identified, often assessing anxiety disorders (n=9), depressive disorders (n=7), or a combination of disorders (n=6). Prevalence rates of psychiatric disorders varied widely. Pooled prevalence estimates of anxiety and depressive disorders were 19% and 13% prior to TBI, and 21% and 17% in the first year after TBI. Pooled prevalence estimates increased over time, and indicated high long-term prevalence of Axis I disorders (54%), including anxiety disorders (36%) or depressive disorders (43%). Females, those without employment, and those with a psychiatric history before TBI were at higher risk for anxiety and depressive disorders following TBI. We conclude that a substantial number of patients encounter anxiety and depressive disorders following TBI, and that these problems persist over time. All healthcare settings should pay attention to the occurrence of psychiatric symptoms in the aftermath of TBI to enable early identification and treatment of these disorders and to enhance the recovery and quality of life of TBI survivors.","author":[{"dropping-particle":"","family":"Scholten","given":"Annemieke C","non-dropping-particle":"","parse-names":false,"suffix":""},{"dropping-particle":"","family":"Haagsma","given":"Juanita Antje","non-dropping-particle":"","parse-names":false,"suffix":""},{"dropping-particle":"","family":"Cnossen","given":"Maryse Catharina","non-dropping-particle":"","parse-names":false,"suffix":""},{"dropping-particle":"","family":"Olff","given":"Miranda","non-dropping-particle":"","parse-names":false,"suffix":""},{"dropping-particle":"","family":"Beeck","given":"Ed F","non-dropping-particle":"Van","parse-names":false,"suffix":""},{"dropping-particle":"","family":"Polinder","given":"Suzanne","non-dropping-particle":"","parse-names":false,"suffix":""}],"container-title":"Journal of neurotrauma","id":"ITEM-1","issued":{"date-parts":[["2016"]]},"title":"Prevalence and risk factors of anxiety and depressive disorders following traumatic brain injury: a systematic review.","type":"article-journal"}}],"schema":"https://github.com/citation-style-language/schema/raw/master/csl-citation.json"} </w:instrText>
      </w:r>
      <w:r w:rsidRPr="00C421E4">
        <w:rPr>
          <w:rFonts w:ascii="Times" w:hAnsi="Times"/>
        </w:rPr>
        <w:fldChar w:fldCharType="separate"/>
      </w:r>
      <w:r w:rsidRPr="00C421E4">
        <w:rPr>
          <w:rFonts w:ascii="Times" w:hAnsi="Times"/>
          <w:noProof/>
        </w:rPr>
        <w:t>(Scholten et al., 2016)</w:t>
      </w:r>
      <w:r w:rsidRPr="00C421E4">
        <w:rPr>
          <w:rFonts w:ascii="Times" w:hAnsi="Times"/>
        </w:rPr>
        <w:fldChar w:fldCharType="end"/>
      </w:r>
      <w:r w:rsidRPr="00C421E4">
        <w:rPr>
          <w:rFonts w:ascii="Times" w:hAnsi="Times"/>
        </w:rPr>
        <w:t xml:space="preserve">. </w:t>
      </w:r>
      <w:r w:rsidRPr="00C421E4">
        <w:rPr>
          <w:rFonts w:ascii="Times" w:hAnsi="Times"/>
        </w:rPr>
        <w:lastRenderedPageBreak/>
        <w:t xml:space="preserve">Additionally, perhaps as a consequence of post-TBI depression and anxiety, risk for suicide is elevated ~10 years after an individual sustains a concussion, even if mood disorders were not present pre-injury </w:t>
      </w:r>
      <w:r w:rsidRPr="00C421E4">
        <w:rPr>
          <w:rFonts w:ascii="Times" w:hAnsi="Times"/>
        </w:rPr>
        <w:fldChar w:fldCharType="begin" w:fldLock="1"/>
      </w:r>
      <w:r w:rsidRPr="00C421E4">
        <w:rPr>
          <w:rFonts w:ascii="Times" w:hAnsi="Times"/>
        </w:rPr>
        <w:instrText xml:space="preserve"> ADDIN ZOTERO_ITEM CSL_CITATION {"citationID":"fyM4HDh1","properties":{"formattedCitation":"(Fralick et al., 2016)","plainCitation":"(Fralick et al., 2016)"},"citationItems":[{"id":"ITEM-1","uris":["http://www.mendeley.com/documents/?uuid=5385d56f-9853-467d-a9fe-7f85b96d65c3"],"uri":["http://www.mendeley.com/documents/?uuid=5385d56f-9853-467d-a9fe-7f85b96d65c3"],"itemData":{"DOI":"10.1503/cmaj.150790","ISSN":"14882329","PMID":"26858348","abstract":"BACKGROUND: Head injuries have been associated with subsequent suicide among military personnel, but outcomes after a concussion in the community are uncertain. We assessed the long-term risk of suicide after concussions occurring on weekends or weekdays in the community. METHODS: We performed a longitudinal cohort analysis of adults with diagnosis of a concussion in Ontario, Canada, from Apr. 1, 1992, to Mar. 31, 2012 (a 20-yr period), excluding severe cases that resulted in hospital admission. The primary outcome was the long-term risk of suicide after a weekend or weekday concussion. RESULTS: We identified 235 110 patients with a concussion. Their mean age was 41 years, 52% were men, and most (86%) lived in an urban location. A total of 667 subsequent suicides occurred over a median follow-up of 9.3 years, equivalent to 31 deaths per 100 000 patients annually or 3 times the population norm. Weekend concussions were associated with a one-third further increased risk of suicide compared with weekday concussions (relative risk 1.36, 95% confidence interval 1.14-1.64). The increased risk applied regardless of patients' demographic characteristics, was independent of past psychiatric conditions, became accentuated with time and exceeded the risk among military personnel. Half of these patients had visited a physician in the last week of life. INTERPRETATION: Adults with a diagnosis of concussion had an increased long-term risk of suicide, particularly after concussions on weekends. Greater attention to the long-term care of patients after a concussion in the community might save lives because deaths from suicide can be prevented. Language: en","author":[{"dropping-particle":"","family":"Fralick","given":"Michael","non-dropping-particle":"","parse-names":false,"suffix":""},{"dropping-particle":"","family":"Thiruchelvam","given":"Deva","non-dropping-particle":"","parse-names":false,"suffix":""},{"dropping-particle":"","family":"Tien","given":"Homer C.","non-dropping-particle":"","parse-names":false,"suffix":""},{"dropping-particle":"","family":"Redelmeier","given":"Donald A.","non-dropping-particle":"","parse-names":false,"suffix":""}],"container-title":"CMAJ","id":"ITEM-1","issue":"7","issued":{"date-parts":[["2016"]]},"page":"497-504","title":"Risk of suicide after a concussion","type":"article-journal","volume":"188"}}],"schema":"https://github.com/citation-style-language/schema/raw/master/csl-citation.json"} </w:instrText>
      </w:r>
      <w:r w:rsidRPr="00C421E4">
        <w:rPr>
          <w:rFonts w:ascii="Times" w:hAnsi="Times"/>
        </w:rPr>
        <w:fldChar w:fldCharType="separate"/>
      </w:r>
      <w:r w:rsidRPr="00C421E4">
        <w:rPr>
          <w:rFonts w:ascii="Times" w:hAnsi="Times"/>
          <w:noProof/>
        </w:rPr>
        <w:t>(Fralick et al., 2016)</w:t>
      </w:r>
      <w:r w:rsidRPr="00C421E4">
        <w:rPr>
          <w:rFonts w:ascii="Times" w:hAnsi="Times"/>
        </w:rPr>
        <w:fldChar w:fldCharType="end"/>
      </w:r>
      <w:r w:rsidRPr="00C421E4">
        <w:rPr>
          <w:rFonts w:ascii="Times" w:hAnsi="Times"/>
        </w:rPr>
        <w:t>. Yet despite clear evidence linking head injury and emotional disturbances, the link between these two factors remains largely unexplored and poorly understood.</w:t>
      </w:r>
    </w:p>
    <w:p w14:paraId="20125A94" w14:textId="77777777" w:rsidR="00F7044C" w:rsidRPr="00C421E4" w:rsidRDefault="00F7044C" w:rsidP="00F7044C">
      <w:pPr>
        <w:spacing w:line="480" w:lineRule="auto"/>
        <w:rPr>
          <w:rFonts w:ascii="Times" w:hAnsi="Times"/>
        </w:rPr>
      </w:pPr>
    </w:p>
    <w:p w14:paraId="7B2995EF" w14:textId="77777777" w:rsidR="00F7044C" w:rsidRPr="003E6BDA" w:rsidRDefault="00F7044C" w:rsidP="00F7044C">
      <w:pPr>
        <w:spacing w:line="480" w:lineRule="auto"/>
        <w:jc w:val="center"/>
        <w:rPr>
          <w:rFonts w:ascii="Times" w:hAnsi="Times"/>
          <w:b/>
        </w:rPr>
      </w:pPr>
      <w:r>
        <w:rPr>
          <w:rFonts w:ascii="Times" w:hAnsi="Times"/>
          <w:b/>
        </w:rPr>
        <w:t xml:space="preserve">2. </w:t>
      </w:r>
      <w:r w:rsidRPr="003E6BDA">
        <w:rPr>
          <w:rFonts w:ascii="Times" w:hAnsi="Times"/>
          <w:b/>
        </w:rPr>
        <w:t>Sleep disturbances following mild TBI</w:t>
      </w:r>
    </w:p>
    <w:p w14:paraId="0569FE8B" w14:textId="77777777" w:rsidR="00F7044C" w:rsidRPr="00C421E4" w:rsidRDefault="00F7044C" w:rsidP="00F7044C">
      <w:pPr>
        <w:spacing w:line="480" w:lineRule="auto"/>
        <w:rPr>
          <w:rFonts w:ascii="Times" w:hAnsi="Times"/>
        </w:rPr>
      </w:pPr>
      <w:r w:rsidRPr="00C421E4">
        <w:rPr>
          <w:rFonts w:ascii="Times" w:hAnsi="Times"/>
        </w:rPr>
        <w:t xml:space="preserve">Sleep alterations are similarly common after TBI, both immediately </w:t>
      </w:r>
      <w:r w:rsidRPr="00C421E4">
        <w:rPr>
          <w:rFonts w:ascii="Times" w:hAnsi="Times"/>
        </w:rPr>
        <w:fldChar w:fldCharType="begin" w:fldLock="1"/>
      </w:r>
      <w:r w:rsidRPr="00C421E4">
        <w:rPr>
          <w:rFonts w:ascii="Times" w:hAnsi="Times"/>
        </w:rPr>
        <w:instrText xml:space="preserve"> ADDIN ZOTERO_ITEM CSL_CITATION {"citationID":"pLOx82vJ","properties":{"formattedCitation":"(Haboubi et al., 2001; Ponsford, Parcell, Sinclair, Roper, &amp; Rajaratnam, 2013)","plainCitation":"(Haboubi et al., 2001; Ponsford, Parcell, Sinclair, Roper, &amp; Rajaratnam, 2013)"},"citationItems":[{"id":"ITEM-1","uris":["http://www.mendeley.com/documents/?uuid=b724b329-95f6-4f1c-9eaa-5f3fb6c39e6e"],"uri":["http://www.mendeley.com/documents/?uuid=b724b329-95f6-4f1c-9eaa-5f3fb6c39e6e"],"itemData":{"DOI":"10.1080/09638280110038966","ISSN":"0963-8288","PMID":"11697461","abstract":"PURPOSE: It is known that post-concussive symptoms may persist after mild head injury. However, the majority of those patients are denied follow-up or support. A minor head injury clinic was thus established in North Staffordshire Hospital in 1993 to address these problems. METHODS: Patients 16-65 years old attending hospital with minor head injury were invited to attend the clinic two weeks after presentation. A specialized brain injury nurse and/or assistant clinical psychologist assessed them. Patients with persistent symptoms were invited to a second assessment four weeks later. RESULTS: One thousand two hundred and fifty-five patients were invited for first assessment, the most common cause of head injury was assault (454) followed by road traffic accident (334). Six hundred and sixteen patients did not attend the first assessment; most of non-attendees were those who had been assaulted (281). Six hundred and thirty-nine patients attended, (472) were male, their mean age was 33. Forty-three per cent of them had history of recent alcohol intake. One third had had a previous head injury. Although 391 attendees were in regular employment, 219 patients were unable to return to work 2 weeks after discharge (56%), and 49 people were still off sick 6 weeks after the injury. The most common complaints at both assessments were fatigue, headache, dizziness, irritability, sleep disturbances, poor concentration and poor memory in that order. CONCLUSION: This study shows a significant number of patients with minor head injury still complaining of post concussive symptoms, which may contribute to a delay in return to work. The high incidence of non-attendance among the assaulted victims may indicate that this group needs to be more effectively targeted. Further study to look at the longer-term consequences of minor head injury is required in view of these findings.","author":[{"dropping-particle":"","family":"Haboubi","given":"N H","non-dropping-particle":"","parse-names":false,"suffix":""},{"dropping-particle":"","family":"Long","given":"J","non-dropping-particle":"","parse-names":false,"suffix":""},{"dropping-particle":"","family":"Koshy","given":"M","non-dropping-particle":"","parse-names":false,"suffix":""},{"dropping-particle":"","family":"Ward","given":"a B","non-dropping-particle":"","parse-names":false,"suffix":""}],"container-title":"Disability and rehabilitation","id":"ITEM-1","issue":"14","issued":{"date-parts":[["2001"]]},"page":"635-638","title":"Short-term sequelae of minor head injury (6 years experience of minor head injury clinic).","type":"article-journal","volume":"23"}},{"id":"ITEM-2","uris":["http://www.mendeley.com/documents/?uuid=6e3f3248-63f6-4f8c-90fc-5cd6d3c7911d"],"uri":["http://www.mendeley.com/documents/?uuid=6e3f3248-63f6-4f8c-90fc-5cd6d3c7911d"],"itemData":{"DOI":"10.1177/1545968313481283","ISBN":"1545-9683","ISSN":"1552-6844","PMID":"23549523","abstract":"BACKGROUND: Sleep changes are frequently reported following traumatic brain injury (TBI) and have an impact on rehabilitation and quality of life following injury. Potential causes include injury to brain regions associated with sleep regulation, as well as secondary factors, including depression, anxiety, and pain. Understanding the nature and causes of sleep changes following TBI represents a vital step in developing effective treatments.\\n\\nOBJECTIVE: The study aimed to investigate subjective sleep changes in a community-based sample of individuals with TBI in comparison with noninjured age- and sex-matched controls and to explore the impact of secondary factors (pain, anxiety, depression, employment) on these self-reported sleep changes.\\n\\nMETHODS: A total of 153 participants with mild to severe TBI and 128 noninjured controls completed self-report measures relating to their sleep quality, daytime sleepiness, mood, fatigue, and pain and completed a sleep diary each day for 7 days.\\n\\nRESULTS: Compared with the noninjured controls, participants with TBI reported significantly poorer sleep quality and higher levels of daytime sleepiness; sleep diaries revealed longer sleep onset latency, poorer sleep efficiency, longer sleep duration, and more frequent daytime napping in the TBI group, as well as earlier bedtimes and greater total sleep duration. Anxiety, depression, and pain were associated with poorer sleep quality. Greater injury severity was also associated with a need for longer sleep time.\\n\\nCONCLUSION: These findings highlight the importance of assessing and addressing pain, anxiety, and depression as part of the process of treating TBI-related sleep disturbances.","author":[{"dropping-particle":"","family":"Ponsford","given":"Jennie L","non-dropping-particle":"","parse-names":false,"suffix":""},{"dropping-particle":"","family":"Parcell","given":"Diane L","non-dropping-particle":"","parse-names":false,"suffix":""},{"dropping-particle":"","family":"Sinclair","given":"Kelly L","non-dropping-particle":"","parse-names":false,"suffix":""},{"dropping-particle":"","family":"Roper","given":"Monique","non-dropping-particle":"","parse-names":false,"suffix":""},{"dropping-particle":"","family":"Rajaratnam","given":"Shantha M W","non-dropping-particle":"","parse-names":false,"suffix":""}],"container-title":"Neurorehabilitation and neural repair","id":"ITEM-2","issue":"7","issued":{"date-parts":[["2013"]]},"page":"613-21","title":"Changes in sleep patterns following traumatic brain injury: a controlled study.","type":"article-journal","volume":"27"}}],"schema":"https://github.com/citation-style-language/schema/raw/master/csl-citation.json"} </w:instrText>
      </w:r>
      <w:r w:rsidRPr="00C421E4">
        <w:rPr>
          <w:rFonts w:ascii="Times" w:hAnsi="Times"/>
        </w:rPr>
        <w:fldChar w:fldCharType="separate"/>
      </w:r>
      <w:r w:rsidRPr="00C421E4">
        <w:rPr>
          <w:rFonts w:ascii="Times" w:hAnsi="Times"/>
          <w:noProof/>
        </w:rPr>
        <w:t>(Haboubi et al., 2001; Ponsford, Parcell, Sinclair, Roper, &amp; Rajaratnam, 2013)</w:t>
      </w:r>
      <w:r w:rsidRPr="00C421E4">
        <w:rPr>
          <w:rFonts w:ascii="Times" w:hAnsi="Times"/>
        </w:rPr>
        <w:fldChar w:fldCharType="end"/>
      </w:r>
      <w:r w:rsidRPr="00C421E4">
        <w:rPr>
          <w:rFonts w:ascii="Times" w:hAnsi="Times"/>
        </w:rPr>
        <w:t xml:space="preserve"> and many years post-injury </w:t>
      </w:r>
      <w:r w:rsidRPr="00C421E4">
        <w:rPr>
          <w:rFonts w:ascii="Times" w:hAnsi="Times"/>
        </w:rPr>
        <w:fldChar w:fldCharType="begin" w:fldLock="1"/>
      </w:r>
      <w:r w:rsidRPr="00C421E4">
        <w:rPr>
          <w:rFonts w:ascii="Times" w:hAnsi="Times"/>
        </w:rPr>
        <w:instrText xml:space="preserve"> ADDIN ZOTERO_ITEM CSL_CITATION {"citationID":"bffo0UaK","properties":{"formattedCitation":"(J Mantua, Mahan, Henry, &amp; Spencer, 2015)","plainCitation":"(J Mantua, Mahan, Henry, &amp; Spencer, 2015)"},"citationItems":[{"id":"ITEM-1","uris":["http://www.mendeley.com/documents/?uuid=8969fe10-9cbb-4517-bdee-d912820f9f4e"],"uri":["http://www.mendeley.com/documents/?uuid=8969fe10-9cbb-4517-bdee-d912820f9f4e"],"itemData":{"DOI":"10.3389/fnhum.2015.00379","ISBN":"0006-8950","ISSN":"1662-5161","abstract":"Individuals with a history of traumatic brain injury (TBI) often report sleep disturbances, which may be caused by changes in sleep architecture or reduced sleep quality (greater time awake after sleep onset, poorer sleep efficiency, and sleep stage proportion alterations). Sleep is beneficial for memory formation, and herein we examine whether altered sleep physiology following TBI has deleterious effects on sleep-dependent declarative memory consolidation. Participants learned a list of word pairs in the morning or evening, and recall was assessed 12-h later, following an interval awake or with overnight sleep. Young adult participants (18-22 years) were assigned to one of four experimental groups: TBI Sleep (n = 14), TBI Wake (n = 12), non-TBI Sleep (n = 15), non-TBI Wake (n = 15). Each TBI participant was &gt;1 year post-injury. Sleep physiology was measured with polysomnography. Memory consolidation was assessed by comparing change in word-pair recall over 12-h intersession intervals. The TBI group spent a significantly greater proportion of the night in SWS than the non-TBI group at the expense of NREM1. The TBI group also had marginally lower EEG delta power during SWS in the central region. Intersession changes in recall were greater for intervals with sleep than without sleep in both groups. However, despite abnormal sleep stage proportions for individuals with a TBI history, there was no difference in the intersession change in recall following sleep for the TBI and non-TBI groups. In both Sleep groups combined, there was a positive correlation between Intersession Change and the proportion of the night in NREM2 + SWS. Overall, sleep composition is altered following TBI but such deficits do not yield insufficiencies in sleep-dependent memory consolidation. © 2015 Mantua, Mahan, Henry and Spencer.","author":[{"dropping-particle":"","family":"Mantua","given":"J","non-dropping-particle":"","parse-names":false,"suffix":""},{"dropping-particle":"","family":"Mahan","given":"KM","non-dropping-particle":"","parse-names":false,"suffix":""},{"dropping-particle":"","family":"Henry","given":"OS","non-dropping-particle":"","parse-names":false,"suffix":""},{"dropping-particle":"","family":"Spencer","given":"Rebecca M. C.","non-dropping-particle":"","parse-names":false,"suffix":""}],"container-title":"Frontiers in human neuroscience","id":"ITEM-1","issue":"328","issued":{"date-parts":[["2015"]]},"page":"00379","title":"Altered sleep composition after traumatic brain injury does not affect declarative sleep-dependent memory consolidation","type":"article-journal","volume":"9"}}],"schema":"https://github.com/citation-style-language/schema/raw/master/csl-citation.json"} </w:instrText>
      </w:r>
      <w:r w:rsidRPr="00C421E4">
        <w:rPr>
          <w:rFonts w:ascii="Times" w:hAnsi="Times"/>
        </w:rPr>
        <w:fldChar w:fldCharType="separate"/>
      </w:r>
      <w:r w:rsidRPr="00C421E4">
        <w:rPr>
          <w:rFonts w:ascii="Times" w:hAnsi="Times"/>
          <w:noProof/>
        </w:rPr>
        <w:t>(Mantua, Mahan, Henry, &amp; Spencer, 2015)</w:t>
      </w:r>
      <w:r w:rsidRPr="00C421E4">
        <w:rPr>
          <w:rFonts w:ascii="Times" w:hAnsi="Times"/>
        </w:rPr>
        <w:fldChar w:fldCharType="end"/>
      </w:r>
      <w:r w:rsidRPr="00C421E4">
        <w:rPr>
          <w:rFonts w:ascii="Times" w:hAnsi="Times"/>
        </w:rPr>
        <w:t xml:space="preserve">. Specifically, chronically injured individuals report poorer sleep quality </w:t>
      </w:r>
      <w:r w:rsidRPr="00C421E4">
        <w:rPr>
          <w:rFonts w:ascii="Times" w:hAnsi="Times"/>
        </w:rPr>
        <w:fldChar w:fldCharType="begin" w:fldLock="1"/>
      </w:r>
      <w:r w:rsidRPr="00C421E4">
        <w:rPr>
          <w:rFonts w:ascii="Times" w:hAnsi="Times"/>
        </w:rPr>
        <w:instrText xml:space="preserve"> ADDIN ZOTERO_ITEM CSL_CITATION {"citationID":"tCC0fVu6","properties":{"formattedCitation":"(Parcell et al., 2008)","plainCitation":"(Parcell et al., 2008)"},"citationItems":[{"id":"ITEM-1","uris":["http://www.mendeley.com/documents/?uuid=86fa6cb9-1c26-45c9-bc8f-969594dd5480"],"uri":["http://www.mendeley.com/documents/?uuid=86fa6cb9-1c26-45c9-bc8f-969594dd5480"],"itemData":{"DOI":"10.1016/j.apmr.2007.09.057","ISBN":"0003-9993","ISSN":"1532-821X","PMID":"18452730","abstract":"Parcell DL, Ponsford JL, Redman JR, Rajaratnam SM. Poor sleep quality and changes in objectively recorded sleep after traumatic brain injury: a preliminary study. Objectives: To evaluate changes in sleep quality and objectively assessed sleep parameters after traumatic brain injury (TBI) and to investigate the relationship between such changes and mood state and injury characteristics. Design: Survey and laboratory-based nocturnal polysomnography. Setting: Sleep laboratory. Participants: Ten community-based subjects with moderate to very severe TBI and 10 age- and sex-matched controls from the general community. Interventions: Not applicable. Main Outcome Measures: Pittsburgh Sleep Quality Index for self-report sleep quality, nocturnal polysomnography for objective sleep recording, and Hospital Anxiety and Depression Scales. Results: Compared with controls, TBI patients reported significantly poorer sleep quality and higher levels of anxiety and depression. Objective sleep recording showed that TBI patients showed an increase in deep (slow wave) sleep, a reduction in rapid eye movement sleep, and more frequent nighttime awakenings. No significant relationship was observed between these changes in sleep and injury severity or time since injury. Anxiety and depression covaried with the observed changes in sleep. Conclusions: The findings contribute to the growing body of evidence that sleep is involved in the physiologic processes underlying neural recovery. The association between anxiety and depression and the observed changes in sleep in TBI patients warrants further examination to determine whether a causative relationship exists. ?? 2008 American Congress of Rehabilitation Medicine and the American Academy of Physical Medicine and Rehabilitation.","author":[{"dropping-particle":"","family":"Parcell","given":"Diane L.","non-dropping-particle":"","parse-names":false,"suffix":""},{"dropping-particle":"","family":"Ponsford","given":"Jennie L.","non-dropping-particle":"","parse-names":false,"suffix":""},{"dropping-particle":"","family":"Redman","given":"Jennifer R.","non-dropping-particle":"","parse-names":false,"suffix":""},{"dropping-particle":"","family":"Rajaratnam","given":"Shantha M.","non-dropping-particle":"","parse-names":false,"suffix":""}],"container-title":"Archives of physical medicine and rehabilitation","id":"ITEM-1","issue":"5","issued":{"date-parts":[["2008"]]},"page":"843-50","title":"Poor sleep quality and changes in objectively recorded sleep after traumatic brain injury: a preliminary study.","type":"article-journal","volume":"89"}}],"schema":"https://github.com/citation-style-language/schema/raw/master/csl-citation.json"} </w:instrText>
      </w:r>
      <w:r w:rsidRPr="00C421E4">
        <w:rPr>
          <w:rFonts w:ascii="Times" w:hAnsi="Times"/>
        </w:rPr>
        <w:fldChar w:fldCharType="separate"/>
      </w:r>
      <w:r w:rsidRPr="00C421E4">
        <w:rPr>
          <w:rFonts w:ascii="Times" w:hAnsi="Times"/>
          <w:noProof/>
        </w:rPr>
        <w:t>(Parcell et al., 2008)</w:t>
      </w:r>
      <w:r w:rsidRPr="00C421E4">
        <w:rPr>
          <w:rFonts w:ascii="Times" w:hAnsi="Times"/>
        </w:rPr>
        <w:fldChar w:fldCharType="end"/>
      </w:r>
      <w:r w:rsidRPr="00C421E4">
        <w:rPr>
          <w:rFonts w:ascii="Times" w:hAnsi="Times"/>
        </w:rPr>
        <w:t xml:space="preserve"> and daytime sleepiness </w:t>
      </w:r>
      <w:r w:rsidRPr="00C421E4">
        <w:rPr>
          <w:rFonts w:ascii="Times" w:hAnsi="Times"/>
        </w:rPr>
        <w:fldChar w:fldCharType="begin" w:fldLock="1"/>
      </w:r>
      <w:r w:rsidRPr="00C421E4">
        <w:rPr>
          <w:rFonts w:ascii="Times" w:hAnsi="Times"/>
        </w:rPr>
        <w:instrText xml:space="preserve"> ADDIN ZOTERO_ITEM CSL_CITATION {"citationID":"E2M7G9hk","properties":{"formattedCitation":"(Kaiser et al., 2010)","plainCitation":"(Kaiser et al., 2010)"},"citationItems":[{"id":"ITEM-1","uris":["http://www.mendeley.com/documents/?uuid=da96d6fa-0cc2-4797-b60d-4dbf4c69d19e"],"uri":["http://www.mendeley.com/documents/?uuid=da96d6fa-0cc2-4797-b60d-4dbf4c69d19e"],"itemData":{"DOI":"10.1212/WNL.0b013e3181fd62a2","ISBN":"1526-632X (Electronic)\\r0028-3878 (Linking)","ISSN":"00283878","PMID":"21079179","abstract":"BACKGROUND: Excessive daytime sleepiness (EDS) and fatigue are common symptoms after traumatic brain injury (TBI), but there is no specific treatment for affected patients. With this pilot study, we aimed at studying the effect of daily modafinil on posttraumatic EDS and fatigue.\\n\\nMETHODS: We conducted a prospective, double-blind, randomized, placebo-controlled pilot study in 20 patients with TBI who had fatigue or EDS or both. After baseline examinations (questionnaires including the Epworth Sleepiness Scale to assess EDS and the Fatigue Severity Scale to assess fatigue, actigraphy, polysomnography, maintenance of wakefulness test, and psychomotor vigilance test), 10 patients received 100 to 200 mg modafinil every morning, and 10 patients were treated with placebo. After a 6-week treatment period, all examinations were repeated.\\n\\nRESULTS: EDS improved significantly in patients with TBI who were treated with modafinil, compared with the placebo group. Similarly, the ability to stay awake on the maintenance of wakefulness test improved only in the modafinil group. Modafinil, however, had no impact on posttraumatic fatigue. Clinically relevant side effects were not observed.\\n\\nCONCLUSION: This study indicates that modafinil is effective and well tolerated in the treatment of posttraumatic EDS but not of fatigue.\\n\\nCLASSIFICATION OF EVIDENCE: This study provides Class I evidence that modafinil (100-200 mg daily) improves posttraumatic EDS compared with placebo. This study provides Class I evidence that modafinil (100-200 mg daily) does not improve posttraumatic fatigue compared with placebo.","author":[{"dropping-particle":"","family":"Kaiser","given":"P. R.","non-dropping-particle":"","parse-names":false,"suffix":""},{"dropping-particle":"","family":"Valko","given":"P. O.","non-dropping-particle":"","parse-names":false,"suffix":""},{"dropping-particle":"","family":"Werth","given":"E.","non-dropping-particle":"","parse-names":false,"suffix":""},{"dropping-particle":"","family":"Thomann","given":"J.","non-dropping-particle":"","parse-names":false,"suffix":""},{"dropping-particle":"","family":"Meier","given":"J.","non-dropping-particle":"","parse-names":false,"suffix":""},{"dropping-particle":"","family":"Stocker","given":"R.","non-dropping-particle":"","parse-names":false,"suffix":""},{"dropping-particle":"","family":"Bassetti","given":"C. L.","non-dropping-particle":"","parse-names":false,"suffix":""},{"dropping-particle":"","family":"Baumann","given":"C. R.","non-dropping-particle":"","parse-names":false,"suffix":""}],"container-title":"Neurology","id":"ITEM-1","issue":"20","issued":{"date-parts":[["2010"]]},"page":"1780-1785","title":"Modafinil ameliorates excessive daytime sleepiness after traumatic brain injury","type":"article-journal","volume":"75"}}],"schema":"https://github.com/citation-style-language/schema/raw/master/csl-citation.json"} </w:instrText>
      </w:r>
      <w:r w:rsidRPr="00C421E4">
        <w:rPr>
          <w:rFonts w:ascii="Times" w:hAnsi="Times"/>
        </w:rPr>
        <w:fldChar w:fldCharType="separate"/>
      </w:r>
      <w:r w:rsidRPr="00C421E4">
        <w:rPr>
          <w:rFonts w:ascii="Times" w:hAnsi="Times"/>
          <w:noProof/>
        </w:rPr>
        <w:t>(Kaiser et al., 2010)</w:t>
      </w:r>
      <w:r w:rsidRPr="00C421E4">
        <w:rPr>
          <w:rFonts w:ascii="Times" w:hAnsi="Times"/>
        </w:rPr>
        <w:fldChar w:fldCharType="end"/>
      </w:r>
      <w:r w:rsidRPr="00C421E4">
        <w:rPr>
          <w:rFonts w:ascii="Times" w:hAnsi="Times"/>
        </w:rPr>
        <w:t xml:space="preserve"> relative to healthy controls. Objective recordings of sleep (via polysomnography [PSG]) demonstrate decreased sleep efficiency (time asleep/time in bed; </w:t>
      </w:r>
      <w:r w:rsidRPr="00C421E4">
        <w:rPr>
          <w:rFonts w:ascii="Times" w:hAnsi="Times"/>
        </w:rPr>
        <w:fldChar w:fldCharType="begin" w:fldLock="1"/>
      </w:r>
      <w:r w:rsidRPr="00C421E4">
        <w:rPr>
          <w:rFonts w:ascii="Times" w:hAnsi="Times"/>
        </w:rPr>
        <w:instrText xml:space="preserve"> ADDIN ZOTERO_ITEM CSL_CITATION {"citationID":"SxUd8jph","properties":{"formattedCitation":"(Shekleton et al., 2010)","plainCitation":"(Shekleton et al., 2010)"},"citationItems":[{"id":"ITEM-1","uris":["http://www.mendeley.com/documents/?uuid=76009df7-2bc0-4f64-af1a-11ec70694254"],"uri":["http://www.mendeley.com/documents/?uuid=76009df7-2bc0-4f64-af1a-11ec70694254"],"itemData":{"DOI":"10.1212/WNL.0b013e3181e0438b","ISBN":"1526-632X (Electronic)\\r0028-3878 (Linking)","ISSN":"00283878","PMID":"20498441","abstract":"OBJECTIVES: Sleep disturbances commonly follow traumatic brain injury (TBI) and contribute to ongoing disability. However, there are no conclusive findings regarding specific changes to sleep quality and sleep architecture measured using polysomnography. Possible causes of the sleep disturbances include disruption of circadian regulation of sleep-wakefulness, psychological distress, and a neuronal response to injury. We investigated sleep-wake disturbances and their underlying mechanisms in a TBI patient sample. METHODS: This was an observational study comparing 23 patients with TBI (429.7 +/- 287.6 days post injury) and 23 age- and gender-matched healthy volunteers on polysomnographic sleep measures, salivary dim light melatonin onset (DLMO) time, and self-reported sleep quality, anxiety, and depression. RESULTS: Patients with TBI reported higher anxiety and depressive symptoms and sleep disturbance than controls. Patients with TBI showed decreased sleep efficiency (SE) and increased wake after sleep onset (WASO). Although no significant group differences were found in sleep architecture, when anxiety and depression scores were controlled, patients with TBI showed higher amount of slow wave sleep. No differences in self-reported sleep timing or salivary DLMO time were found. However, patients with TBI showed significantly lower levels of evening melatonin production. Melatonin level was significantly correlated with REM sleep but not SE or WASO. CONCLUSIONS: Reduced evening melatonin production may indicate disruption to circadian regulation of melatonin synthesis. The results suggest that there are at least 2 factors contributing to sleep disturbances in patients with traumatic brain injury. We propose that elevated depression is associated with reduced sleep quality, and increased slow wave sleep is attributed to the effects of mechanical brain damage.","author":[{"dropping-particle":"","family":"Shekleton","given":"J. A.","non-dropping-particle":"","parse-names":false,"suffix":""},{"dropping-particle":"","family":"Parcell","given":"D. L.","non-dropping-particle":"","parse-names":false,"suffix":""},{"dropping-particle":"","family":"Redman","given":"J. R.","non-dropping-particle":"","parse-names":false,"suffix":""},{"dropping-particle":"","family":"Phipps-Nelson","given":"J.","non-dropping-particle":"","parse-names":false,"suffix":""},{"dropping-particle":"","family":"Ponsford","given":"J. L.","non-dropping-particle":"","parse-names":false,"suffix":""},{"dropping-particle":"","family":"Rajaratnam","given":"S. M W","non-dropping-particle":"","parse-names":false,"suffix":""}],"container-title":"Neurology","id":"ITEM-1","issue":"21","issued":{"date-parts":[["2010"]]},"page":"1732-1738","title":"Sleep disturbance and melatonin levels following traumatic brain injury","type":"article-journal","volume":"74"}}],"schema":"https://github.com/citation-style-language/schema/raw/master/csl-citation.json"} </w:instrText>
      </w:r>
      <w:r w:rsidRPr="00C421E4">
        <w:rPr>
          <w:rFonts w:ascii="Times" w:hAnsi="Times"/>
        </w:rPr>
        <w:fldChar w:fldCharType="separate"/>
      </w:r>
      <w:r w:rsidRPr="00C421E4">
        <w:rPr>
          <w:rFonts w:ascii="Times" w:hAnsi="Times"/>
          <w:noProof/>
        </w:rPr>
        <w:t>Shekleton et al., 2010)</w:t>
      </w:r>
      <w:r w:rsidRPr="00C421E4">
        <w:rPr>
          <w:rFonts w:ascii="Times" w:hAnsi="Times"/>
        </w:rPr>
        <w:fldChar w:fldCharType="end"/>
      </w:r>
      <w:r w:rsidRPr="00C421E4">
        <w:rPr>
          <w:rFonts w:ascii="Times" w:hAnsi="Times"/>
        </w:rPr>
        <w:t xml:space="preserve">, increased awakenings </w:t>
      </w:r>
      <w:r w:rsidRPr="00C421E4">
        <w:rPr>
          <w:rFonts w:ascii="Times" w:hAnsi="Times"/>
        </w:rPr>
        <w:fldChar w:fldCharType="begin" w:fldLock="1"/>
      </w:r>
      <w:r w:rsidRPr="00C421E4">
        <w:rPr>
          <w:rFonts w:ascii="Times" w:hAnsi="Times"/>
        </w:rPr>
        <w:instrText xml:space="preserve"> ADDIN ZOTERO_ITEM CSL_CITATION {"citationID":"VA0TwAhq","properties":{"formattedCitation":"(Parcell et al., 2008)","plainCitation":"(Parcell et al., 2008)"},"citationItems":[{"id":"ITEM-1","uris":["http://www.mendeley.com/documents/?uuid=86fa6cb9-1c26-45c9-bc8f-969594dd5480"],"uri":["http://www.mendeley.com/documents/?uuid=86fa6cb9-1c26-45c9-bc8f-969594dd5480"],"itemData":{"DOI":"10.1016/j.apmr.2007.09.057","ISBN":"0003-9993","ISSN":"1532-821X","PMID":"18452730","abstract":"Parcell DL, Ponsford JL, Redman JR, Rajaratnam SM. Poor sleep quality and changes in objectively recorded sleep after traumatic brain injury: a preliminary study. Objectives: To evaluate changes in sleep quality and objectively assessed sleep parameters after traumatic brain injury (TBI) and to investigate the relationship between such changes and mood state and injury characteristics. Design: Survey and laboratory-based nocturnal polysomnography. Setting: Sleep laboratory. Participants: Ten community-based subjects with moderate to very severe TBI and 10 age- and sex-matched controls from the general community. Interventions: Not applicable. Main Outcome Measures: Pittsburgh Sleep Quality Index for self-report sleep quality, nocturnal polysomnography for objective sleep recording, and Hospital Anxiety and Depression Scales. Results: Compared with controls, TBI patients reported significantly poorer sleep quality and higher levels of anxiety and depression. Objective sleep recording showed that TBI patients showed an increase in deep (slow wave) sleep, a reduction in rapid eye movement sleep, and more frequent nighttime awakenings. No significant relationship was observed between these changes in sleep and injury severity or time since injury. Anxiety and depression covaried with the observed changes in sleep. Conclusions: The findings contribute to the growing body of evidence that sleep is involved in the physiologic processes underlying neural recovery. The association between anxiety and depression and the observed changes in sleep in TBI patients warrants further examination to determine whether a causative relationship exists. ?? 2008 American Congress of Rehabilitation Medicine and the American Academy of Physical Medicine and Rehabilitation.","author":[{"dropping-particle":"","family":"Parcell","given":"Diane L.","non-dropping-particle":"","parse-names":false,"suffix":""},{"dropping-particle":"","family":"Ponsford","given":"Jennie L.","non-dropping-particle":"","parse-names":false,"suffix":""},{"dropping-particle":"","family":"Redman","given":"Jennifer R.","non-dropping-particle":"","parse-names":false,"suffix":""},{"dropping-particle":"","family":"Rajaratnam","given":"Shantha M.","non-dropping-particle":"","parse-names":false,"suffix":""}],"container-title":"Archives of physical medicine and rehabilitation","id":"ITEM-1","issue":"5","issued":{"date-parts":[["2008"]]},"page":"843-50","title":"Poor sleep quality and changes in objectively recorded sleep after traumatic brain injury: a preliminary study.","type":"article-journal","volume":"89"}}],"schema":"https://github.com/citation-style-language/schema/raw/master/csl-citation.json"} </w:instrText>
      </w:r>
      <w:r w:rsidRPr="00C421E4">
        <w:rPr>
          <w:rFonts w:ascii="Times" w:hAnsi="Times"/>
        </w:rPr>
        <w:fldChar w:fldCharType="separate"/>
      </w:r>
      <w:r w:rsidRPr="00C421E4">
        <w:rPr>
          <w:rFonts w:ascii="Times" w:hAnsi="Times"/>
          <w:noProof/>
        </w:rPr>
        <w:t>(Parcell et al., 2008)</w:t>
      </w:r>
      <w:r w:rsidRPr="00C421E4">
        <w:rPr>
          <w:rFonts w:ascii="Times" w:hAnsi="Times"/>
        </w:rPr>
        <w:fldChar w:fldCharType="end"/>
      </w:r>
      <w:r w:rsidRPr="00C421E4">
        <w:rPr>
          <w:rFonts w:ascii="Times" w:hAnsi="Times"/>
        </w:rPr>
        <w:t xml:space="preserve">, hypersomnia </w:t>
      </w:r>
      <w:r w:rsidRPr="00C421E4">
        <w:rPr>
          <w:rFonts w:ascii="Times" w:hAnsi="Times"/>
        </w:rPr>
        <w:fldChar w:fldCharType="begin" w:fldLock="1"/>
      </w:r>
      <w:r w:rsidRPr="00C421E4">
        <w:rPr>
          <w:rFonts w:ascii="Times" w:hAnsi="Times"/>
        </w:rPr>
        <w:instrText xml:space="preserve"> ADDIN ZOTERO_ITEM CSL_CITATION {"citationID":"QpLSM0HG","properties":{"formattedCitation":"(Imbach et al., 2016)","plainCitation":"(Imbach et al., 2016)"},"citationItems":[{"id":"ITEM-1","uris":["http://www.mendeley.com/documents/?uuid=2ff1fa9d-3a07-4864-a6e9-d7861d2e2853"],"uri":["http://www.mendeley.com/documents/?uuid=2ff1fa9d-3a07-4864-a6e9-d7861d2e2853"],"itemData":{"DOI":"10.1212/WNL.0000000000002697","ISBN":"0000000000","ISSN":"0028-3878","PMID":"27164676","abstract":"ObjectiveThis study is a prospective, controlled clinical and electrophysiologic trial examining the chronic course of posttraumatic sleep-wake disturbances (SWD). MethodsWe screened 140 patients with acute, first-ever traumatic brain injury of any severity and included 60 patients for prospective follow-up examinations. Patients with prior brain trauma, other neurologic or systemic disease, drug abuse, or psychiatric comorbidities were excluded. Eighteen months after trauma, we performed detailed sleep assessment in 31 participants. As a control group, we enrolled healthy individuals without prior brain trauma matched for age, sex, and sleep satiation. ResultsIn the chronic state after traumatic brain injury, sleep need per 24 hours was persistently increased in trauma patients (8.1 {+/-} 0.5 hours) as compared to healthy controls (7.1 {+/-} 0.7 hours). The prevalence of chronic objective excessive daytime sleepiness was 67% in patients with brain trauma compared to 19% in controls. Patients significantly underestimated excessive daytime sleepiness and sleep need, emphasizing the unreliability of self-assessments on SWD in trauma patients. ConclusionsThis study provides prospective, controlled, and objective evidence for chronic persistence of posttraumatic SWD, which remain underestimated by patients. These results have clinical and medicolegal implications given that SWD can exacerbate other outcomes of traumatic brain injury, impair quality of life, and are associated with public safety hazards.","author":[{"dropping-particle":"","family":"Imbach","given":"Lukas L.","non-dropping-particle":"","parse-names":false,"suffix":""},{"dropping-particle":"","family":"Buchele","given":"Fabian","non-dropping-particle":"","parse-names":false,"suffix":""},{"dropping-particle":"","family":"Valko","given":"Philipp O.","non-dropping-particle":"","parse-names":false,"suffix":""},{"dropping-particle":"","family":"Li","given":"Tongzhou","non-dropping-particle":"","parse-names":false,"suffix":""},{"dropping-particle":"","family":"Maric","given":"Angelina","non-dropping-particle":"","parse-names":false,"suffix":""},{"dropping-particle":"","family":"Stover","given":"John F.","non-dropping-particle":"","parse-names":false,"suffix":""},{"dropping-particle":"","family":"Bassetti","given":"Claudio L.","non-dropping-particle":"","parse-names":false,"suffix":""},{"dropping-particle":"","family":"Mica","given":"Ladislav","non-dropping-particle":"","parse-names":false,"suffix":""},{"dropping-particle":"","family":"Werth","given":"Esther","non-dropping-particle":"","parse-names":false,"suffix":""},{"dropping-particle":"","family":"Baumann","given":"Christian R.","non-dropping-particle":"","parse-names":false,"suffix":""}],"container-title":"Neurology","id":"ITEM-1","issued":{"date-parts":[["2016"]]},"page":"WNL.0000000000002697-","title":"Sleep-wake disorders persist 18 months after traumatic brain injury but remain underrecognized","type":"article-journal"}}],"schema":"https://github.com/citation-style-language/schema/raw/master/csl-citation.json"} </w:instrText>
      </w:r>
      <w:r w:rsidRPr="00C421E4">
        <w:rPr>
          <w:rFonts w:ascii="Times" w:hAnsi="Times"/>
        </w:rPr>
        <w:fldChar w:fldCharType="separate"/>
      </w:r>
      <w:r w:rsidRPr="00C421E4">
        <w:rPr>
          <w:rFonts w:ascii="Times" w:hAnsi="Times"/>
          <w:noProof/>
        </w:rPr>
        <w:t>(Imbach et al., 2016)</w:t>
      </w:r>
      <w:r w:rsidRPr="00C421E4">
        <w:rPr>
          <w:rFonts w:ascii="Times" w:hAnsi="Times"/>
        </w:rPr>
        <w:fldChar w:fldCharType="end"/>
      </w:r>
      <w:r w:rsidRPr="00C421E4">
        <w:rPr>
          <w:rFonts w:ascii="Times" w:hAnsi="Times"/>
        </w:rPr>
        <w:t xml:space="preserve">, and sleep stage proportion changes several years post-TBI. Recently, a large meta-analysis, which comprised 9 studies, found individuals with a history of TBI tend to have less REM than uninjured individiauls </w:t>
      </w:r>
      <w:r w:rsidRPr="00C421E4">
        <w:rPr>
          <w:rFonts w:ascii="Times" w:hAnsi="Times"/>
        </w:rPr>
        <w:fldChar w:fldCharType="begin" w:fldLock="1"/>
      </w:r>
      <w:r w:rsidRPr="00C421E4">
        <w:rPr>
          <w:rFonts w:ascii="Times" w:hAnsi="Times"/>
        </w:rPr>
        <w:instrText xml:space="preserve"> ADDIN ZOTERO_ITEM CSL_CITATION {"citationID":"N0tf2aVC","properties":{"formattedCitation":"(Grima et al., 2016)","plainCitation":"(Grima et al., 2016)"},"citationItems":[{"id":"ITEM-1","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Medicine","id":"ITEM-1","issue":"3","issued":{"date-parts":[["2016"]]},"page":"419-428","title":"Sleep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et al., 2016)</w:t>
      </w:r>
      <w:r w:rsidRPr="00C421E4">
        <w:rPr>
          <w:rFonts w:ascii="Times" w:hAnsi="Times"/>
        </w:rPr>
        <w:fldChar w:fldCharType="end"/>
      </w:r>
      <w:r w:rsidRPr="00C421E4">
        <w:rPr>
          <w:rFonts w:ascii="Times" w:hAnsi="Times"/>
        </w:rPr>
        <w:t>. However, at present, it remains unclear whether TBI-induced sleep alterations have chronic, deleterious effects on health after brain injury.</w:t>
      </w:r>
    </w:p>
    <w:p w14:paraId="4E56D2C4" w14:textId="77777777" w:rsidR="00F7044C" w:rsidRPr="00C421E4" w:rsidRDefault="00F7044C" w:rsidP="00F7044C">
      <w:pPr>
        <w:spacing w:line="480" w:lineRule="auto"/>
        <w:rPr>
          <w:rFonts w:ascii="Times" w:hAnsi="Times"/>
        </w:rPr>
      </w:pPr>
    </w:p>
    <w:p w14:paraId="73E092D9" w14:textId="77777777" w:rsidR="00F7044C" w:rsidRPr="003E6BDA" w:rsidRDefault="00F7044C" w:rsidP="00F7044C">
      <w:pPr>
        <w:spacing w:line="480" w:lineRule="auto"/>
        <w:jc w:val="center"/>
        <w:rPr>
          <w:rFonts w:ascii="Times" w:hAnsi="Times"/>
          <w:b/>
        </w:rPr>
      </w:pPr>
      <w:r>
        <w:rPr>
          <w:rFonts w:ascii="Times" w:hAnsi="Times"/>
          <w:b/>
        </w:rPr>
        <w:t xml:space="preserve">3. </w:t>
      </w:r>
      <w:r w:rsidRPr="003E6BDA">
        <w:rPr>
          <w:rFonts w:ascii="Times" w:hAnsi="Times"/>
          <w:b/>
        </w:rPr>
        <w:t>Sleep and emotional processing</w:t>
      </w:r>
    </w:p>
    <w:p w14:paraId="096E9362" w14:textId="77777777" w:rsidR="00F7044C" w:rsidRPr="00C421E4" w:rsidRDefault="00F7044C" w:rsidP="00F7044C">
      <w:pPr>
        <w:spacing w:line="480" w:lineRule="auto"/>
        <w:rPr>
          <w:rFonts w:ascii="Times" w:hAnsi="Times"/>
        </w:rPr>
      </w:pPr>
      <w:r w:rsidRPr="00C421E4">
        <w:rPr>
          <w:rFonts w:ascii="Times" w:hAnsi="Times"/>
        </w:rPr>
        <w:t xml:space="preserve">Sleep is a pillar of mental health: every major psychiatric disorder is associated with a high prevalence of sleep disturbances </w:t>
      </w:r>
      <w:r w:rsidRPr="00C421E4">
        <w:rPr>
          <w:rFonts w:ascii="Times" w:hAnsi="Times"/>
        </w:rPr>
        <w:fldChar w:fldCharType="begin" w:fldLock="1"/>
      </w:r>
      <w:r w:rsidRPr="00C421E4">
        <w:rPr>
          <w:rFonts w:ascii="Times" w:hAnsi="Times"/>
        </w:rPr>
        <w:instrText xml:space="preserve"> ADDIN ZOTERO_ITEM CSL_CITATION {"citationID":"EhOrosBp","properties":{"formattedCitation":"(Benca et al., 1992)","plainCitation":"(Benca et al., 1992)"},"citationItems":[{"id":"ITEM-1","uris":["http://www.mendeley.com/documents/?uuid=4995d6af-ecc1-4216-ad21-3a1bc77978fe"],"uri":["http://www.mendeley.com/documents/?uuid=4995d6af-ecc1-4216-ad21-3a1bc77978fe"],"itemData":{"DOI":"10.1001/archpsyc.1992.01820080077011","ISBN":"0003-990X","ISSN":"0003-990X","PMID":"1386215","abstract":"We reviewed the literature on sleep in psychiatric disorders and evaluated the data by meta-analysis, a statistical method designed to combine data from different studies. A total of 177 studies with data from 7151 patients and controls were reviewed. Most psychiatric groups showed significantly reduced sleep efficiency and total sleep time, accounted for by decrements in non-rapid eye movement sleep. Rapid eye movement sleep time was relatively preserved in all groups, and percentage of rapid eye movement sleep was increased in affective disorders. Reduction in rapid eye movement sleep latency was seen in affective disorders but occurred in other categories as well. Although no single sleep variable appeared to have absolute specificity for any particular psychiatric disorder, patterns of sleep disturbances associated with categories of psychiatric illnesses were observed. Overall, findings for patients with affective disorders differed most frequently and significantly from those for normal controls.","author":[{"dropping-particle":"","family":"Benca","given":"R M","non-dropping-particle":"","parse-names":false,"suffix":""},{"dropping-particle":"","family":"Obermeyer","given":"W H","non-dropping-particle":"","parse-names":false,"suffix":""},{"dropping-particle":"","family":"Thisted","given":"R A","non-dropping-particle":"","parse-names":false,"suffix":""},{"dropping-particle":"","family":"Gillin","given":"J C","non-dropping-particle":"","parse-names":false,"suffix":""}],"container-title":"Archives of general psychiatry","id":"ITEM-1","issue":"8","issued":{"date-parts":[["1992"]]},"page":"651-68; discussion 669-70","title":"Sleep and psychiatric disorders. A meta-analysis.","type":"article-journal","volume":"49"}}],"schema":"https://github.com/citation-style-language/schema/raw/master/csl-citation.json"} </w:instrText>
      </w:r>
      <w:r w:rsidRPr="00C421E4">
        <w:rPr>
          <w:rFonts w:ascii="Times" w:hAnsi="Times"/>
        </w:rPr>
        <w:fldChar w:fldCharType="separate"/>
      </w:r>
      <w:r w:rsidRPr="00C421E4">
        <w:rPr>
          <w:rFonts w:ascii="Times" w:hAnsi="Times"/>
          <w:noProof/>
        </w:rPr>
        <w:t>(Benca et al., 1992)</w:t>
      </w:r>
      <w:r w:rsidRPr="00C421E4">
        <w:rPr>
          <w:rFonts w:ascii="Times" w:hAnsi="Times"/>
        </w:rPr>
        <w:fldChar w:fldCharType="end"/>
      </w:r>
      <w:r w:rsidRPr="00C421E4">
        <w:rPr>
          <w:rFonts w:ascii="Times" w:hAnsi="Times"/>
        </w:rPr>
        <w:t xml:space="preserve">. Interestingly, it has been </w:t>
      </w:r>
      <w:r w:rsidRPr="00C421E4">
        <w:rPr>
          <w:rFonts w:ascii="Times" w:hAnsi="Times"/>
        </w:rPr>
        <w:lastRenderedPageBreak/>
        <w:t xml:space="preserve">proposed that these sleep disturbances causally impact mood </w:t>
      </w:r>
      <w:r w:rsidRPr="00C421E4">
        <w:rPr>
          <w:rFonts w:ascii="Times" w:hAnsi="Times"/>
        </w:rPr>
        <w:fldChar w:fldCharType="begin" w:fldLock="1"/>
      </w:r>
      <w:r w:rsidRPr="00C421E4">
        <w:rPr>
          <w:rFonts w:ascii="Times" w:hAnsi="Times"/>
        </w:rPr>
        <w:instrText xml:space="preserve"> ADDIN ZOTERO_ITEM CSL_CITATION {"citationID":"fyECa8hx","properties":{"formattedCitation":"(Mellman, Bustamante, Fins, Pigeon, &amp; Nolan, 2002; Walker &amp; van der Helm, 2009)","plainCitation":"(Mellman, Bustamante, Fins, Pigeon, &amp; Nolan, 2002; Walker &amp; van der Helm, 2009)"},"citationItems":[{"id":"ITEM-1","uris":["http://www.mendeley.com/documents/?uuid=eadc52a5-474e-4625-90d2-225fbd5a3076"],"uri":["http://www.mendeley.com/documents/?uuid=eadc52a5-474e-4625-90d2-225fbd5a3076"],"itemData":{"DOI":"10.1176/appi.ajp.159.10.1696","ISBN":"0002-953X (Print)\\n0002-953X (Linking)","ISSN":"0002-953X","PMID":"12359675","abstract":"OBJECTIVE: The potential for chronicity and treatment resistance once posttraumatic stress disorder (PTSD) has become established has stimulated interest in understanding the early pathogenesis of the disorder. Arousal regulation and memory consolidation appear to be important in determining the development of PTSD; both are functions of sleep. Sleep findings from patients with chronic PTSD are complex and somewhat contradictory, and data from the acute phase are quite limited. The aim of the present study was to obtain polysomnographic recordings during an acute period after life-threatening experiences and injury and to relate measures of sleep duration and maintenance and the timing, intensity, and continuity of REM sleep to the early development of PTSD.\\n\\nMETHOD: Twenty-one injured subjects meeting study criteria received at least one polysomnographic recording close to the time of medical/surgical stabilization and within a month of injury. PTSD symptoms were assessed concurrently and 6 weeks later. Sleep measures were compared among injured subjects with and without significant PTSD symptoms at follow-up and 10 noninjured comparison subjects and were also correlated with PTSD severity.\\n\\nRESULTS: There was more wake time after the onset of sleep in injured, trauma-exposed patients than in noninjured comparison subjects. Development of PTSD symptoms was associated with shorter average duration of REM sleep before a stage change and more periods of REM sleep.\\n\\nCONCLUSIONS: The development of PTSD symptoms after traumatic injury is associated with a more fragmented pattern of REM sleep.","author":[{"dropping-particle":"","family":"Mellman","given":"Thomas a","non-dropping-particle":"","parse-names":false,"suffix":""},{"dropping-particle":"","family":"Bustamante","given":"Victoria","non-dropping-particle":"","parse-names":false,"suffix":""},{"dropping-particle":"","family":"Fins","given":"Ana I","non-dropping-particle":"","parse-names":false,"suffix":""},{"dropping-particle":"","family":"Pigeon","given":"Wilfred R","non-dropping-particle":"","parse-names":false,"suffix":""},{"dropping-particle":"","family":"Nolan","given":"Bruce","non-dropping-particle":"","parse-names":false,"suffix":""}],"container-title":"The American journal of psychiatry","id":"ITEM-1","issue":"10","issued":{"date-parts":[["2002"]]},"page":"1696-701","title":"REM sleep and the early development of posttraumatic stress disorder.","type":"article-journal","volume":"159"}},{"id":"ITEM-2","uris":["http://www.mendeley.com/documents/?uuid=e9cb8e5f-f656-4f62-af00-11f34acf174e"],"uri":["http://www.mendeley.com/documents/?uuid=e9cb8e5f-f656-4f62-af00-11f34acf174e"],"itemData":{"DOI":"10.1037/a0016570","ISBN":"0033-2909 (Print) 0033-2909 (Linking)","ISSN":"0033-2909","PMID":"19702380","abstract":"Cognitive neuroscience continues to build meaningful connections between affective behavior and human brain function. Within the biological sciences, a similar renaissance has taken place, focusing on the role of sleep in various neurocognitive processes and, most recently, on the interaction between sleep and emotional regulation. This review surveys an array of diverse findings across basic and clinical research domains, resulting in a convergent view of sleep-dependent emotional brain processing. On the basis of the unique neurobiology of sleep, the authors outline a model describing the overnight modulation of affective neural systems and the (re)processing of recent emotional experiences, both of which appear to redress the appropriate next-day reactivity of limbic and associated autonomic networks. Furthermore, a rapid eye movement (REM) sleep hypothesis of emotional-memory processing is proposed, the implications of which may provide brain-based insights into the association between sleep abnormalities and the initiation and maintenance of mood disturbances.","author":[{"dropping-particle":"","family":"Walker","given":"Matthew P","non-dropping-particle":"","parse-names":false,"suffix":""},{"dropping-particle":"","family":"Helm","given":"Els","non-dropping-particle":"van der","parse-names":false,"suffix":""}],"container-title":"Psychological bulletin","id":"ITEM-2","issue":"5","issued":{"date-parts":[["2009"]]},"page":"731-48","title":"Overnight therapy? The role of sleep in emotional brain processing.","type":"article-journal","volume":"135"}}],"schema":"https://github.com/citation-style-language/schema/raw/master/csl-citation.json"} </w:instrText>
      </w:r>
      <w:r w:rsidRPr="00C421E4">
        <w:rPr>
          <w:rFonts w:ascii="Times" w:hAnsi="Times"/>
        </w:rPr>
        <w:fldChar w:fldCharType="separate"/>
      </w:r>
      <w:r w:rsidRPr="00C421E4">
        <w:rPr>
          <w:rFonts w:ascii="Times" w:hAnsi="Times"/>
          <w:noProof/>
        </w:rPr>
        <w:t>(Mellman, Bustamante, Fins, Pigeon, &amp; Nolan, 2002; Walker &amp; van der Helm, 2009)</w:t>
      </w:r>
      <w:r w:rsidRPr="00C421E4">
        <w:rPr>
          <w:rFonts w:ascii="Times" w:hAnsi="Times"/>
        </w:rPr>
        <w:fldChar w:fldCharType="end"/>
      </w:r>
      <w:r w:rsidRPr="00C421E4">
        <w:rPr>
          <w:rFonts w:ascii="Times" w:hAnsi="Times"/>
        </w:rPr>
        <w:t xml:space="preserve">. That is, sleep alterations are not merely a side effect of the disorder but actively contribute to and maintain dysfunction. Accumulating evidence from the last decade supports this hypothesis. </w:t>
      </w:r>
    </w:p>
    <w:p w14:paraId="7218D683" w14:textId="77777777" w:rsidR="00F7044C" w:rsidRPr="00C421E4" w:rsidRDefault="00F7044C" w:rsidP="00F7044C">
      <w:pPr>
        <w:spacing w:line="480" w:lineRule="auto"/>
        <w:rPr>
          <w:rFonts w:ascii="Times" w:hAnsi="Times"/>
        </w:rPr>
      </w:pPr>
    </w:p>
    <w:p w14:paraId="3DEA5D78" w14:textId="77777777" w:rsidR="00F7044C" w:rsidRPr="00C421E4" w:rsidRDefault="00F7044C" w:rsidP="00F7044C">
      <w:pPr>
        <w:spacing w:line="480" w:lineRule="auto"/>
        <w:rPr>
          <w:rFonts w:ascii="Times" w:hAnsi="Times"/>
        </w:rPr>
      </w:pPr>
      <w:r w:rsidRPr="00C421E4">
        <w:rPr>
          <w:rFonts w:ascii="Times" w:hAnsi="Times"/>
        </w:rPr>
        <w:t xml:space="preserve">Sleep, relative to wake, uniquely impacts cognition and emotion. For instance, we and others have shown that sleep, relative to a period spent awake, strengthens emotional memories through a process called sleep-dependent memory consolidation </w:t>
      </w:r>
      <w:r w:rsidRPr="00C421E4">
        <w:rPr>
          <w:rFonts w:ascii="Times" w:hAnsi="Times"/>
        </w:rPr>
        <w:fldChar w:fldCharType="begin" w:fldLock="1"/>
      </w:r>
      <w:r w:rsidRPr="00C421E4">
        <w:rPr>
          <w:rFonts w:ascii="Times" w:hAnsi="Times"/>
        </w:rPr>
        <w:instrText xml:space="preserve"> ADDIN ZOTERO_ITEM CSL_CITATION {"citationID":"pGmjSJwW","properties":{"formattedCitation":"(Bengi Baran, Pace-Schott, Ericson, &amp; Spencer, 2012; Jones, Schultz, Adams, Baran, &amp; Spencer, 2016; Payne, Stickgold, Swanberg, &amp; Kensinger, 2008)","plainCitation":"(Bengi Baran, Pace-Schott, Ericson, &amp; Spencer, 2012; Jones, Schultz, Adams, Baran, &amp; Spencer, 2016; Payne, Stickgold, Swanberg, &amp; Kensinger, 2008)"},"citationItems":[{"id":"ITEM-1","uris":["http://www.mendeley.com/documents/?uuid=1801c18d-b007-4667-8335-e1605c96c0d0"],"uri":["http://www.mendeley.com/documents/?uuid=1801c18d-b007-4667-8335-e1605c96c0d0"],"itemData":{"DOI":"10.1111/j.1467-9280.2008.02157.x","ISBN":"1467-9280 (Electronic)\\r0956-7976 (Linking)","ISSN":"09567976","PMID":"18816285","abstract":"Central aspects of emotional experiences are often well remembered at the expense of background details. Previous studies of such memory trade-offs have focused on memory after brief delays, but little is known about how these components of emotional memories change over time. We investigated the evolution of memory for negative scenes across 30 min, 12 daytime hours spent awake, and 12 nighttime hours including sleep. After 30 min, negative objects were well remembered at the expense of information about their backgrounds. Time spent awake led to forgetting of the entire negative scene, with memories of objects and their backgrounds decaying at similar rates. Sleep, in contrast, led to a preservation of memories of negative objects, but not their backgrounds, a result suggesting that the two components undergo differential processing during sleep. Memory for a negative scene develops differentially across time delays containing sleep and wake, with sleep selectively consolidating those aspects of memory that are of greatest value to the organism.","author":[{"dropping-particle":"","family":"Payne","given":"Jessica D.","non-dropping-particle":"","parse-names":false,"suffix":""},{"dropping-particle":"","family":"Stickgold","given":"Robert","non-dropping-particle":"","parse-names":false,"suffix":""},{"dropping-particle":"","family":"Swanberg","given":"Kelley","non-dropping-particle":"","parse-names":false,"suffix":""},{"dropping-particle":"","family":"Kensinger","given":"Elizabeth A.","non-dropping-particle":"","parse-names":false,"suffix":""}],"container-title":"Psychological Science","id":"ITEM-1","issue":"8","issued":{"date-parts":[["2008"]]},"page":"781-788","title":"Sleep preferentially enhances memory for emotional components of scenes","type":"article-journal","volume":"19"}},{"id":"ITEM-2","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Neuroscience","id":"ITEM-2","issue":"3","issued":{"date-parts":[["2012"]]},"page":"1035-42","title":"Processing of emotional reactivity and emotional memory over sleep.","type":"article-journal","volume":"32"}},{"id":"ITEM-3","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Aging","id":"ITEM-3","issued":{"date-parts":[["2016"]]},"title":"Emotional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Pace-Schott, Ericson, &amp; Spencer, 2012; Jones, Schultz, Adams, Baran, &amp; Spencer, 2016; Payne, Stickgold, Swanberg, &amp; Kensinger, 2008)</w:t>
      </w:r>
      <w:r w:rsidRPr="00C421E4">
        <w:rPr>
          <w:rFonts w:ascii="Times" w:hAnsi="Times"/>
        </w:rPr>
        <w:fldChar w:fldCharType="end"/>
      </w:r>
      <w:r w:rsidRPr="00C421E4">
        <w:rPr>
          <w:rFonts w:ascii="Times" w:hAnsi="Times"/>
        </w:rPr>
        <w:t xml:space="preserve">. In a separate study, we found sleep-dependent memory consolidation may causally impact subsequent (i.e., next-day) mood. Specifically, we found sleep staging predicts post-sleep affect/mood but only when sleep-dependent emotional memory consolidation occurred </w:t>
      </w:r>
      <w:r w:rsidRPr="00C421E4">
        <w:rPr>
          <w:rFonts w:ascii="Times" w:hAnsi="Times"/>
        </w:rPr>
        <w:fldChar w:fldCharType="begin" w:fldLock="1"/>
      </w:r>
      <w:r w:rsidRPr="00C421E4">
        <w:rPr>
          <w:rFonts w:ascii="Times" w:hAnsi="Times"/>
        </w:rPr>
        <w:instrText xml:space="preserve"> ADDIN ZOTERO_ITEM CSL_CITATION {"citationID":"4w8uL4F7","properties":{"formattedCitation":"(Jones et al., 2016)","plainCitation":"(Jones et al., 2016)"},"citationItems":[{"id":"ITEM-1","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Aging","id":"ITEM-1","issued":{"date-parts":[["2016"]]},"title":"Emotional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(Jones et al., 2016)</w:t>
      </w:r>
      <w:r w:rsidRPr="00C421E4">
        <w:rPr>
          <w:rFonts w:ascii="Times" w:hAnsi="Times"/>
        </w:rPr>
        <w:fldChar w:fldCharType="end"/>
      </w:r>
      <w:r w:rsidRPr="00C421E4">
        <w:rPr>
          <w:rFonts w:ascii="Times" w:hAnsi="Times"/>
        </w:rPr>
        <w:t xml:space="preserve">. These findings indicate emotional memory consolidation plays a critical role in the relationship between sleep and emotional state. Therefore, a disruption in this underlying mechanism (sleep-dependent memory consolidation), potentially due to sleep stage or sleep quality alterations, can have consequences for emotional well-being. </w:t>
      </w:r>
    </w:p>
    <w:p w14:paraId="6310A46D" w14:textId="77777777" w:rsidR="00F7044C" w:rsidRPr="00C421E4" w:rsidRDefault="00F7044C" w:rsidP="00F7044C">
      <w:pPr>
        <w:spacing w:line="480" w:lineRule="auto"/>
        <w:rPr>
          <w:rFonts w:ascii="Times" w:hAnsi="Times"/>
        </w:rPr>
      </w:pPr>
    </w:p>
    <w:p w14:paraId="1080CFA7" w14:textId="77777777" w:rsidR="00F7044C" w:rsidRPr="00C421E4" w:rsidRDefault="00F7044C" w:rsidP="00F7044C">
      <w:pPr>
        <w:spacing w:line="480" w:lineRule="auto"/>
        <w:rPr>
          <w:rFonts w:ascii="Times" w:hAnsi="Times"/>
        </w:rPr>
      </w:pPr>
      <w:r w:rsidRPr="00C421E4">
        <w:rPr>
          <w:rFonts w:ascii="Times" w:hAnsi="Times"/>
        </w:rPr>
        <w:t xml:space="preserve">Further, we </w:t>
      </w:r>
      <w:r w:rsidRPr="00C421E4">
        <w:rPr>
          <w:rFonts w:ascii="Times" w:hAnsi="Times"/>
        </w:rPr>
        <w:fldChar w:fldCharType="begin" w:fldLock="1"/>
      </w:r>
      <w:r w:rsidRPr="00C421E4">
        <w:rPr>
          <w:rFonts w:ascii="Times" w:hAnsi="Times"/>
        </w:rPr>
        <w:instrText xml:space="preserve"> ADDIN ZOTERO_ITEM CSL_CITATION {"citationID":"9qKxxcky","properties":{"formattedCitation":"(Bengi Baran et al., 2012; Jones et al., 2016)","plainCitation":"(Bengi Baran et al., 2012; Jones et al., 2016)"},"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id":"ITEM-2","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Aging","id":"ITEM-2","issued":{"date-parts":[["2016"]]},"title":"Emotional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et al., 2012; Jones et al., 2016)</w:t>
      </w:r>
      <w:r w:rsidRPr="00C421E4">
        <w:rPr>
          <w:rFonts w:ascii="Times" w:hAnsi="Times"/>
        </w:rPr>
        <w:fldChar w:fldCharType="end"/>
      </w:r>
      <w:r w:rsidRPr="00C421E4">
        <w:rPr>
          <w:rFonts w:ascii="Times" w:hAnsi="Times"/>
        </w:rPr>
        <w:t xml:space="preserve"> and others </w:t>
      </w:r>
      <w:r w:rsidRPr="00C421E4">
        <w:rPr>
          <w:rFonts w:ascii="Times" w:hAnsi="Times"/>
        </w:rPr>
        <w:fldChar w:fldCharType="begin" w:fldLock="1"/>
      </w:r>
      <w:r w:rsidRPr="00C421E4">
        <w:rPr>
          <w:rFonts w:ascii="Times" w:hAnsi="Times"/>
        </w:rPr>
        <w:instrText xml:space="preserve"> ADDIN ZOTERO_ITEM CSL_CITATION {"citationID":"c4RCEeHv","properties":{"formattedCitation":"{\\rtf (Lara\\uc0\\u8208{}Carrasco, Nielsen, Solomonova, Levrier, &amp; Popova, 2009; Wagner, Fischer, &amp; Born, 2002)}","plainCitation":"(Lara</w:instrText>
      </w:r>
      <w:r w:rsidRPr="00C421E4">
        <w:rPr>
          <w:rFonts w:ascii="Calibri" w:eastAsia="Calibri" w:hAnsi="Calibri" w:cs="Calibri"/>
        </w:rPr>
        <w:instrText>‐</w:instrText>
      </w:r>
      <w:r w:rsidRPr="00C421E4">
        <w:rPr>
          <w:rFonts w:ascii="Times" w:hAnsi="Times"/>
        </w:rPr>
        <w:instrText>Carrasco, Nielsen, Solomonova, Levrier, &amp; Popova, 2009; Wagner, Fischer, &amp; Born, 2002)"},"citationItems":[{"id":"ITEM-1","uris":["http://www.mendeley.com/documents/?uuid=dcdef96b-ecb6-4d3f-a6ea-e57f64a2b5f9"],"uri":["http://www.mendeley.com/documents/?uuid=dcdef96b-ecb6-4d3f-a6ea-e57f64a2b5f9"],"itemData":{"DOI":"10.1097/01.PSY.0000021940.35402.51","ISBN":"0033-3174 (Print)","ISSN":"00333174","PMID":"12140353","abstract":"OBJECTIVE: Since Freud's \"Interpretation of Dreams,\" sleep has been related to emotional functions, where dreams were assumed to play a cathartic role. In psychophysiological research, this role was attributed mainly to rapid eye movement (REM) sleep. The present study compared processing pictures with negative emotional impact over intervals covering either early sleep dominated by slow-wave sleep (SWS) or late REM sleep-dominated sleep. METHOD: Emotional reactions were assessed by a nonverbal rating procedure along the two emotional dimensions valence (positive vs. negative) and arousal (low vs. high). Two groups of healthy men were tested across 3-hour periods of early and late nocturnal sleep (sleep group) or corresponding intervals filled with wakefulness (wake group). After the intervals, subjects rated new pictures together with old pictures already presented before the interval. Sleep was recorded polysomnographically. RESULTS: As expected, the amount of REM sleep was about three times greater during late than early nocturnal sleep, whereas a reversed distribution was observed for SWS (p&lt;.001). Valence ratings indicated a shift toward enhanced negative ratings after late sleep (p&lt;.05), contrasting with a trend toward more positive ratings after early sleep (p&lt;.10). Arousal habituated slightly to repeated presentation of the same stimuli, but sleep generally enhanced subsequent arousal ratings (p&lt;.05). Effects of sleep did not depend on whether pictures had low or high emotional impact. CONCLUSIONS: Indicating a priming-like enhancement of emotional reactivity after periods rich in REM sleep, results do not confirm a cathartic function of REM sleep or sleep in general.","author":[{"dropping-particle":"","family":"Wagner","given":"Ullrich","non-dropping-particle":"","parse-names":false,"suffix":""},{"dropping-particle":"","family":"Fischer","given":"Stefan","non-dropping-particle":"","parse-names":false,"suffix":""},{"dropping-particle":"","family":"Born","given":"Jan","non-dropping-particle":"","parse-names":false,"suffix":""}],"container-title":"Psychosomatic medicine","id":"ITEM-1","issued":{"date-parts":[["2002"]]},"page":"627-634","title":"Changes in emotional responses to aversive pictures across periods rich in slow-wave sleep versus rapid eye movement sleep.","type":"article-journal","volume":"64"}},{"id":"ITEM-2","uris":["http://www.mendeley.com/documents/?uuid=c1fef87c-edab-4984-ad05-6e860e416454"],"uri":["http://www.mendeley.com/documents/?uuid=c1fef87c-edab-4984-ad05-6e860e416454"],"itemData":{"author":[{"dropping-particle":"","family":"Lara</w:instrText>
      </w:r>
      <w:r w:rsidRPr="00C421E4">
        <w:rPr>
          <w:rFonts w:ascii="Calibri" w:eastAsia="Calibri" w:hAnsi="Calibri" w:cs="Calibri"/>
        </w:rPr>
        <w:instrText>‐</w:instrText>
      </w:r>
      <w:r w:rsidRPr="00C421E4">
        <w:rPr>
          <w:rFonts w:ascii="Times" w:hAnsi="Times"/>
        </w:rPr>
        <w:instrText xml:space="preserve">Carrasco","given":"J.","non-dropping-particle":"","parse-names":false,"suffix":""},{"dropping-particle":"","family":"Nielsen","given":"T. A.","non-dropping-particle":"","parse-names":false,"suffix":""},{"dropping-particle":"","family":"Solomonova","given":"E.","non-dropping-particle":"","parse-names":false,"suffix":""},{"dropping-particle":"","family":"Levrier","given":"K.","non-dropping-particle":"","parse-names":false,"suffix":""},{"dropping-particle":"","family":"Popova","given":"A.","non-dropping-particle":"","parse-names":false,"suffix":""}],"container-title":"Journal of sleep research","id":"ITEM-2","issue":"2","issued":{"date-parts":[["2009"]]},"page":"178-187","title":"Overnight emotional adaptation to negative stimuli is altered by REM sleep deprivation and is correlated with intervening dream emotions","type":"article-journal","volume":"18"}}],"schema":"https://github.com/citation-style-language/schema/raw/master/csl-citation.json"} </w:instrText>
      </w:r>
      <w:r w:rsidRPr="00C421E4">
        <w:rPr>
          <w:rFonts w:ascii="Times" w:hAnsi="Times"/>
        </w:rPr>
        <w:fldChar w:fldCharType="separate"/>
      </w:r>
      <w:r w:rsidRPr="00C421E4">
        <w:rPr>
          <w:rFonts w:ascii="Times" w:hAnsi="Times"/>
        </w:rPr>
        <w:t>(Lara</w:t>
      </w:r>
      <w:r w:rsidRPr="00C421E4">
        <w:rPr>
          <w:rFonts w:ascii="Calibri" w:eastAsia="Calibri" w:hAnsi="Calibri" w:cs="Calibri"/>
        </w:rPr>
        <w:t>‐</w:t>
      </w:r>
      <w:r w:rsidRPr="00C421E4">
        <w:rPr>
          <w:rFonts w:ascii="Times" w:hAnsi="Times"/>
        </w:rPr>
        <w:t>Carrasco, Nielsen, Solomonova, Levrier, &amp; Popova, 2009; Wagner, Fischer, &amp; Born, 2002)</w:t>
      </w:r>
      <w:r w:rsidRPr="00C421E4">
        <w:rPr>
          <w:rFonts w:ascii="Times" w:hAnsi="Times"/>
        </w:rPr>
        <w:fldChar w:fldCharType="end"/>
      </w:r>
      <w:r w:rsidRPr="00C421E4">
        <w:rPr>
          <w:rFonts w:ascii="Times" w:hAnsi="Times"/>
        </w:rPr>
        <w:t xml:space="preserve"> demonstrated sleep and wake differentially impact emotion generation (e.g., subjective valence ratings). Specifically, when individuals are shown the same set of negative stimuli twice (with a period of sleep between viewing sessions), emotionality to negative stimuli is preserved. </w:t>
      </w:r>
      <w:r w:rsidRPr="00C421E4">
        <w:rPr>
          <w:rFonts w:ascii="Times" w:hAnsi="Times"/>
        </w:rPr>
        <w:lastRenderedPageBreak/>
        <w:t xml:space="preserve">However, individuals who remain awake between the two sessions (during a normal waking day) habituate to negative stimuli, rating them as more neutral during the second presentation. Similar to memory, sleep-dependent preservation of emotion has been linked to sleep physiology, such that more REM leads to greater emotion preservation over a sleep period </w:t>
      </w:r>
      <w:r w:rsidRPr="00C421E4">
        <w:rPr>
          <w:rFonts w:ascii="Times" w:hAnsi="Times"/>
        </w:rPr>
        <w:fldChar w:fldCharType="begin" w:fldLock="1"/>
      </w:r>
      <w:r w:rsidRPr="00C421E4">
        <w:rPr>
          <w:rFonts w:ascii="Times" w:hAnsi="Times"/>
        </w:rPr>
        <w:instrText xml:space="preserve"> ADDIN ZOTERO_ITEM CSL_CITATION {"citationID":"5M6sDbi9","properties":{"formattedCitation":"(Bengi Baran et al., 2012)","plainCitation":"(Bengi Baran et al., 2012)"},"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sleep.","type":"article-journal","volume":"32"}}],"schema":"https://github.com/citation-style-language/schema/raw/master/csl-citation.json"} </w:instrText>
      </w:r>
      <w:r w:rsidRPr="00C421E4">
        <w:rPr>
          <w:rFonts w:ascii="Times" w:hAnsi="Times"/>
        </w:rPr>
        <w:fldChar w:fldCharType="separate"/>
      </w:r>
      <w:r w:rsidRPr="00C421E4">
        <w:rPr>
          <w:rFonts w:ascii="Times" w:hAnsi="Times"/>
          <w:noProof/>
        </w:rPr>
        <w:t>(Baran et al., 2012)</w:t>
      </w:r>
      <w:r w:rsidRPr="00C421E4">
        <w:rPr>
          <w:rFonts w:ascii="Times" w:hAnsi="Times"/>
        </w:rPr>
        <w:fldChar w:fldCharType="end"/>
      </w:r>
      <w:r w:rsidRPr="00C421E4">
        <w:rPr>
          <w:rFonts w:ascii="Times" w:hAnsi="Times"/>
        </w:rPr>
        <w:t xml:space="preserve">. Therefore, a disruption of sleep staging, and particularly REM, could disrupt this process. </w:t>
      </w:r>
    </w:p>
    <w:p w14:paraId="38AAFC48" w14:textId="77777777" w:rsidR="00F7044C" w:rsidRPr="00C421E4" w:rsidRDefault="00F7044C" w:rsidP="00F7044C">
      <w:pPr>
        <w:spacing w:line="480" w:lineRule="auto"/>
        <w:rPr>
          <w:rFonts w:ascii="Times" w:hAnsi="Times"/>
        </w:rPr>
      </w:pPr>
    </w:p>
    <w:p w14:paraId="129D1BFE" w14:textId="77777777" w:rsidR="00F7044C" w:rsidRPr="003E6BDA" w:rsidRDefault="00F7044C" w:rsidP="00F7044C">
      <w:pPr>
        <w:spacing w:line="480" w:lineRule="auto"/>
        <w:jc w:val="center"/>
        <w:rPr>
          <w:rFonts w:ascii="Times" w:hAnsi="Times"/>
          <w:b/>
        </w:rPr>
      </w:pPr>
      <w:r>
        <w:rPr>
          <w:rFonts w:ascii="Times" w:hAnsi="Times"/>
          <w:b/>
        </w:rPr>
        <w:t xml:space="preserve">4. </w:t>
      </w:r>
      <w:r w:rsidRPr="003E6BDA">
        <w:rPr>
          <w:rFonts w:ascii="Times" w:hAnsi="Times"/>
          <w:b/>
        </w:rPr>
        <w:t>The current study</w:t>
      </w:r>
    </w:p>
    <w:p w14:paraId="30479DD7" w14:textId="77777777" w:rsidR="00F7044C" w:rsidRPr="00C421E4" w:rsidRDefault="00F7044C" w:rsidP="00F7044C">
      <w:pPr>
        <w:spacing w:line="480" w:lineRule="auto"/>
        <w:rPr>
          <w:rFonts w:ascii="Times" w:hAnsi="Times"/>
        </w:rPr>
      </w:pPr>
      <w:r w:rsidRPr="00C421E4">
        <w:rPr>
          <w:rFonts w:ascii="Times" w:hAnsi="Times"/>
        </w:rPr>
        <w:t xml:space="preserve">One aim of the current study is to assess whether sleep-dependent memory consolidation is altered in individuals with a chronic, mild TBI with the rationale that disrupted sleep-dependent processes could be a mechanism causing or maintaining mood disturbances in this population. To test this hypothesis, we utilized an emotional memory paradigm </w:t>
      </w:r>
      <w:r w:rsidRPr="00C421E4">
        <w:rPr>
          <w:rFonts w:ascii="Times" w:hAnsi="Times"/>
        </w:rPr>
        <w:fldChar w:fldCharType="begin" w:fldLock="1"/>
      </w:r>
      <w:r w:rsidRPr="00C421E4">
        <w:rPr>
          <w:rFonts w:ascii="Times" w:hAnsi="Times"/>
        </w:rPr>
        <w:instrText xml:space="preserve"> ADDIN ZOTERO_ITEM CSL_CITATION {"citationID":"bMAD1fyd","properties":{"formattedCitation":"(Bengi Baran et al., 2012; Jones et al., 2016; Pace-Schott et al., 2011)","plainCitation":"(Bengi Baran et al., 2012; Jones et al., 2016; Pace-Schott et al., 2011)"},"citationItems":[{"id":"ITEM-1","uris":["http://www.mendeley.com/documents/?uuid=5c65e9a3-bbfe-475c-bac5-16e01a0d656a"],"uri":["http://www.mendeley.com/documents/?uuid=5c65e9a3-bbfe-475c-bac5-16e01a0d656a"],"itemData":{"DOI":"10.1016/j.nlm.2010.10.006","ISBN":"1074-7427","ISSN":"10747427","PMID":"20969968","abstract":"The effects of a daytime nap on inter-session habituation to aversive visual stimuli were investigated. Healthy young adult volunteers viewed repeated presentations of highly negative and emotionally neutral (but equally arousing) International Affective Picture System (IAPS) photographs during two afternoon sessions separated by 2.5. h. Half of the photographs were shown at both sessions (Repeated Sets) and half differed between sessions (Novel Sets). For each stimulus presentation, evoked skin conductance response (SCR), heart-rate deceleration (HRD) and corrugator supercilii EMG response (EMG), were computed and range corrected using respective maximum session-1 responses. Following each presentation, subjects rated each photograph on dimensions of pleasantness and arousability. During the inter-session interval, Nap subjects had a 120-min polysomnographically monitored sleep opportunity, whereas Wake subjects watched a non-stimulating video. Nap and Wake subjects did not differ in their subjective ratings of photographs. However, for Repeated-Set photographs, Nap subjects demonstrated greater inter-session habituation in SCR and EMG but a trend toward lesser inter-session habituation in HRD. These group differences were absent for Novel-Set photographs. Group differences across all measures were greater for negative stimuli. Occurrence of SWS during the nap was associated with greater inter-session habituation of EMG whereas occurrence of REM was associated with lesser inter-session habituation of SCR to negative stimuli. Sleep may therefore promote emotional adjustment at the level of somatic responses. Physiological but not subjective inter-session habituation to aversive images was enhanced by a daytime nap. ?? 2010 Elsevier Inc.","author":[{"dropping-particle":"","family":"Pace-Schott","given":"Edward F.","non-dropping-particle":"","parse-names":false,"suffix":""},{"dropping-particle":"","family":"Shepherd","given":"Elizabeth","non-dropping-particle":"","parse-names":false,"suffix":""},{"dropping-particle":"","family":"Spencer","given":"Rebecca M C","non-dropping-particle":"","parse-names":false,"suffix":""},{"dropping-particle":"","family":"Marcello","given":"Matthew","non-dropping-particle":"","parse-names":false,"suffix":""},{"dropping-particle":"","family":"Tucker","given":"Matthew","non-dropping-particle":"","parse-names":false,"suffix":""},{"dropping-particle":"","family":"Propper","given":"Ruth E.","non-dropping-particle":"","parse-names":false,"suffix":""},{"dropping-particle":"","family":"Stickgold","given":"Robert","non-dropping-particle":"","parse-names":false,"suffix":""}],"container-title":"Neurobiology of Learning and Memory","id":"ITEM-1","issue":"1","issued":{"date-parts":[["2011","1"]]},"language":"eng","page":"24-36","publisher-place":"United States","title":"Napping promotes inter-session habituation to emotional stimuli.","type":"article-journal","volume":"95"}},{"id":"ITEM-2","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Neuroscience","id":"ITEM-2","issue":"3","issued":{"date-parts":[["2012"]]},"page":"1035-42","title":"Processing of emotional reactivity and emotional memory over sleep.","type":"article-journal","volume":"32"}},{"id":"ITEM-3","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Aging","id":"ITEM-3","issued":{"date-parts":[["2016"]]},"title":"Emotional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et al., 2012; Jones et al., 2016; Pace-Schott et al., 2011)</w:t>
      </w:r>
      <w:r w:rsidRPr="00C421E4">
        <w:rPr>
          <w:rFonts w:ascii="Times" w:hAnsi="Times"/>
        </w:rPr>
        <w:fldChar w:fldCharType="end"/>
      </w:r>
      <w:r w:rsidRPr="00C421E4">
        <w:rPr>
          <w:rFonts w:ascii="Times" w:hAnsi="Times"/>
        </w:rPr>
        <w:t xml:space="preserve">. We predicted emotional sleep-dependent memory consolidation would be reduced in a chronic, mild TBI population. Additionally, given the reduction in REM sleep following a mild TBI </w:t>
      </w:r>
      <w:r w:rsidRPr="00C421E4">
        <w:rPr>
          <w:rFonts w:ascii="Times" w:hAnsi="Times"/>
        </w:rPr>
        <w:fldChar w:fldCharType="begin" w:fldLock="1"/>
      </w:r>
      <w:r w:rsidRPr="00C421E4">
        <w:rPr>
          <w:rFonts w:ascii="Times" w:hAnsi="Times"/>
        </w:rPr>
        <w:instrText xml:space="preserve"> ADDIN ZOTERO_ITEM CSL_CITATION {"citationID":"cOFqX2z9","properties":{"formattedCitation":"(Grima et al., 2016)","plainCitation":"(Grima et al., 2016)"},"citationItems":[{"id":"ITEM-1","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Medicine","id":"ITEM-1","issue":"3","issued":{"date-parts":[["2016"]]},"page":"419-428","title":"Sleep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et al., 2016)</w:t>
      </w:r>
      <w:r w:rsidRPr="00C421E4">
        <w:rPr>
          <w:rFonts w:ascii="Times" w:hAnsi="Times"/>
        </w:rPr>
        <w:fldChar w:fldCharType="end"/>
      </w:r>
      <w:r w:rsidRPr="00C421E4">
        <w:rPr>
          <w:rFonts w:ascii="Times" w:hAnsi="Times"/>
        </w:rPr>
        <w:t xml:space="preserve">, the second study aim was to assess whether sleep-dependent emotion generation is intact in a mild TBI population. We hypothesized that sleep’s preservation of emotionality might be disrupted in individuals with chronic TBI as well. </w:t>
      </w:r>
    </w:p>
    <w:p w14:paraId="467F0E48" w14:textId="77777777" w:rsidR="00F7044C" w:rsidRPr="00C421E4" w:rsidRDefault="00F7044C" w:rsidP="00F7044C">
      <w:pPr>
        <w:spacing w:line="480" w:lineRule="auto"/>
        <w:rPr>
          <w:rFonts w:ascii="Times" w:hAnsi="Times"/>
          <w:b/>
        </w:rPr>
      </w:pPr>
    </w:p>
    <w:p w14:paraId="1353BD72" w14:textId="77777777" w:rsidR="00F7044C" w:rsidRPr="00C421E4" w:rsidRDefault="00F7044C" w:rsidP="00F7044C">
      <w:pPr>
        <w:spacing w:line="480" w:lineRule="auto"/>
        <w:rPr>
          <w:rFonts w:ascii="Times" w:hAnsi="Times"/>
          <w:b/>
        </w:rPr>
      </w:pPr>
    </w:p>
    <w:p w14:paraId="0E97775D" w14:textId="77777777" w:rsidR="00F7044C" w:rsidRPr="003E6BDA" w:rsidRDefault="00F7044C" w:rsidP="00F7044C">
      <w:pPr>
        <w:spacing w:line="480" w:lineRule="auto"/>
        <w:jc w:val="center"/>
        <w:outlineLvl w:val="0"/>
        <w:rPr>
          <w:rFonts w:ascii="Times" w:hAnsi="Times"/>
          <w:b/>
          <w:u w:val="single"/>
        </w:rPr>
      </w:pPr>
      <w:r w:rsidRPr="003E6BDA">
        <w:rPr>
          <w:rFonts w:ascii="Times" w:hAnsi="Times"/>
          <w:b/>
          <w:u w:val="single"/>
        </w:rPr>
        <w:t>B. Methods</w:t>
      </w:r>
    </w:p>
    <w:p w14:paraId="63CAE00F" w14:textId="77777777" w:rsidR="00F7044C" w:rsidRPr="003E6BDA" w:rsidRDefault="00F7044C" w:rsidP="00F7044C">
      <w:pPr>
        <w:spacing w:line="480" w:lineRule="auto"/>
        <w:contextualSpacing/>
        <w:jc w:val="center"/>
        <w:outlineLvl w:val="0"/>
        <w:rPr>
          <w:rFonts w:ascii="Times" w:hAnsi="Times"/>
          <w:b/>
        </w:rPr>
      </w:pPr>
      <w:r>
        <w:rPr>
          <w:rFonts w:ascii="Times" w:hAnsi="Times"/>
          <w:b/>
        </w:rPr>
        <w:t xml:space="preserve">1. </w:t>
      </w:r>
      <w:r w:rsidRPr="003E6BDA">
        <w:rPr>
          <w:rFonts w:ascii="Times" w:hAnsi="Times"/>
          <w:b/>
        </w:rPr>
        <w:t>Participants</w:t>
      </w:r>
    </w:p>
    <w:p w14:paraId="79027EE8" w14:textId="77777777" w:rsidR="00F7044C" w:rsidRPr="00C421E4" w:rsidRDefault="00F7044C" w:rsidP="00F7044C">
      <w:pPr>
        <w:spacing w:line="480" w:lineRule="auto"/>
        <w:contextualSpacing/>
        <w:rPr>
          <w:rFonts w:ascii="Times" w:hAnsi="Times"/>
        </w:rPr>
      </w:pPr>
    </w:p>
    <w:p w14:paraId="6FCB73DA" w14:textId="77777777" w:rsidR="00F7044C" w:rsidRPr="00C421E4" w:rsidRDefault="00F7044C" w:rsidP="00F7044C">
      <w:pPr>
        <w:spacing w:line="480" w:lineRule="auto"/>
        <w:contextualSpacing/>
        <w:rPr>
          <w:rFonts w:ascii="Times" w:hAnsi="Times"/>
        </w:rPr>
      </w:pPr>
      <w:r w:rsidRPr="00C421E4">
        <w:rPr>
          <w:rFonts w:ascii="Times" w:hAnsi="Times"/>
        </w:rPr>
        <w:lastRenderedPageBreak/>
        <w:t>Eighty-one individuals (59 female, 22 male) between 18 and 30 years (20.01±1.34) participated in the experiment. Participants had normal or corrected-to-normal vision and no history of neurological disease, sleep disorders, psychological disorders, or use of medications known to affect sleep or cognitive functioning (this information was self-reported). All participants were compensated with payment or course credit. Experimental procedures were approved by the University of Massachusetts, Amherst Institutional Review Board, and written informed consent was obtained. Procedures are in accordance with the Declaration of Helsinki.</w:t>
      </w:r>
    </w:p>
    <w:p w14:paraId="6B286FD9" w14:textId="77777777" w:rsidR="00F7044C" w:rsidRPr="00C421E4" w:rsidRDefault="00F7044C" w:rsidP="00F7044C">
      <w:pPr>
        <w:spacing w:line="480" w:lineRule="auto"/>
        <w:contextualSpacing/>
        <w:rPr>
          <w:rFonts w:ascii="Times" w:hAnsi="Times"/>
        </w:rPr>
      </w:pPr>
    </w:p>
    <w:p w14:paraId="0957C934" w14:textId="77777777" w:rsidR="00F7044C" w:rsidRPr="00C421E4" w:rsidRDefault="00F7044C" w:rsidP="00F7044C">
      <w:pPr>
        <w:spacing w:line="480" w:lineRule="auto"/>
        <w:contextualSpacing/>
        <w:rPr>
          <w:rFonts w:ascii="Times" w:hAnsi="Times"/>
        </w:rPr>
      </w:pPr>
      <w:r w:rsidRPr="00C421E4">
        <w:rPr>
          <w:rFonts w:ascii="Times" w:hAnsi="Times"/>
        </w:rPr>
        <w:t xml:space="preserve">Participants were assigned to a TBI or non-TBI group. Inclusion criteria for the TBI group included a history of a concussion &gt;1 yr prior to testing. Time since injury ranged from 1-10 years, with 64.1% of the sample having had a concussion within 1-3 years. Sixty-six percent of the participants had 1 concussion, 19.3% had a history of 2 concussions, 5.3% had 3 concussions, and 10.4% had 4 concussions. Concussion and symptom diagnosis were self-reported, as in our previous work </w:t>
      </w:r>
      <w:r w:rsidRPr="00C421E4">
        <w:rPr>
          <w:rFonts w:ascii="Times" w:hAnsi="Times"/>
        </w:rPr>
        <w:fldChar w:fldCharType="begin" w:fldLock="1"/>
      </w:r>
      <w:r w:rsidRPr="00C421E4">
        <w:rPr>
          <w:rFonts w:ascii="Times" w:hAnsi="Times"/>
        </w:rPr>
        <w:instrText xml:space="preserve"> ADDIN ZOTERO_ITEM CSL_CITATION {"citationID":"i8UVE1D6","properties":{"formattedCitation":"(J Mantua et al., 2015)","plainCitation":"(J Mantua et al., 2015)"},"citationItems":[{"id":"ITEM-1","uris":["http://www.mendeley.com/documents/?uuid=8969fe10-9cbb-4517-bdee-d912820f9f4e"],"uri":["http://www.mendeley.com/documents/?uuid=8969fe10-9cbb-4517-bdee-d912820f9f4e"],"itemData":{"DOI":"10.3389/fnhum.2015.00379","ISBN":"0006-8950","ISSN":"1662-5161","abstract":"Individuals with a history of traumatic brain injury (TBI) often report sleep disturbances, which may be caused by changes in sleep architecture or reduced sleep quality (greater time awake after sleep onset, poorer sleep efficiency, and sleep stage proportion alterations). Sleep is beneficial for memory formation, and herein we examine whether altered sleep physiology following TBI has deleterious effects on sleep-dependent declarative memory consolidation. Participants learned a list of word pairs in the morning or evening, and recall was assessed 12-h later, following an interval awake or with overnight sleep. Young adult participants (18-22 years) were assigned to one of four experimental groups: TBI Sleep (n = 14), TBI Wake (n = 12), non-TBI Sleep (n = 15), non-TBI Wake (n = 15). Each TBI participant was &gt;1 year post-injury. Sleep physiology was measured with polysomnography. Memory consolidation was assessed by comparing change in word-pair recall over 12-h intersession intervals. The TBI group spent a significantly greater proportion of the night in SWS than the non-TBI group at the expense of NREM1. The TBI group also had marginally lower EEG delta power during SWS in the central region. Intersession changes in recall were greater for intervals with sleep than without sleep in both groups. However, despite abnormal sleep stage proportions for individuals with a TBI history, there was no difference in the intersession change in recall following sleep for the TBI and non-TBI groups. In both Sleep groups combined, there was a positive correlation between Intersession Change and the proportion of the night in NREM2 + SWS. Overall, sleep composition is altered following TBI but such deficits do not yield insufficiencies in sleep-dependent memory consolidation. © 2015 Mantua, Mahan, Henry and Spencer.","author":[{"dropping-particle":"","family":"Mantua","given":"J","non-dropping-particle":"","parse-names":false,"suffix":""},{"dropping-particle":"","family":"Mahan","given":"KM","non-dropping-particle":"","parse-names":false,"suffix":""},{"dropping-particle":"","family":"Henry","given":"OS","non-dropping-particle":"","parse-names":false,"suffix":""},{"dropping-particle":"","family":"Spencer","given":"Rebecca M. C.","non-dropping-particle":"","parse-names":false,"suffix":""}],"container-title":"Frontiers in human neuroscience","id":"ITEM-1","issue":"328","issued":{"date-parts":[["2015"]]},"page":"00379","title":"Altered sleep composition after traumatic brain injury does not affect declarative sleep-dependent memory consolidation","type":"article-journal","volume":"9"}}],"schema":"https://github.com/citation-style-language/schema/raw/master/csl-citation.json"} </w:instrText>
      </w:r>
      <w:r w:rsidRPr="00C421E4">
        <w:rPr>
          <w:rFonts w:ascii="Times" w:hAnsi="Times"/>
        </w:rPr>
        <w:fldChar w:fldCharType="separate"/>
      </w:r>
      <w:r w:rsidRPr="00C421E4">
        <w:rPr>
          <w:rFonts w:ascii="Times" w:hAnsi="Times"/>
          <w:noProof/>
        </w:rPr>
        <w:t>(Mantua et al., 2015)</w:t>
      </w:r>
      <w:r w:rsidRPr="00C421E4">
        <w:rPr>
          <w:rFonts w:ascii="Times" w:hAnsi="Times"/>
        </w:rPr>
        <w:fldChar w:fldCharType="end"/>
      </w:r>
      <w:r w:rsidRPr="00C421E4">
        <w:rPr>
          <w:rFonts w:ascii="Times" w:hAnsi="Times"/>
        </w:rPr>
        <w:t xml:space="preserve">. In the past, self-reported mild TBI has been linked with cognitive, neuropsychological, and physical impairments </w:t>
      </w:r>
      <w:r w:rsidRPr="00C421E4">
        <w:rPr>
          <w:rFonts w:ascii="Times" w:hAnsi="Times"/>
        </w:rPr>
        <w:fldChar w:fldCharType="begin" w:fldLock="1"/>
      </w:r>
      <w:r w:rsidRPr="00C421E4">
        <w:rPr>
          <w:rFonts w:ascii="Times" w:hAnsi="Times"/>
        </w:rPr>
        <w:instrText xml:space="preserve"> ADDIN ZOTERO_ITEM CSL_CITATION {"citationID":"SPiKA6p6","properties":{"formattedCitation":"(Baker &amp; Good, 2014a; Bernstein, 2002a; Kerr, Marshall, Harding, &amp; Guskiewicz, 2012; van Noordt &amp; Good, 2011a; Vanderploeg et al., 2007)","plainCitation":"(Baker &amp; Good, 2014a; Bernstein, 2002a; Kerr, Marshall, Harding, &amp; Guskiewicz, 2012; van Noordt &amp; Good, 2011a; Vanderploeg et al., 2007)"},"citationItems":[{"id":"ITEM-1","uris":["http://www.mendeley.com/documents/?uuid=21066ddb-1706-42a8-8ec2-844bb2c5e641"],"uri":["http://www.mendeley.com/documents/?uuid=21066ddb-1706-42a8-8ec2-844bb2c5e641"],"itemData":{"DOI":"10.3109/02699052.2011.580312","ISBN":"02699052 (ISSN)","ISSN":"1362-301X","PMID":"21619460","abstract":"SUMMARY: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author":[{"dropping-particle":"","family":"Noordt","given":"Stefon","non-dropping-particle":"van","parse-names":false,"suffix":""},{"dropping-particle":"","family":"Good","given":"Dawn","non-dropping-particle":"","parse-names":false,"suffix":""}],"container-title":"Brain injury","id":"ITEM-1","issue":"7-8","issued":{"date-parts":[["2011"]]},"page":"707-16","title":"Mild head injury and sympathetic arousal: investigating relationships with decision-making and neuropsychological performance in university students.","type":"article-journal","volume":"25"}},{"id":"ITEM-2","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[BI]","id":"ITEM-2","issue":"1","issued":{"date-parts":[["2014"]]},"page":"51-65","title":"Physiological emotional under-arousal in individuals with mild head injury.","type":"article-journal","volume":"28"}},{"id":"ITEM-3","uris":["http://www.mendeley.com/documents/?uuid=da6bc920-113f-4cb4-8cce-6ae195f9cfe1"],"uri":["http://www.mendeley.com/documents/?uuid=da6bc920-113f-4cb4-8cce-6ae195f9cfe1"],"itemData":{"DOI":"10.1017/S1355617702801400","ISBN":"13556177 (ISSN)","ISSN":"1355-6177","PMID":"12164676","abstract":"Recovery of cognitive function after mild head injury (MHI) is thought to be relatively swift and complete. The present study replicates and extends previous work in which university students with self-reported concussion demonstrated reduced P300 amplitude on a set of easy and difficult attention tasks, in addition to performing more poorly than controls on demanding cognitive tasks many years after injury. In the present study, 13 students with self-reported concussion (MHI group: M time since injury = 8 years) and 10 controls were matched for age, sex, education, and a variety of cognitive, physical and emotional complaints. Controls outperformed the MHI group on the Digit Symbol substitution task and on a difficult dual task involving tone discrimination and visual working memory. Additionally, controls exhibited larger P300 amplitudes on both an easy and a difficult auditory discrimination task. A combination of electrophysiological, neuropsychological and self-report indices predicted group membership (MHI vs. control) with 88% accuracy. The present results, coupled with previous work, offer preliminary evidence that the combination of event-related potentials and demanding behavioral measures might reveal long-lasting, subtle cognitive problems associated with MHI. These findings may challenge existing notions of complete recovery after MHI.","author":[{"dropping-particle":"","family":"Bernstein","given":"Daniel M","non-dropping-particle":"","parse-names":false,"suffix":""}],"container-title":"Journal of the International Neuropsychological Society : JINS","id":"ITEM-3","issue":"5","issued":{"date-parts":[["2002"]]},"page":"673-682","title":"Information processing difficulty long after self-reported concussion.","type":"article-journal","volume":"8"}},{"id":"ITEM-4","uris":["http://www.mendeley.com/documents/?uuid=e2368a35-e807-4d04-aff5-b68d312cd10a"],"uri":["http://www.mendeley.com/documents/?uuid=e2368a35-e807-4d04-aff5-b68d312cd10a"],"itemData":{"DOI":"10.1080/13803390600826587","ISBN":"1380-3395","ISSN":"1380-3395","PMID":"17691031","abstract":"The objective of this study was to examine the prevalence of long-term psychiatric, neurologic, and psychosocial morbidities of self-reported mild traumatic brain injury (MTBI). A cross-sectional cohort sample of three groups was examined: those who had not been injured in a motor vehicle accident nor had a MTBI (n = 3,214); those who had been injured in an accident but did not have a MTBI (n = 539); and those who had a MTBI with altered consciousness (n = 254). Logistic regression analyses were used to model odds ratios for the association between group and outcome variables while controlling demographic characteristics, comorbid medical conditions, and early-life psychiatric problems. Compared with uninjured controls, MTBI increased the likelihood of depression and postconcussion syndrome. MTBI also was associated with peripheral visual imperceptions and impaired tandem gait. Similarly, the MTBI group had poorer psychosocial outcomes including an increased likelihood of self-reported disability, underemployment, low income, and marital problems. Results suggest that MTBI can have adverse long-term psychiatric, neurologic, and psychosocial morbidities.","author":[{"dropping-particle":"","family":"Vanderploeg","given":"Rodney D","non-dropping-particle":"","parse-names":false,"suffix":""},{"dropping-particle":"","family":"Curtiss","given":"Glenn","non-dropping-particle":"","parse-names":false,"suffix":""},{"dropping-particle":"","family":"Luis","given":"Cheryl a","non-dropping-particle":"","parse-names":false,"suffix":""},{"dropping-particle":"","family":"Salazar","given":"Andres M","non-dropping-particle":"","parse-names":false,"suffix":""}],"container-title":"Journal of clinical and experimental neuropsychology","id":"ITEM-4","issue":"6","issued":{"date-parts":[["2007"]]},"page":"585-98","title":"Long-term morbidities following self-reported mild traumatic brain injury.","type":"article-journal","volume":"29"}},{"id":"ITEM-5","uris":["http://www.mendeley.com/documents/?uuid=d4b5ed3a-5e62-44b6-9196-905a4e3d66ca"],"uri":["http://www.mendeley.com/documents/?uuid=d4b5ed3a-5e62-44b6-9196-905a4e3d66ca"],"itemData":{"DOI":"10.1177/0363546512456193","ISBN":"1552-3365 (Electronic)\\r0363-5465 (Linking)","ISSN":"0363-5465","PMID":"22922518","abstract":"BACKGROUND: Concussions may accelerate the progression to long-term mental health outcomes such as depression in athletes.\\n\\nPURPOSE: To prospectively determine the effects of recurrent concussions on the clinical diagnosis of depression in a group of retired football players.\\n\\nSTUDY DESIGN: Cohort study; Level of evidence, 2.\\n\\nMETHODS: Members of the National Football League Retired Players Association responded to a baseline General Health Survey (GHS) in 2001. They also completed a follow-up survey in 2010. Both surveys asked about demographic information, number of concussions sustained during their professional football career, physical/mental health, and prevalence of diagnosed medical conditions. A physical component summary (Short Form 36 Measurement Model for Functional Assessment of Health and Well-Being [SF-36 PCS]) was calculated from responses for physical health. The main exposure, the history of concussions during the professional playing career (self-report recalled in 2010), was stratified into 5 categories: 0 (referent), 1 to 2, 3 to 4, 5 to 9, and 10+ concussions. The main outcome was a clinical diagnosis of depression between the baseline and follow-up GHS. Classic tabular methods computed crude risk ratios. Binomial regression with a Poisson residual and robust variance estimation to stabilize the fitting algorithm estimated adjusted risk ratios. </w:instrText>
      </w:r>
      <w:r w:rsidRPr="00C421E4">
        <w:rPr>
          <w:rFonts w:ascii="Times" w:hAnsi="Times" w:hint="eastAsia"/>
        </w:rPr>
        <w:instrText>χ</w:instrText>
      </w:r>
      <w:r w:rsidRPr="00C421E4">
        <w:rPr>
          <w:rFonts w:ascii="Times" w:hAnsi="Times"/>
        </w:rPr>
        <w:instrText xml:space="preserve">(2) analyses identified associations and trends between concussion history and the 9-year risk of a depression diagnosis.\\n\\nRESULTS: Of the 1044 respondents with complete data from the baseline and follow-up GHS, 106 (10.2%) reported being clinically diagnosed as depressed between the baseline and follow-up GHS. Approximately 65% of all respondents self-reported sustaining at least 1 concussion during their professional careers. The 9-year risk of a depression diagnosis increased with an increasing number of self-reported concussions, ranging from 3.0% in the \"no concussions\" group to 26.8% in the \"10+\" group (linear trend: P &lt; .001). A strong dose-response relationship was observed even after controlling for confounders (years retired from professional football and 2001 SF-36 PCS). Retired athletes with a depression diagnosis also had a lower SF-36 PCS before diagnosis. The association between concussions and depression was independent of the relationship between decreased physical health and depression.\\n\\nCONCLUSION: Professional football players self-reporting concussions are at …","author":[{"dropping-particle":"","family":"Kerr","given":"Z. Y.","non-dropping-particle":"","parse-names":false,"suffix":""},{"dropping-particle":"","family":"Marshall","given":"S. W.","non-dropping-particle":"","parse-names":false,"suffix":""},{"dropping-particle":"","family":"Harding","given":"H. P.","non-dropping-particle":"","parse-names":false,"suffix":""},{"dropping-particle":"","family":"Guskiewicz","given":"K. M.","non-dropping-particle":"","parse-names":false,"suffix":""}],"container-title":"The American Journal of Sports Medicine","id":"ITEM-5","issue":"10","issued":{"date-parts":[["2012"]]},"page":"2206-2212","title":"Nine-Year Risk of Depression Diagnosis Increases With Increasing Self-Reported Concussions in Retired Professional Football Players","type":"article-journal","volume":"40"}}],"schema":"https://github.com/citation-style-language/schema/raw/master/csl-citation.json"} </w:instrText>
      </w:r>
      <w:r w:rsidRPr="00C421E4">
        <w:rPr>
          <w:rFonts w:ascii="Times" w:hAnsi="Times"/>
        </w:rPr>
        <w:fldChar w:fldCharType="separate"/>
      </w:r>
      <w:r w:rsidRPr="00C421E4">
        <w:rPr>
          <w:rFonts w:ascii="Times" w:hAnsi="Times"/>
          <w:noProof/>
        </w:rPr>
        <w:t>(Baker &amp; Good, 2014; Bernstein, 2002; Kerr, Marshall, Harding, &amp; Guskiewicz, 2012; van Noordt &amp; Good, 2011; Vanderploeg et al., 2007)</w:t>
      </w:r>
      <w:r w:rsidRPr="00C421E4">
        <w:rPr>
          <w:rFonts w:ascii="Times" w:hAnsi="Times"/>
        </w:rPr>
        <w:fldChar w:fldCharType="end"/>
      </w:r>
      <w:r w:rsidRPr="00C421E4">
        <w:rPr>
          <w:rFonts w:ascii="Times" w:hAnsi="Times"/>
        </w:rPr>
        <w:t xml:space="preserve">. Therefore, we feel participants’ self-reports are a valid measure of having had a concussion. Participants in the non-TBI group were required to have never had a concussion. Individuals unsure of their concussion status were not eligible. The criteria of mild TBI states that (at the very least) an “alternation in brain functioning” (e.g., confusion, disorientation, loss of concentration) must occur following head injury </w:t>
      </w:r>
      <w:r w:rsidRPr="00C421E4">
        <w:rPr>
          <w:rFonts w:ascii="Times" w:hAnsi="Times"/>
        </w:rPr>
        <w:fldChar w:fldCharType="begin" w:fldLock="1"/>
      </w:r>
      <w:r w:rsidRPr="00C421E4">
        <w:rPr>
          <w:rFonts w:ascii="Times" w:hAnsi="Times"/>
        </w:rPr>
        <w:instrText xml:space="preserve"> ADDIN ZOTERO_ITEM CSL_CITATION {"citationID":"LdMsSeXs","properties":{"formattedCitation":"(Menon, Schwab, Wright, &amp; Maas, 2010)","plainCitation":"(Menon, Schwab, Wright, &amp; Maas, 2010)"},"citationItems":[{"id":"ITEM-1","uris":["http://www.mendeley.com/documents/?uuid=0a63b05e-2594-458e-bca8-74fa2e7ddeed"],"uri":["http://www.mendeley.com/documents/?uuid=0a63b05e-2594-458e-bca8-74fa2e7ddeed"],"itemData":{"DOI":"10.1016/j.apmr.2010.05.017","ISBN":"0003-9993","ISSN":"00039993","PMID":"21044706","abstract":"A clear, concise definition of traumatic brain injury (TBI) is fundamental for reporting, comparison, and interpretation of studies on TBI. Changing epidemiologic patterns, an increasing recognition of significance of mild TBI, and a better understanding of the subtler neurocognitive neuroaffective deficits that may result from these injuries make this need even more critical. The Demographics and Clinical Assessment Working Group of the International and Interagency Initiative toward Common Data Elements for Research on Traumatic Brain Injury and Psychological Health has therefore formed an expert group that proposes the following definition: TBI is defined as an alteration in brain function, or other evidence of brain pathology, caused by an external force. In this article, we discuss criteria for considering or establishing a diagnosis of TBI, with a particular focus on the problems how a diagnosis of TBI can be made when patients present late after injury and how mild TBI may be differentiated from non-TBI causes with similar symptoms. Technologic advances in magnetic resonance imaging and the development of biomarkers offer potential for improving diagnostic accuracy in these situations. ?? 2010 American Congress of Rehabilitation Medicine.","author":[{"dropping-particle":"","family":"Menon","given":"David K.","non-dropping-particle":"","parse-names":false,"suffix":""},{"dropping-particle":"","family":"Schwab","given":"Karen","non-dropping-particle":"","parse-names":false,"suffix":""},{"dropping-particle":"","family":"Wright","given":"David W.","non-dropping-particle":"","parse-names":false,"suffix":""},{"dropping-particle":"","family":"Maas","given":"Andrew I.","non-dropping-particle":"","parse-names":false,"suffix":""}],"container-title":"Archives of Physical Medicine and Rehabilitation","id":"ITEM-1","issue":"11","issued":{"date-parts":[["2010"]]},"page":"1637-1640","title":"Position statement: Definition of traumatic brain injury","type":"article","volume":"91"}}],"schema":"https://github.com/citation-style-language/schema/raw/master/csl-citation.json"} </w:instrText>
      </w:r>
      <w:r w:rsidRPr="00C421E4">
        <w:rPr>
          <w:rFonts w:ascii="Times" w:hAnsi="Times"/>
        </w:rPr>
        <w:fldChar w:fldCharType="separate"/>
      </w:r>
      <w:r w:rsidRPr="00C421E4">
        <w:rPr>
          <w:rFonts w:ascii="Times" w:hAnsi="Times"/>
          <w:noProof/>
        </w:rPr>
        <w:t xml:space="preserve">(Menon, Schwab, Wright, &amp; Maas, </w:t>
      </w:r>
      <w:r w:rsidRPr="00C421E4">
        <w:rPr>
          <w:rFonts w:ascii="Times" w:hAnsi="Times"/>
          <w:noProof/>
        </w:rPr>
        <w:lastRenderedPageBreak/>
        <w:t>2010)</w:t>
      </w:r>
      <w:r w:rsidRPr="00C421E4">
        <w:rPr>
          <w:rFonts w:ascii="Times" w:hAnsi="Times"/>
        </w:rPr>
        <w:fldChar w:fldCharType="end"/>
      </w:r>
      <w:r w:rsidRPr="00C421E4">
        <w:rPr>
          <w:rFonts w:ascii="Times" w:hAnsi="Times"/>
        </w:rPr>
        <w:t xml:space="preserve">. Given this, we only included participants with at least 1 symptom of altered brain functioning. We did not count the presence of a headache as altered brain functioning, as a headache can also come from external pain (e.g., superficial injury). Given that participants were not aware of the hypotheses of the study, the sample comprised individuals with a range of symptoms following mild TBI (i.e., the sample was not only comprised of individuals with cognitive or sleep complaints). However, the aim of this study was to investigate individuals with chronic, mild TBI, who are often “high functioning” (i.e., those who may have little to no ongoing consequences of TBI), and, consequently, our sample comprises individuals on the very mild end of the TBI spectrum. </w:t>
      </w:r>
    </w:p>
    <w:p w14:paraId="07CE7CA0" w14:textId="77777777" w:rsidR="00F7044C" w:rsidRPr="00C421E4" w:rsidRDefault="00F7044C" w:rsidP="00F7044C">
      <w:pPr>
        <w:spacing w:line="480" w:lineRule="auto"/>
        <w:contextualSpacing/>
        <w:rPr>
          <w:rFonts w:ascii="Times" w:hAnsi="Times"/>
        </w:rPr>
      </w:pPr>
    </w:p>
    <w:p w14:paraId="178FCA76" w14:textId="77777777" w:rsidR="00F7044C" w:rsidRPr="00C421E4" w:rsidRDefault="00F7044C" w:rsidP="00F7044C">
      <w:pPr>
        <w:spacing w:line="480" w:lineRule="auto"/>
        <w:contextualSpacing/>
        <w:rPr>
          <w:rFonts w:ascii="Times" w:hAnsi="Times"/>
        </w:rPr>
      </w:pPr>
      <w:r w:rsidRPr="00C421E4">
        <w:rPr>
          <w:rFonts w:ascii="Times" w:hAnsi="Times"/>
        </w:rPr>
        <w:t>Participants in each group were further divided into either the Sleep or Wake condition. These conditions differed only in the timing of the performed behavioral tasks (described below).</w:t>
      </w:r>
    </w:p>
    <w:p w14:paraId="0256DD86" w14:textId="77777777" w:rsidR="00F7044C" w:rsidRPr="00C421E4" w:rsidRDefault="00F7044C" w:rsidP="00F7044C">
      <w:pPr>
        <w:spacing w:line="480" w:lineRule="auto"/>
        <w:contextualSpacing/>
        <w:rPr>
          <w:rFonts w:ascii="Times" w:hAnsi="Times"/>
        </w:rPr>
      </w:pPr>
      <w:r w:rsidRPr="00C421E4">
        <w:rPr>
          <w:rFonts w:ascii="Times" w:hAnsi="Times"/>
          <w:i/>
        </w:rPr>
        <w:tab/>
      </w:r>
    </w:p>
    <w:p w14:paraId="597D0A30" w14:textId="77777777" w:rsidR="00F7044C" w:rsidRPr="00F649AD"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2. </w:t>
      </w:r>
      <w:r w:rsidRPr="00F649AD">
        <w:rPr>
          <w:rFonts w:ascii="Times" w:hAnsi="Times"/>
          <w:b/>
        </w:rPr>
        <w:t>Materials</w:t>
      </w:r>
    </w:p>
    <w:p w14:paraId="2CFCA93C"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Ninety emotionally negative and 90 emotionally neutral pictures were used. The majority of stimuli were obtained from the International Affective Picture System (IAPS; </w:t>
      </w:r>
      <w:r w:rsidRPr="00C421E4">
        <w:rPr>
          <w:rFonts w:ascii="Times" w:hAnsi="Times"/>
        </w:rPr>
        <w:fldChar w:fldCharType="begin" w:fldLock="1"/>
      </w:r>
      <w:r w:rsidRPr="00C421E4">
        <w:rPr>
          <w:rFonts w:ascii="Times" w:hAnsi="Times"/>
        </w:rPr>
        <w:instrText xml:space="preserve"> ADDIN ZOTERO_ITEM CSL_CITATION {"citationID":"R0BK2Xuq","properties":{"formattedCitation":"(P J Lang, Bradley, &amp; Cuthbert, 1997)","plainCitation":"(P J Lang, Bradley, &amp; Cuthbert, 1997)"},"citationItems":[{"id":"ITEM-1","uris":["http://www.mendeley.com/documents/?uuid=14ae1ce6-6003-4b96-936c-7e164728b5f0"],"uri":["http://www.mendeley.com/documents/?uuid=14ae1ce6-6003-4b96-936c-7e164728b5f0"],"itemData":{"DOI":"10.1016/j.epsr.2006.03.016","ISBN":"Technical Report A-5","ISSN":"07317085","PMID":"8625375","abstract":"A simple and rapid liquid chromatographic assay for the evaluation of potentially counterfeit oseltamivir (Tamiflu has been developed and assessed. The assay uses approximately 1mg Tamiflu powder when used for authentication and content estimate. The procedure was validated using 50 replicates analysed during five independent series with a total R.S.D. of 11.2%. The assay can also be used to monitor the exact content of oseltamivir in Tamiflu capsules. One Tamiflu capsule was transferred to a 250mL volumetric flask and 150mL water was added. The flask was placed in an ultrasonic bath at 40 degrees C for 20min to dissolve the capsule. The solution was allowed to cool to room temperature before the flask was filled up to the mark (250mL). A small aliquot was centrifuged and then directly injected into the LC-system for quantification. Oseltamivir was analysed by liquid chromatography with UV detection on a Hypersil Gold column (150mmx4.6mm) using a mobile phase containing methanol-phosphate buffer (pH 2.5; 0.1M) (50:50, v/v) at a flow rate of 1.0mL/min. The assay was implemented for the analysis of Tamiflu purchased over the Internet and at local pharmacies in Thailand and Vietnam.","author":[{"dropping-particle":"","family":"Lang","given":"P J","non-dropping-particle":"","parse-names":false,"suffix":""},{"dropping-particle":"","family":"Bradley","given":"Margaret M","non-dropping-particle":"","parse-names":false,"suffix":""},{"dropping-particle":"","family":"Cuthbert","given":"B N","non-dropping-particle":"","parse-names":false,"suffix":""}],"container-title":"Psychology","id":"ITEM-1","issue":"4","issued":{"date-parts":[["1997"]]},"number-of-pages":"1-5","title":"International Affective Picture System (IAPS): Technical Manual and Affective Ratings","type":"book","volume":"77"}}],"schema":"https://github.com/citation-style-language/schema/raw/master/csl-citation.json"} </w:instrText>
      </w:r>
      <w:r w:rsidRPr="00C421E4">
        <w:rPr>
          <w:rFonts w:ascii="Times" w:hAnsi="Times"/>
        </w:rPr>
        <w:fldChar w:fldCharType="separate"/>
      </w:r>
      <w:r w:rsidRPr="00C421E4">
        <w:rPr>
          <w:rFonts w:ascii="Times" w:hAnsi="Times"/>
          <w:noProof/>
        </w:rPr>
        <w:t>Lang, Bradley, &amp; Cuthbert, 1997)</w:t>
      </w:r>
      <w:r w:rsidRPr="00C421E4">
        <w:rPr>
          <w:rFonts w:ascii="Times" w:hAnsi="Times"/>
        </w:rPr>
        <w:fldChar w:fldCharType="end"/>
      </w:r>
      <w:r w:rsidRPr="00C421E4">
        <w:rPr>
          <w:rFonts w:ascii="Times" w:hAnsi="Times"/>
        </w:rPr>
        <w:t xml:space="preserve"> The rest were from an in-house set, chosen to match the IAPS pictures in content and emotionality </w:t>
      </w:r>
      <w:r w:rsidRPr="00C421E4">
        <w:rPr>
          <w:rFonts w:ascii="Times" w:hAnsi="Times"/>
        </w:rPr>
        <w:fldChar w:fldCharType="begin" w:fldLock="1"/>
      </w:r>
      <w:r w:rsidRPr="00C421E4">
        <w:rPr>
          <w:rFonts w:ascii="Times" w:hAnsi="Times"/>
        </w:rPr>
        <w:instrText xml:space="preserve"> ADDIN ZOTERO_ITEM CSL_CITATION {"citationID":"39FrhayE","properties":{"formattedCitation":"(Jones et al., 2016; J. K. Wilson, Baran, Pace-Schott, Ivry, &amp; Spencer, 2012)","plainCitation":"(Jones et al., 2016; J. K. Wilson, Baran, Pace-Schott, Ivry, &amp; Spencer, 2012)"},"citationItems":[{"id":"ITEM-1","uris":["http://www.mendeley.com/documents/?uuid=425f2bc8-bce1-41c1-a07e-32887c66eacd"],"uri":["http://www.mendeley.com/documents/?uuid=425f2bc8-bce1-41c1-a07e-32887c66eacd"],"itemData":{"DOI":"10.1016/j.neurobiolaging.2011.06.029","ISBN":"1558-1497 (Electronic) 0197-4580 (Linking)","ISSN":"01974580","PMID":"22244090","abstract":"Sleep benefits memory across a range of tasks for young adults. However, remarkably little is known of the role of sleep on memory for healthy older adults. We used 2 tasks, 1 assaying motor skill learning and the other assaying nonmotor/declarative learning, to examine off-line changes in performance in young (20-34 years), middle-aged (35-50 years), and older (51-70 years) adults without disordered sleep. During an initial session, conducted either in the morning or evening, participants learned a motor sequence and a list of word pairs. Memory tests were given twice, 12 and 24 hours after training, allowing us to analyze off-line consolidation after a break that included sleep or normal wake. Sleep-dependent performance changes were reduced in older adults on the motor sequence learning task. In contrast, sleep-dependent performance changes were similar for all 3 age groups on the word pair learning task. Age-related changes in sleep or networks activated during encoding or during sleep may contribute to age-related declines in motor sequence consolidation. Interestingly, these changes do not affect declarative memory. ?? 2012 Elsevier Inc.","author":[{"dropping-particle":"","family":"Wilson","given":"Jessica K.","non-dropping-particle":"","parse-names":false,"suffix":""},{"dropping-particle":"","family":"Baran","given":"Bengi","non-dropping-particle":"","parse-names":false,"suffix":""},{"dropping-particle":"","family":"Pace-Schott","given":"Edward F.","non-dropping-particle":"","parse-names":false,"suffix":""},{"dropping-particle":"","family":"Ivry","given":"Richard B.","non-dropping-particle":"","parse-names":false,"suffix":""},{"dropping-particle":"","family":"Spencer","given":"Rebecca M C","non-dropping-particle":"","parse-names":false,"suffix":""}],"container-title":"Neurobiology of Aging","id":"ITEM-1","issued":{"date-parts":[["2012"]]},"page":"991-1000","title":"Sleep modulates word-pair learning but not motor sequence learning in healthy older adults","type":"article-journal","volume":"33"}},{"id":"ITEM-2","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Aging","id":"ITEM-2","issued":{"date-parts":[["2016"]]},"title":"Emotional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(Jones et al., 2016; Wilson, Baran, Pace-Schott, Ivry, &amp; Spencer, 2012)</w:t>
      </w:r>
      <w:r w:rsidRPr="00C421E4">
        <w:rPr>
          <w:rFonts w:ascii="Times" w:hAnsi="Times"/>
        </w:rPr>
        <w:fldChar w:fldCharType="end"/>
      </w:r>
      <w:r w:rsidRPr="00C421E4">
        <w:rPr>
          <w:rFonts w:ascii="Times" w:hAnsi="Times"/>
        </w:rPr>
        <w:t xml:space="preserve">. Normative data from our lab found negative pictures were moderate to high in arousal, and neutral pictures were low in arousal. </w:t>
      </w:r>
    </w:p>
    <w:p w14:paraId="73F52C7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i/>
        </w:rPr>
      </w:pPr>
      <w:r w:rsidRPr="00C421E4">
        <w:rPr>
          <w:rFonts w:ascii="Times" w:hAnsi="Times"/>
          <w:i/>
        </w:rPr>
        <w:tab/>
      </w:r>
    </w:p>
    <w:p w14:paraId="1FB726D3" w14:textId="77777777" w:rsidR="00F7044C" w:rsidRPr="00C002C1"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lastRenderedPageBreak/>
        <w:t xml:space="preserve">3. </w:t>
      </w:r>
      <w:r w:rsidRPr="00C002C1">
        <w:rPr>
          <w:rFonts w:ascii="Times" w:hAnsi="Times"/>
          <w:b/>
        </w:rPr>
        <w:t>Procedure</w:t>
      </w:r>
    </w:p>
    <w:p w14:paraId="5059279F"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This experiment had a between-subjects design with two conditions. Each condition consisted of two sessions. Participants in the “Sleep condition” had Session 1 (Encoding) in the evening (between 20:00 and 22:00) and Session 2 (Recognition) 12-hr later (in the morning). On the other hand, participants in the “Wake condition” had Session 1 in the morning (between 8:00 and 10:00) and Session 2 12-hr later (in the evening). Individuals in the Wake condition were asked not to nap or consume excessive amounts of caffeine between sessions. All participants were asked not to consume alcoholic beverages. </w:t>
      </w:r>
    </w:p>
    <w:p w14:paraId="0751D6BB"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69A780D9"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In the first session, participants provided written informed consent and completed a set of questionnaires including: (1) the Pittsburg Sleep Quality Index (PSQI</w:t>
      </w:r>
      <w:r w:rsidRPr="00C421E4">
        <w:rPr>
          <w:rFonts w:ascii="Times" w:hAnsi="Times"/>
        </w:rPr>
        <w:fldChar w:fldCharType="begin" w:fldLock="1"/>
      </w:r>
      <w:r w:rsidRPr="00C421E4">
        <w:rPr>
          <w:rFonts w:ascii="Times" w:hAnsi="Times"/>
        </w:rPr>
        <w:instrText xml:space="preserve"> ADDIN ZOTERO_ITEM CSL_CITATION {"citationID":"A6nAOn0z","properties":{"formattedCitation":"(Buysse, Reynolds, Monk, Berman, &amp; Kupfer, 1989)","plainCitation":"(Buysse, Reynolds, Monk, Berman, &amp; Kupfer, 1989)"},"citationItems":[{"id":"ITEM-1","uris":["http://www.mendeley.com/documents/?uuid=fbf8dd4f-3fe9-4ae2-8fb1-e779d73c283b"],"uri":["http://www.mendeley.com/documents/?uuid=fbf8dd4f-3fe9-4ae2-8fb1-e779d73c283b"],"itemData":{"DOI":"10.1016/0165-1781(89)90047-4","ISBN":"0165-1781 (Print)\\n0165-1781 (Linking)","ISSN":"0165-1781","PMID":"2748771","abstract":"Despite the prevalence of sleep complaints among psychiatric patients, few questionnaires have been specifically designed to measure sleep quality in clinical populations. The Pittsburgh Sleep Quality Index (PSQI) is a self-rated questionnaire which assesses sleep quality and disturbances over a 1-month time interval. Nineteen individual items generate seven \"component\" scores: subjective sleep quality, sleep latency, sleep duration, habitual sleep efficiency, sleep disturbances, use of sleeping medication, and daytime dysfunction. The sum of scores for these seven components yields one global score. Clinical and clinimetric properties of the PSQI were assessed over an 18-month period with \"good\" sleepers (healthy subjects, n = 52) and \"poor\" sleepers (depressed patients, n = 54; sleep-disorder patients, n = 62). Acceptable measures of internal homogeneity, consistency (test-retest reliability), and validity were obtained. A global PSQI score greater than 5 yielded a diagnostic sensitivity of 89.6% and specificity of 86.5% (kappa = 0.75, p less than 0.001) in distinguishing good and poor sleepers. The clinimetric and clinical properties of the PSQI suggest its utility both in psychiatric clinical practice and research activities.","author":[{"dropping-particle":"","family":"Buysse","given":"D J","non-dropping-particle":"","parse-names":false,"suffix":""},{"dropping-particle":"","family":"Reynolds","given":"C F","non-dropping-particle":"","parse-names":false,"suffix":""},{"dropping-particle":"","family":"Monk","given":"T H","non-dropping-particle":"","parse-names":false,"suffix":""},{"dropping-particle":"","family":"Berman","given":"S R","non-dropping-particle":"","parse-names":false,"suffix":""},{"dropping-particle":"","family":"Kupfer","given":"D J","non-dropping-particle":"","parse-names":false,"suffix":""}],"container-title":"Psychiatry research","id":"ITEM-1","issue":"2","issued":{"date-parts":[["1989"]]},"page":"193-213","title":"The Pittsburgh Sleep Quality Index: a new instrument for psychiatric practice and research.","type":"article-journal","volume":"28"}}],"schema":"https://github.com/citation-style-language/schema/raw/master/csl-citation.json"}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 Buysse, Reynolds, Monk, Berman, &amp; Kupfer, 1989)</w:t>
      </w:r>
      <w:r w:rsidRPr="00C421E4">
        <w:rPr>
          <w:rFonts w:ascii="Times" w:hAnsi="Times"/>
        </w:rPr>
        <w:fldChar w:fldCharType="end"/>
      </w:r>
      <w:r w:rsidRPr="00C421E4">
        <w:rPr>
          <w:rFonts w:ascii="Times" w:hAnsi="Times"/>
        </w:rPr>
        <w:t>), a well-validated measure of subjective sleep quality during the month prior, (2) the Morningness-Eveningness Questionnaire (MEQ</w:t>
      </w:r>
      <w:r w:rsidRPr="00C421E4">
        <w:rPr>
          <w:rFonts w:ascii="Times" w:hAnsi="Times"/>
        </w:rPr>
        <w:fldChar w:fldCharType="begin" w:fldLock="1"/>
      </w:r>
      <w:r w:rsidRPr="00C421E4">
        <w:rPr>
          <w:rFonts w:ascii="Times" w:hAnsi="Times"/>
        </w:rPr>
        <w:instrText xml:space="preserve"> ADDIN ZOTERO_ITEM CSL_CITATION {"citationID":"iFQkDLYH","properties":{"formattedCitation":"(Horne &amp; Ostberg, 1976)","plainCitation":"(Horne &amp; Ostberg, 1976)"},"citationItems":[{"id":"ITEM-1","uris":["http://www.mendeley.com/documents/?uuid=eed10398-8d74-4ed1-ad86-5a2c38822b12"],"uri":["http://www.mendeley.com/documents/?uuid=eed10398-8d74-4ed1-ad86-5a2c38822b12"],"itemData":{"ISBN":"0300-9998 (Print)\\r0300-9998 (Linking)","ISSN":"0300-9998 (Print) 0300-9998 (Linking)","PMID":"1027738","abstract":"An English language self-assessment Morningness-Eveningness questionnaire is presented and evaluated against individual differences in the circadian vatiation of oral temperature. 48 subjects falling into Morning, Evening and Intermediate type categories regularly took their temperature. Circadian peak time were identified from the smoothed temperature curves of each subject. Results showed that Morning types and a significantly earlier peak time than Evening types and tended to have a higher daytime temperature and lower post peak temperature. The Intermediate type had temperatures between those of the other groups. Although no significant differences in sleep lengths were found between the three types, Morning types retired and arose significantly earlier than Evening types. Whilst these time significatly correlated with peak time, the questionnaire showed a higher peak time correlation. Although sleep habits are an important déterminant of peak time there are other contibutory factors, and these appear to be partly covered by the questionnaire. Although the questionnaire appears to be valid, further evaluation using a wider subject population is required.","author":[{"dropping-particle":"","family":"Horne","given":"J. A.","non-dropping-particle":"","parse-names":false,"suffix":""},{"dropping-particle":"","family":"Ostberg","given":"O.","non-dropping-particle":"","parse-names":false,"suffix":""}],"container-title":"International journal of chronobiology","id":"ITEM-1","issue":"2","issued":{"date-parts":[["1976"]]},"page":"97-110","title":"A self-assessment questionnaire to determine morningness-eveningness in human circadian rhythms.","type":"article-journal","volume":"4"}}],"schema":"https://github.com/citation-style-language/schema/raw/master/csl-citation.json"} </w:instrText>
      </w:r>
      <w:r w:rsidRPr="00C421E4">
        <w:rPr>
          <w:rFonts w:ascii="Times" w:hAnsi="Times"/>
        </w:rPr>
        <w:fldChar w:fldCharType="separate"/>
      </w:r>
      <w:r w:rsidRPr="00C421E4">
        <w:rPr>
          <w:rFonts w:ascii="Times" w:hAnsi="Times"/>
          <w:noProof/>
        </w:rPr>
        <w:t>; Horne &amp; Ostberg, 1976)</w:t>
      </w:r>
      <w:r w:rsidRPr="00C421E4">
        <w:rPr>
          <w:rFonts w:ascii="Times" w:hAnsi="Times"/>
        </w:rPr>
        <w:fldChar w:fldCharType="end"/>
      </w:r>
      <w:r w:rsidRPr="00C421E4">
        <w:rPr>
          <w:rFonts w:ascii="Times" w:hAnsi="Times"/>
        </w:rPr>
        <w:t>), an assessment of chronotype, (3) the Epworth Sleepiness Scale (ESS</w:t>
      </w:r>
      <w:r w:rsidRPr="00C421E4">
        <w:rPr>
          <w:rFonts w:ascii="Times" w:hAnsi="Times"/>
        </w:rPr>
        <w:fldChar w:fldCharType="begin" w:fldLock="1"/>
      </w:r>
      <w:r w:rsidRPr="00C421E4">
        <w:rPr>
          <w:rFonts w:ascii="Times" w:hAnsi="Times"/>
        </w:rPr>
        <w:instrText xml:space="preserve"> ADDIN ZOTERO_ITEM CSL_CITATION {"citationID":"1dhjH2ay","properties":{"formattedCitation":"(Johns, 1992)","plainCitation":"(Johns, 1992)"},"citationItems":[{"id":"ITEM-1","uris":["http://www.mendeley.com/documents/?uuid=18a20ae5-3acf-49b2-82ca-73e4cf5419f1"],"uri":["http://www.mendeley.com/documents/?uuid=18a20ae5-3acf-49b2-82ca-73e4cf5419f1"],"itemData":{"ISBN":"0161-8105 (Print)","ISSN":"0161-8105","PMID":"1519015","abstract":"The Epworth Sleepiness Scale (ESS) is a self-administered eight-item questionnaire that has been proposed as a simple method for measuring daytime sleepiness in adults. This investigation was concerned with the reliability and internal consistency of the ESS. When 87 healthy medical students were tested and retested 5 months later, their paired ESS scores did not change significantly and were highly correlated (r = 0.82). By contrast, ESS scores that were initially high in 54 patients suffering from obstructive sleep apnea syndrome returned to more normal levels, as expected, after 3-9 months' treatment with nasal continuous positive airway pressure. The questionnaire had a high level of internal consistency as measured by Cronbach's alpha (0.88). Factor analysis of item scores showed that the ESS had only one factor for 104 medical students and for 150 patients with various sleep disorders. The ESS is a simple and reliable method for measuring persistent daytime sleepiness in adults.","author":[{"dropping-particle":"","family":"Johns","given":"M W","non-dropping-particle":"","parse-names":false,"suffix":""}],"container-title":"Sleep","id":"ITEM-1","issue":"4","issued":{"date-parts":[["1992"]]},"page":"376-381","title":"Reliability and factor analysis of the Epworth Sleepiness Scale.","type":"article-journal","volume":"15"}}],"schema":"https://github.com/citation-style-language/schema/raw/master/csl-citation.json"} </w:instrText>
      </w:r>
      <w:r w:rsidRPr="00C421E4">
        <w:rPr>
          <w:rFonts w:ascii="Times" w:hAnsi="Times"/>
        </w:rPr>
        <w:fldChar w:fldCharType="separate"/>
      </w:r>
      <w:r w:rsidRPr="00C421E4">
        <w:rPr>
          <w:rFonts w:ascii="Times" w:hAnsi="Times"/>
          <w:noProof/>
        </w:rPr>
        <w:t>; Johns, 1992)</w:t>
      </w:r>
      <w:r w:rsidRPr="00C421E4">
        <w:rPr>
          <w:rFonts w:ascii="Times" w:hAnsi="Times"/>
        </w:rPr>
        <w:fldChar w:fldCharType="end"/>
      </w:r>
      <w:r w:rsidRPr="00C421E4">
        <w:rPr>
          <w:rFonts w:ascii="Times" w:hAnsi="Times"/>
        </w:rPr>
        <w:t>), which gauges habitual sleepiness, and (4) the Stanford Sleepiness Scale (SSS</w:t>
      </w:r>
      <w:r w:rsidRPr="00C421E4">
        <w:rPr>
          <w:rFonts w:ascii="Times" w:hAnsi="Times"/>
        </w:rPr>
        <w:fldChar w:fldCharType="begin" w:fldLock="1"/>
      </w:r>
      <w:r w:rsidRPr="00C421E4">
        <w:rPr>
          <w:rFonts w:ascii="Times" w:hAnsi="Times"/>
        </w:rPr>
        <w:instrText xml:space="preserve"> ADDIN ZOTERO_ITEM CSL_CITATION {"citationID":"yWEWNTV1","properties":{"formattedCitation":"(Broughton &amp; Dinges, 1989)","plainCitation":"(Broughton &amp; Dinges, 1989)"},"citationItems":[{"id":"ITEM-1","uris":["http://www.mendeley.com/documents/?uuid=e2bacfbe-de12-4567-a20b-46383637405d"],"uri":["http://www.mendeley.com/documents/?uuid=e2bacfbe-de12-4567-a20b-46383637405d"],"itemData":{"author":[{"dropping-particle":"","family":"Broughton","given":"R J","non-dropping-particle":"","parse-names":false,"suffix":""},{"dropping-particle":"","family":"Dinges","given":"D. F.","non-dropping-particle":"","parse-names":false,"suffix":""}],"id":"ITEM-1","issued":{"date-parts":[["1989"]]},"number-of-pages":"1-7","publisher-place":"New York, NY","title":"Sleep and Alertness: Chronobiological, Behavioural, and Medical Aspects of Napping","type":"book"}}],"schema":"https://github.com/citation-style-language/schema/raw/master/csl-citation.json"} </w:instrText>
      </w:r>
      <w:r w:rsidRPr="00C421E4">
        <w:rPr>
          <w:rFonts w:ascii="Times" w:hAnsi="Times"/>
        </w:rPr>
        <w:fldChar w:fldCharType="separate"/>
      </w:r>
      <w:r w:rsidRPr="00C421E4">
        <w:rPr>
          <w:rFonts w:ascii="Times" w:hAnsi="Times"/>
          <w:noProof/>
        </w:rPr>
        <w:t>; Broughton &amp; Dinges, 1989)</w:t>
      </w:r>
      <w:r w:rsidRPr="00C421E4">
        <w:rPr>
          <w:rFonts w:ascii="Times" w:hAnsi="Times"/>
        </w:rPr>
        <w:fldChar w:fldCharType="end"/>
      </w:r>
      <w:r w:rsidRPr="00C421E4">
        <w:rPr>
          <w:rFonts w:ascii="Times" w:hAnsi="Times"/>
        </w:rPr>
        <w:t xml:space="preserve">), which assesses the participant’s subjective sleepiness at that given moment. Participants completed the SSS at both Session 1 (SSS1) and Session 2 (SSS2). Additionally, all participants performed a working memory task, the Digit Span Forward </w:t>
      </w:r>
      <w:r w:rsidRPr="00C421E4">
        <w:rPr>
          <w:rFonts w:ascii="Times" w:hAnsi="Times"/>
        </w:rPr>
        <w:fldChar w:fldCharType="begin" w:fldLock="1"/>
      </w:r>
      <w:r w:rsidRPr="00C421E4">
        <w:rPr>
          <w:rFonts w:ascii="Times" w:hAnsi="Times"/>
        </w:rPr>
        <w:instrText xml:space="preserve"> ADDIN ZOTERO_ITEM CSL_CITATION {"citationID":"ET6DnpvJ","properties":{"formattedCitation":"(Wechsler, 2008)","plainCitation":"(Wechsler, 2008)"},"citationItems":[{"id":"ITEM-1","uris":["http://www.mendeley.com/documents/?uuid=0f78e955-ac04-4804-a418-3af4ec8820b5"],"uri":["http://www.mendeley.com/documents/?uuid=0f78e955-ac04-4804-a418-3af4ec8820b5"],"itemData":{"abstract":"Understanding of learning disabilities and attentional disorders has greatly expanded since the publication of the WISC–III. WISC–IV makes important advances from WISC–III in order to provide the most effective clinical tool representing cutting edge research and thinking. ... \\n","author":[{"dropping-particle":"","family":"Wechsler","given":"D","non-dropping-particle":"","parse-names":false,"suffix":""}],"container-title":"San Antonio","id":"ITEM-1","issued":{"date-parts":[["2008"]]},"page":"1-3","title":"Wechsler adult intelligence scale - Fourth Edition (WAIS-IV)","type":"article-journal"}}],"schema":"https://github.com/citation-style-language/schema/raw/master/csl-citation.json"} </w:instrText>
      </w:r>
      <w:r w:rsidRPr="00C421E4">
        <w:rPr>
          <w:rFonts w:ascii="Times" w:hAnsi="Times"/>
        </w:rPr>
        <w:fldChar w:fldCharType="separate"/>
      </w:r>
      <w:r w:rsidRPr="00C421E4">
        <w:rPr>
          <w:rFonts w:ascii="Times" w:hAnsi="Times"/>
          <w:noProof/>
        </w:rPr>
        <w:t>(Wechsler, 2008)</w:t>
      </w:r>
      <w:r w:rsidRPr="00C421E4">
        <w:rPr>
          <w:rFonts w:ascii="Times" w:hAnsi="Times"/>
        </w:rPr>
        <w:fldChar w:fldCharType="end"/>
      </w:r>
      <w:r w:rsidRPr="00C421E4">
        <w:rPr>
          <w:rFonts w:ascii="Times" w:hAnsi="Times"/>
        </w:rPr>
        <w:t>, at Session 1 to confirm similar encoding ability between TBI and non-TBI groups.</w:t>
      </w:r>
    </w:p>
    <w:p w14:paraId="5A06F88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5878F18A"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A questionnaire regarding TBI characteristics was administered to the TBI group. This questionnaire probed time since TBI, number of TBIs, and which symptoms they </w:t>
      </w:r>
      <w:r w:rsidRPr="00C421E4">
        <w:rPr>
          <w:rFonts w:ascii="Times" w:hAnsi="Times"/>
        </w:rPr>
        <w:lastRenderedPageBreak/>
        <w:t xml:space="preserve">experienced immediately after the most recent concussion occurred. </w:t>
      </w:r>
    </w:p>
    <w:p w14:paraId="32D7123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FE20AE9"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During Encoding, participants viewed 30 negative and 30 neutral target stimuli</w:t>
      </w:r>
      <w:r>
        <w:rPr>
          <w:rFonts w:ascii="Times" w:hAnsi="Times"/>
        </w:rPr>
        <w:t xml:space="preserve"> in pseudorandom order (Figure 4</w:t>
      </w:r>
      <w:r w:rsidRPr="00C421E4">
        <w:rPr>
          <w:rFonts w:ascii="Times" w:hAnsi="Times"/>
        </w:rPr>
        <w:t xml:space="preserve">). Each picture appeared on the computer screen for 1000 ms followed by a 1000 ms inter-stimulus interval. After each picture, participants were prompted to rate the valence of the image on a nine-item self-assessment manikin (SAM) valence scale (1=negative, 5=neutral, 9=positive). Immediately after, participants were prompted to rate the arousability of the image on a nine-item SAM arousal scale (1=no arousal, 9=highly arousing). Ratings were entered using numbers on a keyboard without any time limit. Importantly, participants were not informed that memory for the pictures would be subsequently tested. For this reason, each participant could only participate in one condition so that the unanticipated memory test could be preserved. </w:t>
      </w:r>
    </w:p>
    <w:p w14:paraId="1DC98B6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ab/>
      </w:r>
    </w:p>
    <w:p w14:paraId="57F694F6"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During Recognition, which occurred 12 hours later, participants were shown 180 pictures: the 60 images from Encoding (targets) intermixed with 120 novel pictures (foils; 60 neutral and 60 negative). Pictures were displayed for 1000 ms, and participants again rated each for valence and arousal and indicated whether they had seen each picture during Session 1 by pressing “Y” for yes and “N” for no.</w:t>
      </w:r>
    </w:p>
    <w:p w14:paraId="29BD7C5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i/>
        </w:rPr>
      </w:pPr>
      <w:r w:rsidRPr="00C421E4">
        <w:rPr>
          <w:rFonts w:ascii="Times" w:hAnsi="Times"/>
          <w:i/>
        </w:rPr>
        <w:tab/>
      </w:r>
    </w:p>
    <w:p w14:paraId="65578FFC" w14:textId="77777777" w:rsidR="00F7044C" w:rsidRPr="00C002C1"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4. </w:t>
      </w:r>
      <w:r w:rsidRPr="00C002C1">
        <w:rPr>
          <w:rFonts w:ascii="Times" w:hAnsi="Times"/>
          <w:b/>
        </w:rPr>
        <w:t>Polysomnography</w:t>
      </w:r>
    </w:p>
    <w:p w14:paraId="6B3B9ED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i/>
        </w:rPr>
      </w:pPr>
      <w:r w:rsidRPr="00C421E4">
        <w:rPr>
          <w:rFonts w:ascii="Times" w:hAnsi="Times"/>
        </w:rPr>
        <w:t xml:space="preserve">Polysomnography was recorded in the Sleep condition participants (20 TBI, 20 non-TBI) in participants’ homes using the Aura PSG ambulatory system (Grass Technologies). Electrodes were applied after completion of the Encoding phase. The electrode montage </w:t>
      </w:r>
      <w:r w:rsidRPr="00C421E4">
        <w:rPr>
          <w:rFonts w:ascii="Times" w:hAnsi="Times"/>
        </w:rPr>
        <w:lastRenderedPageBreak/>
        <w:t xml:space="preserve">included two EOG (electrooculogram; right and left ocular canthi), two chin EMG, and six cortical EEG leads (O1, O2, C3, C4, F3, F4), with all channels referenced to the contralateral mastoid. Recordings were obtained and scored according to the specifications provided by the American Academy of Sleep Medicine </w:t>
      </w:r>
      <w:r w:rsidRPr="00C421E4">
        <w:rPr>
          <w:rFonts w:ascii="Times" w:hAnsi="Times"/>
        </w:rPr>
        <w:fldChar w:fldCharType="begin" w:fldLock="1"/>
      </w:r>
      <w:r w:rsidRPr="00C421E4">
        <w:rPr>
          <w:rFonts w:ascii="Times" w:hAnsi="Times"/>
        </w:rPr>
        <w:instrText xml:space="preserve"> ADDIN ZOTERO_ITEM CSL_CITATION {"citationID":"aoy0OYWm","properties":{"formattedCitation":"(Silber, Ancoli-Israel, &amp; Bonnet, 2007)","plainCitation":"(Silber, Ancoli-Israel, &amp; Bonnet, 2007)"},"citationItems":[{"id":"ITEM-1","uris":["http://www.mendeley.com/documents/?uuid=736f9c4c-ef82-49e5-ba71-0d7f0a194166"],"uri":["http://www.mendeley.com/documents/?uuid=736f9c4c-ef82-49e5-ba71-0d7f0a194166"],"itemData":{"author":[{"dropping-particle":"","family":"Silber","given":"M H","non-dropping-particle":"","parse-names":false,"suffix":""},{"dropping-particle":"","family":"Ancoli-Israel","given":"S","non-dropping-particle":"","parse-names":false,"suffix":""},{"dropping-particle":"","family":"Bonnet","given":"M H","non-dropping-particle":"","parse-names":false,"suffix":""}],"container-title":"Journal of Clinical Sleep Medicine","id":"ITEM-1","issued":{"date-parts":[["2007"]]},"page":"121-131","title":"The visual scoring of sleep in adults","type":"article-journal","volume":"3"}}],"schema":"https://github.com/citation-style-language/schema/raw/master/csl-citation.json"} </w:instrText>
      </w:r>
      <w:r w:rsidRPr="00C421E4">
        <w:rPr>
          <w:rFonts w:ascii="Times" w:hAnsi="Times"/>
        </w:rPr>
        <w:fldChar w:fldCharType="separate"/>
      </w:r>
      <w:r w:rsidRPr="00C421E4">
        <w:rPr>
          <w:rFonts w:ascii="Times" w:hAnsi="Times"/>
          <w:noProof/>
        </w:rPr>
        <w:t>(Silber, Ancoli-Israel, &amp; Bonnet, 2007)</w:t>
      </w:r>
      <w:r w:rsidRPr="00C421E4">
        <w:rPr>
          <w:rFonts w:ascii="Times" w:hAnsi="Times"/>
        </w:rPr>
        <w:fldChar w:fldCharType="end"/>
      </w:r>
      <w:r w:rsidRPr="00C421E4">
        <w:rPr>
          <w:rFonts w:ascii="Times" w:hAnsi="Times"/>
        </w:rPr>
        <w:t xml:space="preserve">. Due to equipment failure and failure of participants to initiate PSG devices prior to sleep, sleep physiology results are based on 14 participants in the non-TBI group and 16 in the TBI group. </w:t>
      </w:r>
    </w:p>
    <w:p w14:paraId="6949BEA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i/>
        </w:rPr>
      </w:pPr>
      <w:r w:rsidRPr="00C421E4">
        <w:rPr>
          <w:rFonts w:ascii="Times" w:hAnsi="Times"/>
          <w:i/>
        </w:rPr>
        <w:tab/>
      </w:r>
    </w:p>
    <w:p w14:paraId="4D24D694" w14:textId="77777777" w:rsidR="00F7044C" w:rsidRPr="00C002C1"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5. </w:t>
      </w:r>
      <w:r w:rsidRPr="00C002C1">
        <w:rPr>
          <w:rFonts w:ascii="Times" w:hAnsi="Times"/>
          <w:b/>
        </w:rPr>
        <w:t>Data analysis</w:t>
      </w:r>
    </w:p>
    <w:p w14:paraId="1948BC8A"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Statistical analyses were performed on SPSS 22 Software (IBM, Armonk, NY). Participants’ individual valence ratings of the pictures were used to categorize each stimulus for analyses </w:t>
      </w:r>
      <w:r w:rsidRPr="00C421E4">
        <w:rPr>
          <w:rFonts w:ascii="Times" w:hAnsi="Times"/>
        </w:rPr>
        <w:fldChar w:fldCharType="begin" w:fldLock="1"/>
      </w:r>
      <w:r w:rsidRPr="00C421E4">
        <w:rPr>
          <w:rFonts w:ascii="Times" w:hAnsi="Times"/>
        </w:rPr>
        <w:instrText xml:space="preserve"> ADDIN ZOTERO_ITEM CSL_CITATION {"citationID":"8cP88iUX","properties":{"formattedCitation":"(Bengi Baran et al., 2012; Jones et al., 2016; St. Jacques, Dolcos, &amp; Cabeza, 2009)","plainCitation":"(Bengi Baran et al., 2012; Jones et al., 2016; St. Jacques, Dolcos, &amp; Cabeza, 2009)"},"citationItems":[{"id":"ITEM-1","uris":["http://www.mendeley.com/documents/?uuid=9e218298-31f3-4e2a-9d69-5cf6a5c831f5"],"uri":["http://www.mendeley.com/documents/?uuid=9e218298-31f3-4e2a-9d69-5cf6a5c831f5"],"itemData":{"DOI":"10.1111/j.1467-9280.2008.02258.x","ISBN":"1467-9280 (Electronic)\\r0956-7976 (Linking)","ISSN":"09567976","PMID":"19152542","abstract":"Aging is associated with preserved enhancement of emotional memory, as well as with age-related reductions in memory for negative stimuli, but the neural networks underlying such alterations are not clear. We used a subsequent-memory paradigm to identify brain activity predicting enhanced emotional memory in young and older adults. Activity in the amygdala predicted enhanced emotional memory, with subsequent-memory activity greater for negative stimuli than for neutral stimuli, across age groups, a finding consistent with an overall enhancement of emotional memory. However, older adults recruited greater activity in anterior regions and less activity in posterior regions in general for negative stimuli that were subsequently remembered. Functional connectivity of the amygdala with the rest of the brain was consistent with age-related reductions in memory for negative stimuli: Older adults showed decreased functional connectivity between the amygdala and the hippocampus, but increased functional connectivity between the amygdala and dorsolateral prefrontal cortices. These findings suggest that age-related differences in the enhancement of emotional memory might reflect decreased connectivity between the amygdala and typical subsequent-memory regions, as well as the engagement of regulatory processes that inhibit emotional responses.","author":[{"dropping-particle":"","family":"Jacques","given":"Peggy L.","non-dropping-particle":"St.","parse-names":false,"suffix":""},{"dropping-particle":"","family":"Dolcos","given":"Florin","non-dropping-particle":"","parse-names":false,"suffix":""},{"dropping-particle":"","family":"Cabeza","given":"Roberto","non-dropping-particle":"","parse-names":false,"suffix":""}],"container-title":"Psychological Science","id":"ITEM-1","issue":"1","issued":{"date-parts":[["2009"]]},"page":"74-84","title":"Effects of aging on functional connectivity of the amygdala for subsequent memory of negative pictures: A network analysis of functional magnetic resonance imaging data","type":"article-journal","volume":"20"}},{"id":"ITEM-2","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Neuroscience","id":"ITEM-2","issue":"3","issued":{"date-parts":[["2012"]]},"page":"1035-42","title":"Processing of emotional reactivity and emotional memory over sleep.","type":"article-journal","volume":"32"}},{"id":"ITEM-3","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Aging","id":"ITEM-3","issued":{"date-parts":[["2016"]]},"title":"Emotional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et al., 2012; Jones et al., 2016; St. Jacques, Dolcos, &amp; Cabeza, 2009)</w:t>
      </w:r>
      <w:r w:rsidRPr="00C421E4">
        <w:rPr>
          <w:rFonts w:ascii="Times" w:hAnsi="Times"/>
        </w:rPr>
        <w:fldChar w:fldCharType="end"/>
      </w:r>
      <w:r w:rsidRPr="00C421E4">
        <w:rPr>
          <w:rFonts w:ascii="Times" w:hAnsi="Times"/>
        </w:rPr>
        <w:t>. Targets were categorized based on ratings during the Encoding phase and foils were categorized based on ratings during the Recognition phase. Negative and neutral pictures were defined as those rated 1-3 and 4-6, respectively. Therefore, the number of items in each emotion category (negative, neutral) varied across participants. Participants were excluded from analyses if they had fewer than 10 negative or neutral targets (n=3; 2 non-TBI and 1 TBI). On average, participants rated 29.5±8.5 images as neutral and 21.2±4.9 as negative. These numbers did not differ between groups or conditions (p-values &gt; .29).</w:t>
      </w:r>
    </w:p>
    <w:p w14:paraId="1675CCA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highlight w:val="green"/>
        </w:rPr>
      </w:pPr>
    </w:p>
    <w:p w14:paraId="403815CE" w14:textId="77777777" w:rsidR="00F7044C" w:rsidRPr="00C421E4" w:rsidRDefault="00F7044C" w:rsidP="00F7044C">
      <w:pPr>
        <w:spacing w:line="480" w:lineRule="auto"/>
        <w:rPr>
          <w:rFonts w:ascii="Times" w:hAnsi="Times"/>
        </w:rPr>
      </w:pPr>
      <w:r w:rsidRPr="00C421E4">
        <w:rPr>
          <w:rFonts w:ascii="Times" w:hAnsi="Times"/>
        </w:rPr>
        <w:t xml:space="preserve">Hit Rate (HR) was defined as the percentage of target pictures correctly identified as previously seen. False Alarms (FA) were defined as the percentage of foils that </w:t>
      </w:r>
      <w:r w:rsidRPr="00C421E4">
        <w:rPr>
          <w:rFonts w:ascii="Times" w:hAnsi="Times"/>
        </w:rPr>
        <w:lastRenderedPageBreak/>
        <w:t xml:space="preserve">participants indicated as having been seen before. Finally, d’ (recognition memory discriminability) was calculated from these measures (reported in supplemental material). Corrected recognition (CR; HR-FA) was used as the main outcome measure, and d’ was used as a supplementary outcome measure. </w:t>
      </w:r>
    </w:p>
    <w:p w14:paraId="42A9471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highlight w:val="green"/>
        </w:rPr>
      </w:pPr>
    </w:p>
    <w:p w14:paraId="7319339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Changes in valence (ΔValence) and arousal (ΔArousal) ratings were calculated separately for negative and neutral target pictures. Specifically: ΔValence = Session 2 mean valence rating – Session 1 mean valence rating; ΔArousal = Session 2 mean arousal rating – Session 1 mean arousal rating. Thus, a positive ΔValence score for a negative picture indicates a decrease of the initial negative reaction (toward neutrality). A positive ΔArousal score indicates an increase in arousal from the first to the second session. All arousal data is reported in the attached supplemental material. </w:t>
      </w:r>
    </w:p>
    <w:p w14:paraId="28DD19D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ab/>
      </w:r>
      <w:r w:rsidRPr="00C421E4">
        <w:rPr>
          <w:rFonts w:ascii="Times" w:hAnsi="Times"/>
        </w:rPr>
        <w:tab/>
      </w:r>
      <w:r w:rsidRPr="00C421E4">
        <w:rPr>
          <w:rFonts w:ascii="Times" w:hAnsi="Times"/>
        </w:rPr>
        <w:tab/>
      </w:r>
    </w:p>
    <w:p w14:paraId="453471C5" w14:textId="77777777" w:rsidR="00F7044C" w:rsidRPr="00C421E4" w:rsidRDefault="00F7044C" w:rsidP="00F7044C">
      <w:pPr>
        <w:spacing w:line="480" w:lineRule="auto"/>
        <w:rPr>
          <w:rFonts w:ascii="Times" w:hAnsi="Times"/>
        </w:rPr>
      </w:pPr>
      <w:r w:rsidRPr="00C421E4">
        <w:rPr>
          <w:rFonts w:ascii="Times" w:hAnsi="Times"/>
        </w:rPr>
        <w:t xml:space="preserve">Comparisons of means were conducted using two-way Analyses of Covariance (ANCOVAs). Group (TBI vs. non-TBI) and Condition (Sleep vs. Wake) were entered as predictor variables. The outcome variables were those calculated for memory, arousal, and valence (described above). Analyses were performed for neutral and negative emotions separately, resulting in 6 total ANCOVA tests. PSQI scores and gender were entered as covariates </w:t>
      </w:r>
      <w:r w:rsidRPr="00C421E4">
        <w:rPr>
          <w:rFonts w:ascii="Times" w:hAnsi="Times"/>
        </w:rPr>
        <w:fldChar w:fldCharType="begin" w:fldLock="1"/>
      </w:r>
      <w:r w:rsidRPr="00C421E4">
        <w:rPr>
          <w:rFonts w:ascii="Times" w:hAnsi="Times"/>
        </w:rPr>
        <w:instrText xml:space="preserve"> ADDIN ZOTERO_ITEM CSL_CITATION {"citationID":"fGINrvli","properties":{"formattedCitation":"(Bengi Baran et al., 2012)","plainCitation":"(Bengi Baran et al., 2012)"},"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sleep.","type":"article-journal","volume":"32"}}],"schema":"https://github.com/citation-style-language/schema/raw/master/csl-citation.json"} </w:instrText>
      </w:r>
      <w:r w:rsidRPr="00C421E4">
        <w:rPr>
          <w:rFonts w:ascii="Times" w:hAnsi="Times"/>
        </w:rPr>
        <w:fldChar w:fldCharType="separate"/>
      </w:r>
      <w:r w:rsidRPr="00C421E4">
        <w:rPr>
          <w:rFonts w:ascii="Times" w:hAnsi="Times"/>
          <w:noProof/>
        </w:rPr>
        <w:t>(Baran et al., 2012)</w:t>
      </w:r>
      <w:r w:rsidRPr="00C421E4">
        <w:rPr>
          <w:rFonts w:ascii="Times" w:hAnsi="Times"/>
        </w:rPr>
        <w:fldChar w:fldCharType="end"/>
      </w:r>
      <w:r w:rsidRPr="00C421E4">
        <w:rPr>
          <w:rFonts w:ascii="Times" w:hAnsi="Times"/>
        </w:rPr>
        <w:t xml:space="preserve">. Post-hoc comparisons were conducted using planned comparisons when significant interactions between groups were present. </w:t>
      </w:r>
    </w:p>
    <w:p w14:paraId="07FD5C4D" w14:textId="77777777" w:rsidR="00F7044C" w:rsidRPr="00C421E4" w:rsidRDefault="00F7044C" w:rsidP="00F7044C">
      <w:pPr>
        <w:spacing w:line="480" w:lineRule="auto"/>
        <w:rPr>
          <w:rFonts w:ascii="Times" w:hAnsi="Times"/>
          <w:highlight w:val="green"/>
        </w:rPr>
      </w:pPr>
    </w:p>
    <w:p w14:paraId="1DCA9F43" w14:textId="77777777" w:rsidR="00F7044C" w:rsidRPr="00C421E4" w:rsidRDefault="00F7044C" w:rsidP="00F7044C">
      <w:pPr>
        <w:spacing w:line="480" w:lineRule="auto"/>
        <w:rPr>
          <w:rFonts w:ascii="Times" w:hAnsi="Times"/>
        </w:rPr>
      </w:pPr>
      <w:r w:rsidRPr="00C421E4">
        <w:rPr>
          <w:rFonts w:ascii="Times" w:hAnsi="Times"/>
        </w:rPr>
        <w:t xml:space="preserve">Where behavioral differences were found between groups, we used a linear regression to identify whether head injury factors, sleep characteristics, or both predicted behavioral </w:t>
      </w:r>
      <w:r w:rsidRPr="00C421E4">
        <w:rPr>
          <w:rFonts w:ascii="Times" w:hAnsi="Times"/>
        </w:rPr>
        <w:lastRenderedPageBreak/>
        <w:t xml:space="preserve">outcomes in the TBI population. In the first step of the model, we entered head injury factors: number of TBIs, time since most recent TBI (yrs), and number of symptoms post-TBI. In the second step, we entered sleep factors: total sleep time, percent of the night in non-REM sleep stage 2 (N2), percent of the night in slow wave sleep (SWS), and percent of the night in rapid eye movement (REM) sleep. These three sleep stages were included given that N2 and, more so, SWS have been implicated in sleep-dependent declarative memory consolidation </w:t>
      </w:r>
      <w:r w:rsidRPr="00C421E4">
        <w:rPr>
          <w:rFonts w:ascii="Times" w:hAnsi="Times"/>
        </w:rPr>
        <w:fldChar w:fldCharType="begin" w:fldLock="1"/>
      </w:r>
      <w:r w:rsidRPr="00C421E4">
        <w:rPr>
          <w:rFonts w:ascii="Times" w:hAnsi="Times"/>
        </w:rPr>
        <w:instrText xml:space="preserve"> ADDIN ZOTERO_ITEM CSL_CITATION {"citationID":"echdYzD8","properties":{"formattedCitation":"(B Baran et al., 2016; Gais &amp; Born, 2004b; J Mantua et al., 2015; Schabus et al., 2004)","plainCitation":"(B Baran et al., 2016; Gais &amp; Born, 2004b; J Mantua et al., 2015; Schabus et al., 2004)"},"citationItems":[{"id":"ITEM-1","uris":["http://www.mendeley.com/documents/?uuid=bf4a1722-391d-4ab9-b704-e13e3523bf48"],"uri":["http://www.mendeley.com/documents/?uuid=bf4a1722-391d-4ab9-b704-e13e3523bf48"],"itemData":{"ISBN":"0161-8105","ISSN":"0161-8105","PMID":"15683137","abstract":"STUDY OBJECTIVES: Functional significance of stage 2 sleep spindle activity for declarative memory consolidation. DESIGN: Randomized, within-subject, multicenter. SETTING: Weekly sleep laboratory visits, actigraphy, and sleep diary (4 weeks). PARTICIPANTS: Twenty-four healthy subjects (12 men) aged between 20 and 30 years. INTERVENTIONS: Declarative memory task or nonlearning control task before sleep. MEASUREMENT AND RESULTS: This study measured spindle activity during stage 2 sleep following a (declarative) word-pair association task as compared to a control task. Participants performed a cued recall in the evening after learning (160 word pairs) as well as in the subsequent morning after 8 hours of undisturbed sleep with full polysomnography. Overnight change in the number of recalled words, but not absolute memory performance, correlated significantly with increased spindle activity during the experimental night (r24 = .63, P &lt; .01). Time spent in each sleep stage could not account for this relationship. CONCLUSION: A growing body of evidence supports the active role of sleep for information reprocessing. Whereas past research focused mainly on the distinct rapid eye movement and slow-wave sleep, these results indicate that increased sleep stage 2 spindle activity is related to an increase in recall performance and, thus, may reflect memory consolidation.","author":[{"dropping-particle":"","family":"Schabus","given":"Manuel","non-dropping-particle":"","parse-names":false,"suffix":""},{"dropping-particle":"","family":"Gruber","given":"Georg","non-dropping-particle":"","parse-names":false,"suffix":""},{"dropping-particle":"","family":"Parapatics","given":"Silvia","non-dropping-particle":"","parse-names":false,"suffix":""},{"dropping-particle":"","family":"Sauter","given":"Cornelia","non-dropping-particle":"","parse-names":false,"suffix":""},{"dropping-particle":"","family":"Klösch","given":"Gerhard","non-dropping-particle":"","parse-names":false,"suffix":""},{"dropping-particle":"","family":"Anderer","given":"Peter","non-dropping-particle":"","parse-names":false,"suffix":""},{"dropping-particle":"","family":"Klimesch","given":"Wolfgang","non-dropping-particle":"","parse-names":false,"suffix":""},{"dropping-particle":"","family":"Saletu","given":"Bernd","non-dropping-particle":"","parse-names":false,"suffix":""},{"dropping-particle":"","family":"Zeitlhofer","given":"Josef","non-dropping-particle":"","parse-names":false,"suffix":""}],"container-title":"Sleep","id":"ITEM-1","issue":"8","issued":{"date-parts":[["2004"]]},"page":"1479-1485","title":"Sleep spindles and their significance for declarative memory consolidation.","type":"article-journal","volume":"27"}},{"id":"ITEM-2","uris":["http://www.mendeley.com/documents/?uuid=24df12e1-93f4-4e83-8e4e-b8aa1a4a647f"],"uri":["http://www.mendeley.com/documents/?uuid=24df12e1-93f4-4e83-8e4e-b8aa1a4a647f"],"itemData":{"DOI":"10.1073/pnas.0305404101","ISBN":"4945150036","ISSN":"0027-8424","PMID":"14766981","abstract":"The neurotransmitter acetylcholine is considered essential for proper functioning of the hippocampus-dependent declarative memory system, and it represents a major neuropharmacological target for the treatment of memory deficits, such as those in Alzheimer's disease. During slow-wave sleep (SWS), however, declarative memory consolidation is particularly strong, while acetylcholine levels in the hippocampus drop to a minimum. Observations in rats led to the hypothesis that the low cholinergic tone during SWS is necessary for the replay of new memories in the hippocampus and their long-term storage in neocortical networks. However, this low tone should not affect nondeclarative memory systems. In this study, increasing central nervous cholinergic activation during SWS-rich sleep by posttrial infusion of 0.75 mg of the cholinesterase inhibitor physostigmine completely blocked SWS-related consolidation of declarative memories for word pairs in human subjects. The treatment did not interfere with consolidation of a nondeclarative mirror tracing task. Also, physostigmine did not alter memory consolidation during waking, when the endogenous central nervous cholinergic tone is maximal. These findings are in line with predictions that a low cholinergic tone during SWS is essential for declarative memory consolidation.","author":[{"dropping-particle":"","family":"Gais","given":"Steffen","non-dropping-particle":"","parse-names":false,"suffix":""},{"dropping-particle":"","family":"Born","given":"Jan","non-dropping-particle":"","parse-names":false,"suffix":""}],"container-title":"Proceedings of the National Academy of Sciences of the United States of America","id":"ITEM-2","issue":"7","issued":{"date-parts":[["2004"]]},"page":"2140-2144","title":"Low acetylcholine during slow-wave sleep is critical for declarative memory consolidation.","type":"article-journal","volume":"101"}},{"id":"ITEM-3","uris":["http://www.mendeley.com/documents/?uuid=8969fe10-9cbb-4517-bdee-d912820f9f4e"],"uri":["http://www.mendeley.com/documents/?uuid=8969fe10-9cbb-4517-bdee-d912820f9f4e"],"itemData":{"DOI":"10.3389/fnhum.2015.00379","ISBN":"0006-8950","ISSN":"1662-5161","abstract":"Individuals with a history of traumatic brain injury (TBI) often report sleep disturbances, which may be caused by changes in sleep architecture or reduced sleep quality (greater time awake after sleep onset, poorer sleep efficiency, and sleep stage proportion alterations). Sleep is beneficial for memory formation, and herein we examine whether altered sleep physiology following TBI has deleterious effects on sleep-dependent declarative memory consolidation. Participants learned a list of word pairs in the morning or evening, and recall was assessed 12-h later, following an interval awake or with overnight sleep. Young adult participants (18-22 years) were assigned to one of four experimental groups: TBI Sleep (n = 14), TBI Wake (n = 12), non-TBI Sleep (n = 15), non-TBI Wake (n = 15). Each TBI participant was &gt;1 year post-injury. Sleep physiology was measured with polysomnography. Memory consolidation was assessed by comparing change in word-pair recall over 12-h intersession intervals. The TBI group spent a significantly greater proportion of the night in SWS than the non-TBI group at the expense of NREM1. The TBI group also had marginally lower EEG delta power during SWS in the central region. Intersession changes in recall were greater for intervals with sleep than without sleep in both groups. However, despite abnormal sleep stage proportions for individuals with a TBI history, there was no difference in the intersession change in recall following sleep for the TBI and non-TBI groups. In both Sleep groups combined, there was a positive correlation between Intersession Change and the proportion of the night in NREM2 + SWS. Overall, sleep composition is altered following TBI but such deficits do not yield insufficiencies in sleep-dependent memory consolidation. © 2015 Mantua, Mahan, Henry and Spencer.","author":[{"dropping-particle":"","family":"Mantua","given":"J","non-dropping-particle":"","parse-names":false,"suffix":""},{"dropping-particle":"","family":"Mahan","given":"KM","non-dropping-particle":"","parse-names":false,"suffix":""},{"dropping-particle":"","family":"Henry","given":"OS","non-dropping-particle":"","parse-names":false,"suffix":""},{"dropping-particle":"","family":"Spencer","given":"Rebecca M. C.","non-dropping-particle":"","parse-names":false,"suffix":""}],"container-title":"Frontiers in human neuroscience","id":"ITEM-3","issue":"328","issued":{"date-parts":[["2015"]]},"page":"00379","title":"Altered sleep composition after traumatic brain injury does not affect declarative sleep-dependent memory consolidation","type":"article-journal","volume":"9"}},{"id":"ITEM-4","uris":["http://www.mendeley.com/documents/?uuid=b7690fc8-8547-4f22-93cc-2b16b265423b"],"uri":["http://www.mendeley.com/documents/?uuid=b7690fc8-8547-4f22-93cc-2b16b265423b"],"itemData":{"author":[{"dropping-particle":"","family":"Baran","given":"B","non-dropping-particle":"","parse-names":false,"suffix":""},{"dropping-particle":"","family":"Mantua","given":"J","non-dropping-particle":"","parse-names":false,"suffix":""},{"dropping-particle":"","family":"Spencer","given":"R.M.","non-dropping-particle":"","parse-names":false,"suffix":""}],"container-title":"Journal of Cognitive Neuroscience","id":"ITEM-4","issued":{"date-parts":[["2016"]]},"title":"Age-related Changes in the Sleep-dependent Reorganization of Declarative Memories","type":"article-journal","volume":"In Press"}}],"schema":"https://github.com/citation-style-language/schema/raw/master/csl-citation.json"} </w:instrText>
      </w:r>
      <w:r w:rsidRPr="00C421E4">
        <w:rPr>
          <w:rFonts w:ascii="Times" w:hAnsi="Times"/>
        </w:rPr>
        <w:fldChar w:fldCharType="separate"/>
      </w:r>
      <w:r w:rsidRPr="00C421E4">
        <w:rPr>
          <w:rFonts w:ascii="Times" w:hAnsi="Times"/>
          <w:noProof/>
        </w:rPr>
        <w:t>(Baran et al., 2016; Gais &amp; Born, 2004; Mantua et al., 2015; Schabus et al., 2004)</w:t>
      </w:r>
      <w:r w:rsidRPr="00C421E4">
        <w:rPr>
          <w:rFonts w:ascii="Times" w:hAnsi="Times"/>
        </w:rPr>
        <w:fldChar w:fldCharType="end"/>
      </w:r>
      <w:r w:rsidRPr="00C421E4">
        <w:rPr>
          <w:rFonts w:ascii="Times" w:hAnsi="Times"/>
        </w:rPr>
        <w:t xml:space="preserve"> and, more recently, emotional memory consolidation </w:t>
      </w:r>
      <w:r w:rsidRPr="00C421E4">
        <w:rPr>
          <w:rFonts w:ascii="Times" w:hAnsi="Times"/>
        </w:rPr>
        <w:fldChar w:fldCharType="begin" w:fldLock="1"/>
      </w:r>
      <w:r w:rsidRPr="00C421E4">
        <w:rPr>
          <w:rFonts w:ascii="Times" w:hAnsi="Times"/>
        </w:rPr>
        <w:instrText xml:space="preserve"> ADDIN ZOTERO_ITEM CSL_CITATION {"citationID":"Msmdnwes","properties":{"formattedCitation":"(Benedict, Scheller, Rose-John, Born, &amp; Marshall, 2009; Cairney, Durrant, Hulleman, &amp; Lewis, 2014b; Groch et al., 2011; Payne et al., 2015)","plainCitation":"(Benedict, Scheller, Rose-John, Born, &amp; Marshall, 2009; Cairney, Durrant, Hulleman, &amp; Lewis, 2014b; Groch et al., 2011; Payne et al., 2015)"},"citationItems":[{"id":"ITEM-1","uris":["http://www.mendeley.com/documents/?uuid=893bc87f-1e2f-41e8-8539-4e6ee9aad6ea"],"uri":["http://www.mendeley.com/documents/?uuid=893bc87f-1e2f-41e8-8539-4e6ee9aad6ea"],"itemData":{"DOI":"10.1096/fj.08-122853","ISBN":"1530-6860 (Electronic)\\n0892-6638 (Linking)","ISSN":"0892-6638","PMID":"19546306","abstract":"The cytokine IL-6 has been considered to exert neuromodulating influences on the brain, with promoting influences on sleep. Sleep enhances the consolidation of memories, and, in particular, late nocturnal sleep also represents a period of enhanced IL-6 signaling, due to a distinctly enhanced availability of soluble IL-6 receptors during this period, enabling trans-signaling of IL-6 to neurons. Thus, a contribution of IL-6 to sleep-dependent memory consolidation is hypothesized. To test this hypothesis, we compared effects of intranasally administered IL-6 (vs. placebo) on sleep-dependent consolidation of declarative (neutral and emotional texts, 2-dimensional object location) and procedural (finger sequence tapping) memories in 17 healthy young men. IL-6 distinctly improved the sleep-related consolidation of emotional text material (P&lt;0.03), which benefits mostly from sleep in the second night-half, in which rapid eye movement sleep (REM) dominates the non-REM-REM sleep cycle. During this second night-half, the amount of electroencephalogram slow-wave activity (0.5-4 Hz) distinctly increased after IL-6 (P&lt;0.01). Other types of memory were not affected. The ability of IL-6 to enhance sleep-associated emotional memory consolidation highlights an example of a functional interaction between the central nervous and immune system.","author":[{"dropping-particle":"","family":"Benedict","given":"Christian","non-dropping-particle":"","parse-names":false,"suffix":""},{"dropping-particle":"","family":"Scheller","given":"Jürgen","non-dropping-particle":"","parse-names":false,"suffix":""},{"dropping-particle":"","family":"Rose-John","given":"Stefan","non-dropping-particle":"","parse-names":false,"suffix":""},{"dropping-particle":"","family":"Born","given":"Jan","non-dropping-particle":"","parse-names":false,"suffix":""},{"dropping-particle":"","family":"Marshall","given":"Lisa","non-dropping-particle":"","parse-names":false,"suffix":""}],"container-title":"The FASEB journal : official publication of the Federation of American Societies for Experimental Biology","id":"ITEM-1","issue":"10","issued":{"date-parts":[["2009"]]},"page":"3629-3636","title":"Enhancing influence of intranasal interleukin-6 on slow-wave activity and memory consolidation during sleep.","type":"article-journal","volume":"23"}},{"id":"ITEM-2","uris":["http://www.mendeley.com/documents/?uuid=3b169bca-2039-4db0-a538-927da63bd3ab"],"uri":["http://www.mendeley.com/documents/?uuid=3b169bca-2039-4db0-a538-927da63bd3ab"],"itemData":{"DOI":"10.1016/j.psyneuen.2011.03.006","ISBN":"1873-3360 (Electronic) 0306-4530 (Linking)","ISSN":"1873-3360","PMID":"21493010","abstract":"BACKGROUND: There is increasing evidence indicating that slow wave sleep (SWS) supports memory consolidation. This effect may in part originate from phasic noradrinergic (NE) activity occurring during SWS in the presence of tonically lowered NE levels. Here, we examined whether NE supports the consolidation of amygdala-dependent emotional memory during SWS.\\n\\nMETHODS: In a double-blind cross-over study, 15 men learned emotional and neutral materials (stories, pictures) in the evening before a 3-h period of early SWS-rich retention sleep, during which either placebo or clonidine, an </w:instrText>
      </w:r>
      <w:r w:rsidRPr="00C421E4">
        <w:rPr>
          <w:rFonts w:ascii="Times" w:hAnsi="Times" w:hint="eastAsia"/>
        </w:rPr>
        <w:instrText>α</w:instrText>
      </w:r>
      <w:r w:rsidRPr="00C421E4">
        <w:rPr>
          <w:rFonts w:ascii="Times" w:hAnsi="Times"/>
        </w:rPr>
        <w:instrText xml:space="preserve">2-adrenoceptor agonist which blocks locus coeruleus NE release, was intravenously infused. Memory retrieval as well as affective ratings and heart rate responses to the pictures were assessed 23 h after learning.\\n\\nRESULTS: Clonidine reduced plasma NE levels but had no effect on SWS. While retention of story content words and pictures per se remained unaffected, clonidine distinctly blocked the superiority of emotional compared to neutral memory for temporal order, with this superiority of emotional over neutral memories observed only in the placebo condition. Heart rate responses to pictures were not affected, but whereas under placebo conditions familiar negative pictures were rated less arousing and with a more negative valence compared to pictures not seen before; these differences were abolished after clonidine.\\n\\nCONCLUSION: Given that memory for the temporal order of events depends on the hippocampus to a greater extent than item memory, our findings suggest that NE activity during early SWS-rich sleep facilitates consolidation of memories that involve both, a strong amygdalar and hippocampal component.","author":[{"dropping-particle":"","family":"Groch","given":"Sabine","non-dropping-particle":"","parse-names":false,"suffix":""},{"dropping-particle":"","family":"Wilhelm","given":"I.","non-dropping-particle":"","parse-names":false,"suffix":""},{"dropping-particle":"","family":"Diekelmann","given":"S.","non-dropping-particle":"","parse-names":false,"suffix":""},{"dropping-particle":"","family":"Sayk","given":"Friedhelm","non-dropping-particle":"","parse-names":false,"suffix":""},{"dropping-particle":"","family":"Gais","given":"Steffen","non-dropping-particle":"","parse-names":false,"suffix":""},{"dropping-particle":"","family":"Born","given":"Jan","non-dropping-particle":"","parse-names":false,"suffix":""}],"container-title":"Psychoneuroendocrinology","id":"ITEM-2","issue":"9","issued":{"date-parts":[["2011"]]},"page":"1342-50","title":"Contribution of norepinephrine to emotional memory consolidation during sleep.","type":"article-journal","volume":"36"}},{"id":"ITEM-3","uris":["http://www.mendeley.com/documents/?uuid=4508dcdc-ff4f-4f81-9f28-2b596d520079"],"uri":["http://www.mendeley.com/documents/?uuid=4508dcdc-ff4f-4f81-9f28-2b596d520079"],"itemData":{"DOI":"10.5665/sleep.3572","ISSN":"0161-8105","PMID":"25025110","abstract":"STUDY OBJECTIVES: To investigate the mechanisms by which auditory targeted memory reactivation (TMR) during slow wave sleep (SWS) influences the consolidation of emotionally negative and neutral memories.\\n\\nDESIGN: Each of 72 (36 negative, 36 neutral) picture-location associations were encoded with a semantically related sound. During a subsequent nap, half of the sounds were replayed in SWS, before picture-location recall was examined in a final test.\\n\\nSETTING: Manchester Sleep Laboratory, University of Manchester.\\n\\nPARTICIPANTS: 15 adults (3 male) mean age = 20.40 (standard deviation ± 3.07).\\n\\nINTERVENTIONS: TMR with auditory cues during SWS.\\n\\nMEASUREMENTS AND RESULTS: Performance was assessed by memory accuracy and recall response times (RTs). Data were analyzed with a 2 (sound: replayed/not replayed) × 2 (emotion: negative/neutral) repeated measures analysis of covariance with SWS duration, and then SWS spindles, as the mean-centered covariate. Both analyses revealed a significant three-way interaction for RTs but not memory accuracy. Critically, SWS duration and SWS spindles predicted faster memory judgments for negative, relative to neutral, picture locations that were cued with TMR.\\n\\nCONCLUSIONS: TMR initiates an enhanced consolidation process during subsequent SWS, wherein sleep spindles mediate the selective enhancement of reactivated emotional memories.","author":[{"dropping-particle":"","family":"Cairney","given":"Scott a","non-dropping-particle":"","parse-names":false,"suffix":""},{"dropping-particle":"","family":"Durrant","given":"Simon J","non-dropping-particle":"","parse-names":false,"suffix":""},{"dropping-particle":"","family":"Hulleman","given":"Johan","non-dropping-particle":"","parse-names":false,"suffix":""},{"dropping-particle":"","family":"Lewis","given":"Penelope a","non-dropping-particle":"","parse-names":false,"suffix":""}],"container-title":"Sleep","id":"ITEM-3","issue":"4","issued":{"date-parts":[["2014"]]},"page":"701-7","title":"Targeted Memory Reactivation During Slow Wave Sleep Facilitates Emotional Memory Consolidation","type":"article-journal","volume":"37"}},{"id":"ITEM-4","uris":["http://www.mendeley.com/documents/?uuid=0ce449e6-7d05-4b82-ac7e-a729c2074ba7"],"uri":["http://www.mendeley.com/documents/?uuid=0ce449e6-7d05-4b82-ac7e-a729c2074ba7"],"itemData":{"DOI":"10.1037/a0038683","ISSN":"1931-1516","PMID":"25706830","abstract":"After information is encoded into memory, it undergoes an offline period of consolidation that occurs optimally during sleep. The consolidation process not only solidifies memories, but also selectively preserves aspects of experience that are emotionally salient and relevant for future use. Here, we provide evidence that an afternoon nap is sufficient to trigger preferential memory for emotional information contained in complex scenes. Selective memory for negative emotional information was enhanced after a nap compared with wakefulness in 2 control conditions designed to carefully address interference and time-of-day confounds. Although prior evidence has connected negative emotional memory formation to REM sleep physiology, we found that non-REM delta activity and the amount of slow wave sleep (SWS) in the nap were robustly related to the selective consolidation of negative information. These findings suggest that the mechanisms underlying memory consolidation benefits associated with napping and nighttime sleep are not always the same. Finally, we provide preliminary evidence that the magnitude of the emotional memory benefit conferred by sleep is equivalent following a nap and a full night of sleep, suggesting that selective emotional remembering can be economically achieved by taking a nap.","author":[{"dropping-particle":"","family":"Payne","given":"Jessica D","non-dropping-particle":"","parse-names":false,"suffix":""},{"dropping-particle":"","family":"Kensinger","given":"Elizabeth A","non-dropping-particle":"","parse-names":false,"suffix":""},{"dropping-particle":"","family":"Wamsley","given":"Erin J","non-dropping-particle":"","parse-names":false,"suffix":""},{"dropping-particle":"","family":"Spreng","given":"R Nathan","non-dropping-particle":"","parse-names":false,"suffix":""},{"dropping-particle":"","family":"Alger","given":"Sara E","non-dropping-particle":"","parse-names":false,"suffix":""},{"dropping-particle":"","family":"Gibler","given":"Kyle","non-dropping-particle":"","parse-names":false,"suffix":""},{"dropping-particle":"","family":"Schacter","given":"Daniel L","non-dropping-particle":"","parse-names":false,"suffix":""},{"dropping-particle":"","family":"Stickgold","given":"Robert","non-dropping-particle":"","parse-names":false,"suffix":""}],"container-title":"Emotion (Washington, D.C.)","id":"ITEM-4","issue":"2","issued":{"date-parts":[["2015","4"]]},"language":"eng","page":"176-86","publisher-place":"United States","title":"Napping and the selective consolidation of negative aspects of scenes.","type":"article-journal","volume":"15"}}],"schema":"https://github.com/citation-style-language/schema/raw/master/csl-citation.json"} </w:instrText>
      </w:r>
      <w:r w:rsidRPr="00C421E4">
        <w:rPr>
          <w:rFonts w:ascii="Times" w:hAnsi="Times"/>
        </w:rPr>
        <w:fldChar w:fldCharType="separate"/>
      </w:r>
      <w:r w:rsidRPr="00C421E4">
        <w:rPr>
          <w:rFonts w:ascii="Times" w:hAnsi="Times"/>
          <w:noProof/>
        </w:rPr>
        <w:t>(Benedict, Scheller, Rose-John, Born, &amp; Marshall, 2009; Cairney, Durrant, Hulleman, &amp; Lewis, 2014; Groch et al., 2011; Payne et al., 2015)</w:t>
      </w:r>
      <w:r w:rsidRPr="00C421E4">
        <w:rPr>
          <w:rFonts w:ascii="Times" w:hAnsi="Times"/>
        </w:rPr>
        <w:fldChar w:fldCharType="end"/>
      </w:r>
      <w:r w:rsidRPr="00C421E4">
        <w:rPr>
          <w:rFonts w:ascii="Times" w:hAnsi="Times"/>
        </w:rPr>
        <w:t xml:space="preserve">. REM has also been implicated in sleep-dependent emotional processing </w:t>
      </w:r>
      <w:r w:rsidRPr="00C421E4">
        <w:rPr>
          <w:rFonts w:ascii="Times" w:hAnsi="Times"/>
        </w:rPr>
        <w:fldChar w:fldCharType="begin" w:fldLock="1"/>
      </w:r>
      <w:r w:rsidRPr="00C421E4">
        <w:rPr>
          <w:rFonts w:ascii="Times" w:hAnsi="Times"/>
        </w:rPr>
        <w:instrText xml:space="preserve"> ADDIN ZOTERO_ITEM CSL_CITATION {"citationID":"Rta2oi1J","properties":{"formattedCitation":"(Bengi Baran et al., 2012; Vandekerckhove &amp; Cluydts, 2010; Walker &amp; van der Helm, 2009)","plainCitation":"(Bengi Baran et al., 2012; Vandekerckhove &amp; Cluydts, 2010; Walker &amp; van der Helm, 2009)"},"citationItems":[{"id":"ITEM-1","uris":["http://www.mendeley.com/documents/?uuid=e9cb8e5f-f656-4f62-af00-11f34acf174e"],"uri":["http://www.mendeley.com/documents/?uuid=e9cb8e5f-f656-4f62-af00-11f34acf174e"],"itemData":{"DOI":"10.1037/a0016570","ISBN":"0033-2909 (Print) 0033-2909 (Linking)","ISSN":"0033-2909","PMID":"19702380","abstract":"Cognitive neuroscience continues to build meaningful connections between affective behavior and human brain function. Within the biological sciences, a similar renaissance has taken place, focusing on the role of sleep in various neurocognitive processes and, most recently, on the interaction between sleep and emotional regulation. This review surveys an array of diverse findings across basic and clinical research domains, resulting in a convergent view of sleep-dependent emotional brain processing. On the basis of the unique neurobiology of sleep, the authors outline a model describing the overnight modulation of affective neural systems and the (re)processing of recent emotional experiences, both of which appear to redress the appropriate next-day reactivity of limbic and associated autonomic networks. Furthermore, a rapid eye movement (REM) sleep hypothesis of emotional-memory processing is proposed, the implications of which may provide brain-based insights into the association between sleep abnormalities and the initiation and maintenance of mood disturbances.","author":[{"dropping-particle":"","family":"Walker","given":"Matthew P","non-dropping-particle":"","parse-names":false,"suffix":""},{"dropping-particle":"","family":"Helm","given":"Els","non-dropping-particle":"van der","parse-names":false,"suffix":""}],"container-title":"Psychological bulletin","id":"ITEM-1","issue":"5","issued":{"date-parts":[["2009"]]},"page":"731-48","title":"Overnight therapy? The role of sleep in emotional brain processing.","type":"article-journal","volume":"135"}},{"id":"ITEM-2","uris":["http://www.mendeley.com/documents/?uuid=74f73dd0-ff94-4df4-abe2-4bf6d3f0a940"],"uri":["http://www.mendeley.com/documents/?uuid=74f73dd0-ff94-4df4-abe2-4bf6d3f0a940"],"itemData":{"DOI":"10.1016/j.smrv.2010.01.002","ISBN":"1532-2955 (Electronic)\\r1087-0792 (Linking)","ISSN":"10870792","PMID":"20363166","abstract":"Research findings confirm our own experiences in life where daytime events and especially emotionally stressful events have an impact on sleep quality and well-being. Obviously, daytime emotional stress may have a differentiated effect on sleep by influencing sleep physiology and dream patterns, dream content and the emotion within a dream, although its exact role is still unclear. Other effects that have been found are the exaggerated startle response, decreased dream recall and elevated awakening thresholds from rapid eye movement (REM)-sleep, increased or decreased latency to REM-sleep, increased REM-density, REM-sleep duration and the occurrence of arousals in sleep as a marker of sleep disruption. However, not only do daytime events affect sleep, also the quality and amount of sleep influences the way we react to these events and may be an important determinant in general well-being. Sleep seems restorative in daily functioning, whereas deprivation of sleep makes us more sensitive to emotional and stressful stimuli and events in particular. The way sleep impacts next day mood/emotion is thought to be affected particularly via REM-sleep, where we observe a hyperlimbic and hypoactive dorsolateral prefrontal functioning in combination with a normal functioning of the medial prefrontal cortex, probably adaptive in coping with the continuous stream of emotional events we experience. ?? 2010 Elsevier Ltd. All rights reserved.","author":[{"dropping-particle":"","family":"Vandekerckhove","given":"Marie","non-dropping-particle":"","parse-names":false,"suffix":""},{"dropping-particle":"","family":"Cluydts","given":"Raymond","non-dropping-particle":"","parse-names":false,"suffix":""}],"container-title":"Sleep Medicine Reviews","id":"ITEM-2","issue":"4","issued":{"date-parts":[["2010"]]},"page":"219-226","title":"The emotional brain and sleep: An intimate relationship","type":"article","volume":"14"}},{"id":"ITEM-3","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Neuroscience","id":"ITEM-3","issue":"3","issued":{"date-parts":[["2012"]]},"page":"1035-42","title":"Processing of emotional reactivity and emotional memory over sleep.","type":"article-journal","volume":"32"}}],"schema":"https://github.com/citation-style-language/schema/raw/master/csl-citation.json"} </w:instrText>
      </w:r>
      <w:r w:rsidRPr="00C421E4">
        <w:rPr>
          <w:rFonts w:ascii="Times" w:hAnsi="Times"/>
        </w:rPr>
        <w:fldChar w:fldCharType="separate"/>
      </w:r>
      <w:r w:rsidRPr="00C421E4">
        <w:rPr>
          <w:rFonts w:ascii="Times" w:hAnsi="Times"/>
          <w:noProof/>
        </w:rPr>
        <w:t>(Bengi Baran et al., 2012; Vandekerckhove &amp; Cluydts, 2010; Walker &amp; van der Helm, 2009)</w:t>
      </w:r>
      <w:r w:rsidRPr="00C421E4">
        <w:rPr>
          <w:rFonts w:ascii="Times" w:hAnsi="Times"/>
        </w:rPr>
        <w:fldChar w:fldCharType="end"/>
      </w:r>
      <w:r w:rsidRPr="00C421E4">
        <w:rPr>
          <w:rFonts w:ascii="Times" w:hAnsi="Times"/>
        </w:rPr>
        <w:t xml:space="preserve">. For the ANOVA analyses, the whole sample, excluding outliers, was included. However, for the follow-up regressions, only participants with PSG were used. </w:t>
      </w:r>
    </w:p>
    <w:p w14:paraId="014C840B" w14:textId="77777777" w:rsidR="00F7044C" w:rsidRPr="00C421E4" w:rsidRDefault="00F7044C" w:rsidP="00F7044C">
      <w:pPr>
        <w:spacing w:line="480" w:lineRule="auto"/>
        <w:rPr>
          <w:rFonts w:ascii="Times" w:hAnsi="Times"/>
        </w:rPr>
      </w:pPr>
    </w:p>
    <w:p w14:paraId="6F723E09" w14:textId="77777777" w:rsidR="00F7044C" w:rsidRPr="00C421E4" w:rsidRDefault="00F7044C" w:rsidP="00F7044C">
      <w:pPr>
        <w:spacing w:line="480" w:lineRule="auto"/>
        <w:rPr>
          <w:rFonts w:ascii="Times" w:hAnsi="Times"/>
        </w:rPr>
      </w:pPr>
      <w:r w:rsidRPr="00C421E4">
        <w:rPr>
          <w:rFonts w:ascii="Times" w:hAnsi="Times"/>
        </w:rPr>
        <w:t xml:space="preserve">When calculating descriptive statistics, a chi-square test was used to compare categorical variables (e.g., gender) between groups, and independent-sample t-tests were used to compare continuous variables. Multivariate outliers were identified and removed using Cook’s Distance with a cutoff of 4/n (n=2). Univariate outliers were identified and removed using the Median Absolute Deviation (MAD) method with a moderate cutoff criterion (median +/- 2.5 X MAD). In the case of univariate outliers, individuals who were an outlier in one domain (e.g., memory) were not removed entirely but were removed only from that specific analysis. Therefore, when including multivariate outliers </w:t>
      </w:r>
      <w:r w:rsidRPr="00C421E4">
        <w:rPr>
          <w:rFonts w:ascii="Times" w:hAnsi="Times"/>
        </w:rPr>
        <w:lastRenderedPageBreak/>
        <w:t xml:space="preserve">and those removed for having fewer than 10 negative or neutral targets (discussed above), there were 6 participants without memory data, 5 participants without valence data, and 7 participants without arousal data. </w:t>
      </w:r>
    </w:p>
    <w:p w14:paraId="0CC2C746" w14:textId="77777777" w:rsidR="00F7044C" w:rsidRPr="00C421E4" w:rsidRDefault="00F7044C" w:rsidP="00F7044C">
      <w:pPr>
        <w:spacing w:line="480" w:lineRule="auto"/>
        <w:rPr>
          <w:rFonts w:ascii="Times" w:hAnsi="Times"/>
        </w:rPr>
      </w:pPr>
    </w:p>
    <w:p w14:paraId="27638BF1" w14:textId="77777777" w:rsidR="00F7044C" w:rsidRPr="00C421E4" w:rsidRDefault="00F7044C" w:rsidP="00F7044C">
      <w:pPr>
        <w:spacing w:line="480" w:lineRule="auto"/>
        <w:rPr>
          <w:rFonts w:ascii="Times" w:hAnsi="Times"/>
        </w:rPr>
      </w:pPr>
    </w:p>
    <w:p w14:paraId="30FC6947" w14:textId="77777777" w:rsidR="00F7044C" w:rsidRPr="001501B3" w:rsidRDefault="00F7044C" w:rsidP="00F7044C">
      <w:pPr>
        <w:spacing w:line="480" w:lineRule="auto"/>
        <w:jc w:val="center"/>
        <w:outlineLvl w:val="0"/>
        <w:rPr>
          <w:rFonts w:ascii="Times" w:hAnsi="Times"/>
          <w:b/>
          <w:u w:val="single"/>
        </w:rPr>
      </w:pPr>
      <w:r w:rsidRPr="001501B3">
        <w:rPr>
          <w:rFonts w:ascii="Times" w:hAnsi="Times"/>
          <w:b/>
          <w:u w:val="single"/>
        </w:rPr>
        <w:t>C. Results</w:t>
      </w:r>
    </w:p>
    <w:p w14:paraId="5E5FA2A1" w14:textId="77777777" w:rsidR="00F7044C" w:rsidRPr="001501B3"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1. </w:t>
      </w:r>
      <w:r w:rsidRPr="001501B3">
        <w:rPr>
          <w:rFonts w:ascii="Times" w:hAnsi="Times"/>
          <w:b/>
        </w:rPr>
        <w:t>Demographic information</w:t>
      </w:r>
    </w:p>
    <w:p w14:paraId="15EEF28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Demographic information is listed in Table 1. TBI and non-TBI groups did not differ in age, years of education, or gender. Similarly, participants assigned to Sleep and Wake conditions did not differ in age, years of education, or gender. Notably, there was a large proportion of female participants in this sample, representative of a typical psychology undergraduate program from which the sample was drawn.</w:t>
      </w:r>
    </w:p>
    <w:p w14:paraId="0ADAD81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89FF8C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TBI and non-TBI participants did not differ in terms of MEQ, ESS, SSS1 or SSS2 scores. However, consistent with previous work </w:t>
      </w:r>
      <w:r w:rsidRPr="00C421E4">
        <w:rPr>
          <w:rFonts w:ascii="Times" w:hAnsi="Times"/>
        </w:rPr>
        <w:fldChar w:fldCharType="begin" w:fldLock="1"/>
      </w:r>
      <w:r w:rsidRPr="00C421E4">
        <w:rPr>
          <w:rFonts w:ascii="Times" w:hAnsi="Times"/>
        </w:rPr>
        <w:instrText xml:space="preserve"> ADDIN ZOTERO_ITEM CSL_CITATION {"citationID":"V66BZ0wn","properties":{"formattedCitation":"(Gosselin et al., 2009; Grima et al., 2016; Shekleton et al., 2010)","plainCitation":"(Gosselin et al., 2009; Grima et al., 2016; Shekleton et al., 2010)"},"citationItems":[{"id":"ITEM-1","uris":["http://www.mendeley.com/documents/?uuid=76009df7-2bc0-4f64-af1a-11ec70694254"],"uri":["http://www.mendeley.com/documents/?uuid=76009df7-2bc0-4f64-af1a-11ec70694254"],"itemData":{"DOI":"10.1212/WNL.0b013e3181e0438b","ISBN":"1526-632X (Electronic)\\r0028-3878 (Linking)","ISSN":"00283878","PMID":"20498441","abstract":"OBJECTIVES: Sleep disturbances commonly follow traumatic brain injury (TBI) and contribute to ongoing disability. However, there are no conclusive findings regarding specific changes to sleep quality and sleep architecture measured using polysomnography. Possible causes of the sleep disturbances include disruption of circadian regulation of sleep-wakefulness, psychological distress, and a neuronal response to injury. We investigated sleep-wake disturbances and their underlying mechanisms in a TBI patient sample. METHODS: This was an observational study comparing 23 patients with TBI (429.7 +/- 287.6 days post injury) and 23 age- and gender-matched healthy volunteers on polysomnographic sleep measures, salivary dim light melatonin onset (DLMO) time, and self-reported sleep quality, anxiety, and depression. RESULTS: Patients with TBI reported higher anxiety and depressive symptoms and sleep disturbance than controls. Patients with TBI showed decreased sleep efficiency (SE) and increased wake after sleep onset (WASO). Although no significant group differences were found in sleep architecture, when anxiety and depression scores were controlled, patients with TBI showed higher amount of slow wave sleep. No differences in self-reported sleep timing or salivary DLMO time were found. However, patients with TBI showed significantly lower levels of evening melatonin production. Melatonin level was significantly correlated with REM sleep but not SE or WASO. CONCLUSIONS: Reduced evening melatonin production may indicate disruption to circadian regulation of melatonin synthesis. The results suggest that there are at least 2 factors contributing to sleep disturbances in patients with traumatic brain injury. We propose that elevated depression is associated with reduced sleep quality, and increased slow wave sleep is attributed to the effects of mechanical brain damage.","author":[{"dropping-particle":"","family":"Shekleton","given":"J. A.","non-dropping-particle":"","parse-names":false,"suffix":""},{"dropping-particle":"","family":"Parcell","given":"D. L.","non-dropping-particle":"","parse-names":false,"suffix":""},{"dropping-particle":"","family":"Redman","given":"J. R.","non-dropping-particle":"","parse-names":false,"suffix":""},{"dropping-particle":"","family":"Phipps-Nelson","given":"J.","non-dropping-particle":"","parse-names":false,"suffix":""},{"dropping-particle":"","family":"Ponsford","given":"J. L.","non-dropping-particle":"","parse-names":false,"suffix":""},{"dropping-particle":"","family":"Rajaratnam","given":"S. M W","non-dropping-particle":"","parse-names":false,"suffix":""}],"container-title":"Neurology","id":"ITEM-1","issue":"21","issued":{"date-parts":[["2010"]]},"page":"1732-1738","title":"Sleep disturbance and melatonin levels following traumatic brain injury","type":"article-journal","volume":"74"}},{"id":"ITEM-2","uris":["http://www.mendeley.com/documents/?uuid=08b4349f-aa73-4595-bd85-7d366a9b7166"],"uri":["http://www.mendeley.com/documents/?uuid=08b4349f-aa73-4595-bd85-7d366a9b7166"],"itemData":{"DOI":"10.1016/j.sleep.2007.11.023","ISBN":"1389-9457 (Print)\\r1389-9457 (Linking)","ISSN":"13899457","PMID":"18226956","abstract":"Objectives: Sleep and vigilance disorders are among the most commonly reported symptoms following a concussion. The aim of the study was thus to investigate the effects of sport-related concussions on subjective and objective sleep quality. Methods: Ten concussed athletes and 11 non-concussed athletes were included. Concussed athletes had a history of 4.6 ?? 2.1 concussions with at least one concussion during the last year. They were recorded for two consecutive nights in the laboratory and during a 10-min period of wakefulness. They completed questionnaires related to sleep quality and symptoms as well as neuropsychological tests and the CogSport computer battery. Results: Concussed athletes reported more symptoms and worse sleep quality than control athletes, but no between-group differences were found on polysomnographic variables or on REM and NREM sleep quantitative EEG variables. However, concussed athletes showed significantly more delta activity and less alpha activity during wakefulness than did control athletes. Conclusion: In spite of the subjective complaints in sleep quality of concussed athletes, no change was observed in objective sleep characteristics. However, concussions were associated with an increase in delta and a reduction in alpha power in the waking EEG. Sport-related concussions are thus associated with wakefulness problems rather than sleep disturbances. ?? 2007 Elsevier B.V. All rights reserved.","author":[{"dropping-particle":"","family":"Gosselin","given":"Nadia","non-dropping-particle":"","parse-names":false,"suffix":""},{"dropping-particle":"","family":"Lassonde","given":"Maryse","non-dropping-particle":"","parse-names":false,"suffix":""},{"dropping-particle":"","family":"Petit","given":"Dominique","non-dropping-particle":"","parse-names":false,"suffix":""},{"dropping-particle":"","family":"Leclerc","given":"Suzanne","non-dropping-particle":"","parse-names":false,"suffix":""},{"dropping-particle":"","family":"Mongrain","given":"Val??rie","non-dropping-particle":"","parse-names":false,"suffix":""},{"dropping-particle":"","family":"Collie","given":"Alex","non-dropping-particle":"","parse-names":false,"suffix":""},{"dropping-particle":"","family":"Montplaisir","given":"Jacques","non-dropping-particle":"","parse-names":false,"suffix":""}],"container-title":"Sleep Medicine","id":"ITEM-2","issue":"1","issued":{"date-parts":[["2009"]]},"page":"35-46","title":"Sleep following sport-related concussions","type":"article-journal","volume":"10"}},{"id":"ITEM-3","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Medicine","id":"ITEM-3","issue":"3","issued":{"date-parts":[["2016"]]},"page":"419-428","title":"Sleep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(Gosselin et al., 2009; Grima et al., 2016; Shekleton et al., 2010)</w:t>
      </w:r>
      <w:r w:rsidRPr="00C421E4">
        <w:rPr>
          <w:rFonts w:ascii="Times" w:hAnsi="Times"/>
        </w:rPr>
        <w:fldChar w:fldCharType="end"/>
      </w:r>
      <w:r w:rsidRPr="00C421E4">
        <w:rPr>
          <w:rFonts w:ascii="Times" w:hAnsi="Times"/>
        </w:rPr>
        <w:t xml:space="preserve">, the TBI group had marginally higher PSQI scores, which was driven by a significant difference in the sleep latency component of the scale (time to fall asleep; non-TBI = 1.42, TBI = 2.1; </w:t>
      </w:r>
      <w:proofErr w:type="gramStart"/>
      <w:r w:rsidRPr="00C421E4">
        <w:rPr>
          <w:rFonts w:ascii="Times" w:hAnsi="Times"/>
        </w:rPr>
        <w:t>t(</w:t>
      </w:r>
      <w:proofErr w:type="gramEnd"/>
      <w:r w:rsidRPr="00C421E4">
        <w:rPr>
          <w:rFonts w:ascii="Times" w:hAnsi="Times"/>
        </w:rPr>
        <w:t xml:space="preserve">78) = 2.57, p=.01). The Sleep and Wake conditions did not differ based on MEQ, SSS2, or ESS scores. However, the Wake conditions had higher SSS1 scores, indicating the Wake participants were sleepier during Session 1 (which was a morning session) than the Sleep participants (for whom Session 1 was an evening session). These results are consistent with work showing high sleepiness in young adults in the morning due to a circadian phase delay </w:t>
      </w:r>
      <w:r w:rsidRPr="00C421E4">
        <w:rPr>
          <w:rFonts w:ascii="Times" w:hAnsi="Times"/>
        </w:rPr>
        <w:fldChar w:fldCharType="begin" w:fldLock="1"/>
      </w:r>
      <w:r w:rsidRPr="00C421E4">
        <w:rPr>
          <w:rFonts w:ascii="Times" w:hAnsi="Times"/>
        </w:rPr>
        <w:instrText xml:space="preserve"> ADDIN ZOTERO_ITEM CSL_CITATION {"citationID":"wrnbM7g7","properties":{"formattedCitation":"(Millman, 2005)","plainCitation":"(Millman, 2005)"},"citationItems":[{"id":"ITEM-1","uris":["http://www.mendeley.com/documents/?uuid=7abb0ff4-ac91-4514-ad0f-b2ed04d84ca9"],"uri":["http://www.mendeley.com/documents/?uuid=7abb0ff4-ac91-4514-ad0f-b2ed04d84ca9"],"itemData":{"DOI":"10.1542/peds.2005-0772","ISBN":"1098-4275 (Electronic)\\r0031-4005 (Linking)","ISSN":"1098-4275","PMID":"15930245","abstract":"Adolescents and young adults are often excessively sleepy. This excessive sleepiness can have a profound negative effect on school performance, cognitive function, and mood and has been associated with other serious consequences such as increased incidence of automobile crashes. In this article we review available scientific knowledge about normal sleep changes in adolescents (13-22 years of age), the factors associated with chronic insufficient sleep, the effect of insufficient sleep on a variety of systems and functions, and the primary sleep disorders or organic dysfunctions that, if untreated, can cause excessive daytime sleepiness in this population.","author":[{"dropping-particle":"","family":"Millman","given":"Richard P","non-dropping-particle":"","parse-names":false,"suffix":""}],"container-title":"Pediatrics","id":"ITEM-1","issue":"6","issued":{"date-parts":[["2005"]]},"page":"1774-86","title":"Excessive sleepiness in adolescents and young adults: causes, consequences, and treatment strategies","type":"article-journal","volume":"115"}}],"schema":"https://github.com/citation-style-language/schema/raw/master/csl-citation.json"} </w:instrText>
      </w:r>
      <w:r w:rsidRPr="00C421E4">
        <w:rPr>
          <w:rFonts w:ascii="Times" w:hAnsi="Times"/>
        </w:rPr>
        <w:fldChar w:fldCharType="separate"/>
      </w:r>
      <w:r w:rsidRPr="00C421E4">
        <w:rPr>
          <w:rFonts w:ascii="Times" w:hAnsi="Times"/>
          <w:noProof/>
        </w:rPr>
        <w:t>(Millman, 2005)</w:t>
      </w:r>
      <w:r w:rsidRPr="00C421E4">
        <w:rPr>
          <w:rFonts w:ascii="Times" w:hAnsi="Times"/>
        </w:rPr>
        <w:fldChar w:fldCharType="end"/>
      </w:r>
      <w:r w:rsidRPr="00C421E4">
        <w:rPr>
          <w:rFonts w:ascii="Times" w:hAnsi="Times"/>
        </w:rPr>
        <w:t xml:space="preserve">. For this </w:t>
      </w:r>
      <w:r w:rsidRPr="00C421E4">
        <w:rPr>
          <w:rFonts w:ascii="Times" w:hAnsi="Times"/>
        </w:rPr>
        <w:lastRenderedPageBreak/>
        <w:t xml:space="preserve">reason, SSS1 scores were included as a covariate in all analyses. Finally, participants in the non-TBI and TBI groups did not differ in Digit Span performance, indicating no difference in working memory abilities. </w:t>
      </w:r>
    </w:p>
    <w:p w14:paraId="7C1742F4"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23707CFC"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Given that PSG data of several individuals were not available in the analyses (as previously discussed), we conducted an additional set of analyses without such participants. Demographic results were unchanged. </w:t>
      </w:r>
    </w:p>
    <w:p w14:paraId="2D778A3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5DFE426F"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E479016" w14:textId="77777777" w:rsidR="00F7044C" w:rsidRPr="001501B3"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2. </w:t>
      </w:r>
      <w:r w:rsidRPr="001501B3">
        <w:rPr>
          <w:rFonts w:ascii="Times" w:hAnsi="Times"/>
          <w:b/>
        </w:rPr>
        <w:t>Head injury characteristics</w:t>
      </w:r>
    </w:p>
    <w:p w14:paraId="1A6F8E2F"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The average time since the most recent concussion in the TBI group was 3.7±2.9 yrs. Concussions were sustained from a sports-related injury (68%), fall (17%), car accident (8%), or by other means (6%). No concussions were sustained in a combat-related situation. Participants had an average of 4.5±1.2 symptoms following concussion. As indicated in Table 2, the prevalence of loss of consciousness and post-traumatic amnesia were fairly low, indicating this sample was on the “minor” end of the mTBI spectrum. Sleep and Wake TBI groups did not differ on number of TBIs, time since TBI, and number of symptoms experienced after TBI.</w:t>
      </w:r>
    </w:p>
    <w:p w14:paraId="44AE740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3A5C093" w14:textId="77777777" w:rsidR="00F7044C" w:rsidRPr="001501B3"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3. </w:t>
      </w:r>
      <w:r w:rsidRPr="001501B3">
        <w:rPr>
          <w:rFonts w:ascii="Times" w:hAnsi="Times"/>
          <w:b/>
        </w:rPr>
        <w:t>Sleep architecture</w:t>
      </w:r>
    </w:p>
    <w:p w14:paraId="38D9C2A9"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Sleep characteristics are listed in Table 3. There were no differences between the TBI and non-TBI Sleep groups for total sleep time, sleep efficiency, or time spent awake after sleep onset. There was a marginal difference for sleep latency, such that the TBI group </w:t>
      </w:r>
      <w:r w:rsidRPr="00C421E4">
        <w:rPr>
          <w:rFonts w:ascii="Times" w:hAnsi="Times"/>
        </w:rPr>
        <w:lastRenderedPageBreak/>
        <w:t>had longer sleep latency than did the non-TBI group (</w:t>
      </w:r>
      <w:proofErr w:type="gramStart"/>
      <w:r w:rsidRPr="00C421E4">
        <w:rPr>
          <w:rFonts w:ascii="Times" w:hAnsi="Times"/>
        </w:rPr>
        <w:t>t(</w:t>
      </w:r>
      <w:proofErr w:type="gramEnd"/>
      <w:r w:rsidRPr="00C421E4">
        <w:rPr>
          <w:rFonts w:ascii="Times" w:hAnsi="Times"/>
        </w:rPr>
        <w:t>19.3)=1.85, p=.08 when adjusting for homogeneity of variance). The TBI group also had significantly longer REM latency (</w:t>
      </w:r>
      <w:proofErr w:type="gramStart"/>
      <w:r w:rsidRPr="00C421E4">
        <w:rPr>
          <w:rFonts w:ascii="Times" w:hAnsi="Times"/>
        </w:rPr>
        <w:t>t(</w:t>
      </w:r>
      <w:proofErr w:type="gramEnd"/>
      <w:r w:rsidRPr="00C421E4">
        <w:rPr>
          <w:rFonts w:ascii="Times" w:hAnsi="Times"/>
        </w:rPr>
        <w:t>28)=2.37, p=.02). There were no significant differences between the percent of the night groups spent in N1, N2, or SWS. However, the TBI group had significantly less REM than the non-TBI group (</w:t>
      </w:r>
      <w:proofErr w:type="gramStart"/>
      <w:r w:rsidRPr="00C421E4">
        <w:rPr>
          <w:rFonts w:ascii="Times" w:hAnsi="Times"/>
        </w:rPr>
        <w:t>t(</w:t>
      </w:r>
      <w:proofErr w:type="gramEnd"/>
      <w:r w:rsidRPr="00C421E4">
        <w:rPr>
          <w:rFonts w:ascii="Times" w:hAnsi="Times"/>
        </w:rPr>
        <w:t xml:space="preserve">28)=-2.7, p=.01). </w:t>
      </w:r>
    </w:p>
    <w:p w14:paraId="150D9F9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46B047A9" w14:textId="77777777" w:rsidR="00F7044C" w:rsidRPr="001501B3"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4. </w:t>
      </w:r>
      <w:r w:rsidRPr="001501B3">
        <w:rPr>
          <w:rFonts w:ascii="Times" w:hAnsi="Times"/>
          <w:b/>
        </w:rPr>
        <w:t>Baseline ratings of stimuli</w:t>
      </w:r>
    </w:p>
    <w:p w14:paraId="73B9F62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An ANCOVA test was used to probe whether there were differences in baseline ratings of valence between groups and conditions. For valence of neutral images, there was no main effect of Injury Group (</w:t>
      </w:r>
      <w:proofErr w:type="gramStart"/>
      <w:r w:rsidRPr="00C421E4">
        <w:rPr>
          <w:rFonts w:ascii="Times" w:hAnsi="Times"/>
        </w:rPr>
        <w:t>F(</w:t>
      </w:r>
      <w:proofErr w:type="gramEnd"/>
      <w:r w:rsidRPr="00C421E4">
        <w:rPr>
          <w:rFonts w:ascii="Times" w:hAnsi="Times"/>
        </w:rPr>
        <w:t>1,67)=.78; p=.38), no main effect of Condition (F(1,67)=1.67; p=.20), and no interaction between factors (F(1,67)=.72; p=.40). Similarly, for negative valence, there was no main effect of Injury Group (</w:t>
      </w:r>
      <w:proofErr w:type="gramStart"/>
      <w:r w:rsidRPr="00C421E4">
        <w:rPr>
          <w:rFonts w:ascii="Times" w:hAnsi="Times"/>
        </w:rPr>
        <w:t>F(</w:t>
      </w:r>
      <w:proofErr w:type="gramEnd"/>
      <w:r w:rsidRPr="00C421E4">
        <w:rPr>
          <w:rFonts w:ascii="Times" w:hAnsi="Times"/>
        </w:rPr>
        <w:t xml:space="preserve">1,67)=2.34; p=.13), no main effect of Condition (F(1,67)=.27; p=.60), and no interaction between factors (F(1,67)=2.4; p=.12). </w:t>
      </w:r>
    </w:p>
    <w:p w14:paraId="40246B1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502D2B32" w14:textId="77777777" w:rsidR="00F7044C" w:rsidRPr="002262BC"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sidRPr="002262BC">
        <w:rPr>
          <w:rFonts w:ascii="Times" w:hAnsi="Times"/>
          <w:b/>
        </w:rPr>
        <w:t>5. Memory accuracy</w:t>
      </w:r>
    </w:p>
    <w:p w14:paraId="6FDEEED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Memory was assessed following an interval including sleep or wake. ANCOVA analyses were used to separately gauge memory performance (CR) for negative and neutral stimuli. For neutral stimuli, we identified a main effect of Condition (</w:t>
      </w:r>
      <w:proofErr w:type="gramStart"/>
      <w:r w:rsidRPr="00C421E4">
        <w:rPr>
          <w:rFonts w:ascii="Times" w:hAnsi="Times"/>
        </w:rPr>
        <w:t>F(</w:t>
      </w:r>
      <w:proofErr w:type="gramEnd"/>
      <w:r w:rsidRPr="00C421E4">
        <w:rPr>
          <w:rFonts w:ascii="Times" w:hAnsi="Times"/>
        </w:rPr>
        <w:t>1,66)=6.64; p=.03), such that the Sleep condition had significantly higher CR than the Wake condition. There was no main effect of Injury Group (</w:t>
      </w:r>
      <w:proofErr w:type="gramStart"/>
      <w:r w:rsidRPr="00C421E4">
        <w:rPr>
          <w:rFonts w:ascii="Times" w:hAnsi="Times"/>
        </w:rPr>
        <w:t>F(</w:t>
      </w:r>
      <w:proofErr w:type="gramEnd"/>
      <w:r w:rsidRPr="00C421E4">
        <w:rPr>
          <w:rFonts w:ascii="Times" w:hAnsi="Times"/>
        </w:rPr>
        <w:t xml:space="preserve">1,66)=1.63; p=.20) and no interaction between these two factors (F(1,66)=.05, p=.83), indicating that the TBI group did not have a detectable deficit in sleep-dependent memory consolidation of neutral </w:t>
      </w:r>
      <w:r w:rsidRPr="00C421E4">
        <w:rPr>
          <w:rFonts w:ascii="Times" w:hAnsi="Times"/>
        </w:rPr>
        <w:lastRenderedPageBreak/>
        <w:t>stimuli.</w:t>
      </w:r>
    </w:p>
    <w:p w14:paraId="567D6121"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230423A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For negative stimuli, there was no main effect of Condition (</w:t>
      </w:r>
      <w:proofErr w:type="gramStart"/>
      <w:r w:rsidRPr="00C421E4">
        <w:rPr>
          <w:rFonts w:ascii="Times" w:hAnsi="Times"/>
        </w:rPr>
        <w:t>F(</w:t>
      </w:r>
      <w:proofErr w:type="gramEnd"/>
      <w:r w:rsidRPr="00C421E4">
        <w:rPr>
          <w:rFonts w:ascii="Times" w:hAnsi="Times"/>
        </w:rPr>
        <w:t>1,66)=.90; p=.32) and no main effect of Injury Group (F(1,66)=.009; p=.92) for CR. However, there was a significant interaction between these factors (</w:t>
      </w:r>
      <w:proofErr w:type="gramStart"/>
      <w:r w:rsidRPr="00C421E4">
        <w:rPr>
          <w:rFonts w:ascii="Times" w:hAnsi="Times"/>
        </w:rPr>
        <w:t>F(</w:t>
      </w:r>
      <w:proofErr w:type="gramEnd"/>
      <w:r w:rsidRPr="00C421E4">
        <w:rPr>
          <w:rFonts w:ascii="Times" w:hAnsi="Times"/>
        </w:rPr>
        <w:t>1,66)=9.0</w:t>
      </w:r>
      <w:r>
        <w:rPr>
          <w:rFonts w:ascii="Times" w:hAnsi="Times"/>
        </w:rPr>
        <w:t>4, p&lt;.01). As shown in Figure 5</w:t>
      </w:r>
      <w:r w:rsidRPr="00C421E4">
        <w:rPr>
          <w:rFonts w:ascii="Times" w:hAnsi="Times"/>
        </w:rPr>
        <w:t>, the non-TBI Sleep condition performed significantly better than the non-TBI Wake condition (</w:t>
      </w:r>
      <w:proofErr w:type="gramStart"/>
      <w:r w:rsidRPr="00C421E4">
        <w:rPr>
          <w:rFonts w:ascii="Times" w:hAnsi="Times"/>
        </w:rPr>
        <w:t>F(</w:t>
      </w:r>
      <w:proofErr w:type="gramEnd"/>
      <w:r w:rsidRPr="00C421E4">
        <w:rPr>
          <w:rFonts w:ascii="Times" w:hAnsi="Times"/>
        </w:rPr>
        <w:t xml:space="preserve">1,66)=4.30; p=.04), but the TBI Sleep and Wake conditions did not differ (F(1,66)=.46; p=.49). </w:t>
      </w:r>
    </w:p>
    <w:p w14:paraId="70D8906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3F28142F"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The TBI Sleep group had significantly reduced CR for negative stimuli relative to the non-TBI Sleep group (</w:t>
      </w:r>
      <w:proofErr w:type="gramStart"/>
      <w:r w:rsidRPr="00C421E4">
        <w:rPr>
          <w:rFonts w:ascii="Times" w:hAnsi="Times"/>
        </w:rPr>
        <w:t>F(</w:t>
      </w:r>
      <w:proofErr w:type="gramEnd"/>
      <w:r w:rsidRPr="00C421E4">
        <w:rPr>
          <w:rFonts w:ascii="Times" w:hAnsi="Times"/>
        </w:rPr>
        <w:t>1,66)=4.27; p=.04). We therefore examined whether differences in FA or HR accounted for this difference. We found the TBI Sleep group had notably (but non-significantly) higher FA than the non-TBI Sleep group (</w:t>
      </w:r>
      <w:proofErr w:type="gramStart"/>
      <w:r w:rsidRPr="00C421E4">
        <w:rPr>
          <w:rFonts w:ascii="Times" w:hAnsi="Times"/>
        </w:rPr>
        <w:t>F(</w:t>
      </w:r>
      <w:proofErr w:type="gramEnd"/>
      <w:r w:rsidRPr="00C421E4">
        <w:rPr>
          <w:rFonts w:ascii="Times" w:hAnsi="Times"/>
        </w:rPr>
        <w:t>1,66)=2.5, p=.11). There was also a marginally significant reduction in HR in the TBI Sleep group relative to the non-TBI Sleep group (</w:t>
      </w:r>
      <w:proofErr w:type="gramStart"/>
      <w:r w:rsidRPr="00C421E4">
        <w:rPr>
          <w:rFonts w:ascii="Times" w:hAnsi="Times"/>
        </w:rPr>
        <w:t>F(</w:t>
      </w:r>
      <w:proofErr w:type="gramEnd"/>
      <w:r w:rsidRPr="00C421E4">
        <w:rPr>
          <w:rFonts w:ascii="Times" w:hAnsi="Times"/>
        </w:rPr>
        <w:t xml:space="preserve">1,66)=2.85; p=.09). </w:t>
      </w:r>
    </w:p>
    <w:p w14:paraId="7F9B306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F9CDDBE"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Interestingly, the lack of differentiation in CR between the TBI Sleep and TBI Wake groups also was influenced by alterations in memory processing in the TBI Wake group relative to the non-TBI Wake group. The TBI Wake group had strikingly lower FA than the non-TBI Wake group </w:t>
      </w:r>
      <w:r>
        <w:rPr>
          <w:rFonts w:ascii="Times" w:hAnsi="Times"/>
        </w:rPr>
        <w:t>(</w:t>
      </w:r>
      <w:proofErr w:type="gramStart"/>
      <w:r>
        <w:rPr>
          <w:rFonts w:ascii="Times" w:hAnsi="Times"/>
        </w:rPr>
        <w:t>F(</w:t>
      </w:r>
      <w:proofErr w:type="gramEnd"/>
      <w:r>
        <w:rPr>
          <w:rFonts w:ascii="Times" w:hAnsi="Times"/>
        </w:rPr>
        <w:t>1,66)=10.87; p&lt;.01; Figure 5</w:t>
      </w:r>
      <w:r w:rsidRPr="00C421E4">
        <w:rPr>
          <w:rFonts w:ascii="Times" w:hAnsi="Times"/>
        </w:rPr>
        <w:t>). A reduction in FA in this group rendered CR scores higher, thus limiting differentiation from the TBI Sleep group for that measure. On the other hand, there was no difference in HR between the non-TBI and TBI Wake groups (</w:t>
      </w:r>
      <w:proofErr w:type="gramStart"/>
      <w:r w:rsidRPr="00C421E4">
        <w:rPr>
          <w:rFonts w:ascii="Times" w:hAnsi="Times"/>
        </w:rPr>
        <w:t>F(</w:t>
      </w:r>
      <w:proofErr w:type="gramEnd"/>
      <w:r w:rsidRPr="00C421E4">
        <w:rPr>
          <w:rFonts w:ascii="Times" w:hAnsi="Times"/>
        </w:rPr>
        <w:t xml:space="preserve">1,66)=.05; p=.82). Taking these findings with those above, both </w:t>
      </w:r>
      <w:r w:rsidRPr="00C421E4">
        <w:rPr>
          <w:rFonts w:ascii="Times" w:hAnsi="Times"/>
        </w:rPr>
        <w:lastRenderedPageBreak/>
        <w:t>the TBI Sleep and TBI Wake groups had irregularities in FA such that the TBI Wake group performed better than the control group and the TBI Sleep group performed worse than the control group.</w:t>
      </w:r>
    </w:p>
    <w:p w14:paraId="3FF3CBD1"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6DEEC44" w14:textId="77777777" w:rsidR="00F7044C" w:rsidRPr="002262BC"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sidRPr="002262BC">
        <w:rPr>
          <w:rFonts w:ascii="Times" w:hAnsi="Times"/>
          <w:b/>
        </w:rPr>
        <w:t>6. Valence</w:t>
      </w:r>
    </w:p>
    <w:p w14:paraId="311AB04A"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We next used an ANCOVA to examine whether there were differences between groups or conditions for ΔValence (Table 4). When examining the neutral images, we found no main effect of Injury Group (</w:t>
      </w:r>
      <w:proofErr w:type="gramStart"/>
      <w:r w:rsidRPr="00C421E4">
        <w:rPr>
          <w:rFonts w:ascii="Times" w:hAnsi="Times"/>
        </w:rPr>
        <w:t>F(</w:t>
      </w:r>
      <w:proofErr w:type="gramEnd"/>
      <w:r w:rsidRPr="00C421E4">
        <w:rPr>
          <w:rFonts w:ascii="Times" w:hAnsi="Times"/>
        </w:rPr>
        <w:t xml:space="preserve">1,67)=.519; p=.47), no main effect of Condition (F(1,67)=.13; p=.71) and no interaction between factors (F(1,67)=.10; p=.75). </w:t>
      </w:r>
    </w:p>
    <w:p w14:paraId="67E9DA9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1173357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However, when examining ΔValence for negative images, we found a main effect of injury group (</w:t>
      </w:r>
      <w:proofErr w:type="gramStart"/>
      <w:r w:rsidRPr="00C421E4">
        <w:rPr>
          <w:rFonts w:ascii="Times" w:hAnsi="Times"/>
        </w:rPr>
        <w:t>F(</w:t>
      </w:r>
      <w:proofErr w:type="gramEnd"/>
      <w:r w:rsidRPr="00C421E4">
        <w:rPr>
          <w:rFonts w:ascii="Times" w:hAnsi="Times"/>
        </w:rPr>
        <w:t>1,66)=7.89; p&lt;.01) such that the non-TBI group had an overall higher change in the positive direction (toward neutrality). There was no main effect of Condition (</w:t>
      </w:r>
      <w:proofErr w:type="gramStart"/>
      <w:r w:rsidRPr="00C421E4">
        <w:rPr>
          <w:rFonts w:ascii="Times" w:hAnsi="Times"/>
        </w:rPr>
        <w:t>F(</w:t>
      </w:r>
      <w:proofErr w:type="gramEnd"/>
      <w:r w:rsidRPr="00C421E4">
        <w:rPr>
          <w:rFonts w:ascii="Times" w:hAnsi="Times"/>
        </w:rPr>
        <w:t>1,66)=1.37; p=.25), but there was a significant interaction between factors (F(1,66)=4.8</w:t>
      </w:r>
      <w:r>
        <w:rPr>
          <w:rFonts w:ascii="Times" w:hAnsi="Times"/>
        </w:rPr>
        <w:t>4; p=.03). As shown in Figure 6</w:t>
      </w:r>
      <w:r w:rsidRPr="00C421E4">
        <w:rPr>
          <w:rFonts w:ascii="Times" w:hAnsi="Times"/>
        </w:rPr>
        <w:t>, consistent with our previous results</w:t>
      </w:r>
      <w:r w:rsidRPr="00C421E4">
        <w:rPr>
          <w:rFonts w:ascii="Times" w:hAnsi="Times"/>
        </w:rPr>
        <w:fldChar w:fldCharType="begin" w:fldLock="1"/>
      </w:r>
      <w:r w:rsidRPr="00C421E4">
        <w:rPr>
          <w:rFonts w:ascii="Times" w:hAnsi="Times"/>
        </w:rPr>
        <w:instrText xml:space="preserve"> ADDIN ZOTERO_ITEM CSL_CITATION {"citationID":"5cja3xCH","properties":{"formattedCitation":"(Bengi Baran et al., 2012)","plainCitation":"(Bengi Baran et al., 2012)"},"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sleep.","type":"article-journal","volume":"32"}}],"schema":"https://github.com/citation-style-language/schema/raw/master/csl-citation.json"} </w:instrText>
      </w:r>
      <w:r w:rsidRPr="00C421E4">
        <w:rPr>
          <w:rFonts w:ascii="Times" w:hAnsi="Times"/>
        </w:rPr>
        <w:fldChar w:fldCharType="separate"/>
      </w:r>
      <w:r w:rsidRPr="00C421E4">
        <w:rPr>
          <w:rFonts w:ascii="Times" w:hAnsi="Times"/>
          <w:noProof/>
        </w:rPr>
        <w:t>(Bengi Baran et al., 2012)</w:t>
      </w:r>
      <w:r w:rsidRPr="00C421E4">
        <w:rPr>
          <w:rFonts w:ascii="Times" w:hAnsi="Times"/>
        </w:rPr>
        <w:fldChar w:fldCharType="end"/>
      </w:r>
      <w:r w:rsidRPr="00C421E4">
        <w:rPr>
          <w:rFonts w:ascii="Times" w:hAnsi="Times"/>
        </w:rPr>
        <w:t>, post-hoc simple effect analyses showed the non-TBI Wake group had a significantly higher ΔValence (became more neutral; F(1,66)=6.82; p=.01), yet negative valence was relatively preserved for the non-TBI Sleep group. On the other hand, there was no significant difference between TBI Sleep and Wake conditions for change in valence (</w:t>
      </w:r>
      <w:proofErr w:type="gramStart"/>
      <w:r w:rsidRPr="00C421E4">
        <w:rPr>
          <w:rFonts w:ascii="Times" w:hAnsi="Times"/>
        </w:rPr>
        <w:t>F(</w:t>
      </w:r>
      <w:proofErr w:type="gramEnd"/>
      <w:r w:rsidRPr="00C421E4">
        <w:rPr>
          <w:rFonts w:ascii="Times" w:hAnsi="Times"/>
        </w:rPr>
        <w:t>1,66)=.</w:t>
      </w:r>
      <w:r>
        <w:rPr>
          <w:rFonts w:ascii="Times" w:hAnsi="Times"/>
        </w:rPr>
        <w:t>40; p=.53). As shown in Figure 6</w:t>
      </w:r>
      <w:r w:rsidRPr="00C421E4">
        <w:rPr>
          <w:rFonts w:ascii="Times" w:hAnsi="Times"/>
        </w:rPr>
        <w:t xml:space="preserve">, this similarity is present because there is no habituation (i.e., movement in the neutral direction) in the TBI Wake condition. </w:t>
      </w:r>
    </w:p>
    <w:p w14:paraId="0BD7A819"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i/>
        </w:rPr>
      </w:pPr>
    </w:p>
    <w:p w14:paraId="6B587696" w14:textId="77777777" w:rsidR="00F7044C" w:rsidRPr="002262BC"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lastRenderedPageBreak/>
        <w:t xml:space="preserve">7. </w:t>
      </w:r>
      <w:r w:rsidRPr="002262BC">
        <w:rPr>
          <w:rFonts w:ascii="Times" w:hAnsi="Times"/>
          <w:b/>
        </w:rPr>
        <w:t>Assessing factors predicting emotional processing deficits</w:t>
      </w:r>
    </w:p>
    <w:p w14:paraId="3BCA387A"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Where behavioral differences between Injury Groups and Conditions were detected, we conducted linear regressions to identify which factors predicted behavioral abnormalities in the TBI group. It is notable that the following regressions had relatively low achieved power (ranging from .12 to .40) due to small sample size and a high number of predictors. Therefore, rejecting predictors based on these analyses is preliminary. </w:t>
      </w:r>
    </w:p>
    <w:p w14:paraId="57E56E0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17BA9D85"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We first probed whether clinical measures or sleep characteristics predicted reduced sleep-dependent memory consolidation. We used regressions to predict two measures: CR and FA. For CR, in the first step of the model, number of TBIs significantly predicted sleep-dependent emotional memory consolidation, such that more concussions predicted poorer memory consolidation (B=-.14, p=.02). Time since most recent TBI and number of symptoms did not predict consolidation (ps &gt; .3). R</w:t>
      </w:r>
      <w:proofErr w:type="gramStart"/>
      <w:r w:rsidRPr="00C421E4">
        <w:rPr>
          <w:rFonts w:ascii="Times" w:hAnsi="Times"/>
          <w:vertAlign w:val="superscript"/>
        </w:rPr>
        <w:t xml:space="preserve">2  </w:t>
      </w:r>
      <w:r w:rsidRPr="00C421E4">
        <w:rPr>
          <w:rFonts w:ascii="Times" w:hAnsi="Times"/>
        </w:rPr>
        <w:t>was</w:t>
      </w:r>
      <w:proofErr w:type="gramEnd"/>
      <w:r w:rsidRPr="00C421E4">
        <w:rPr>
          <w:rFonts w:ascii="Times" w:hAnsi="Times"/>
        </w:rPr>
        <w:t xml:space="preserve"> low (.34) and the model was not significant (F(3,17)=2.37, p=.11). Sleep characteristics were then added to the model. None of the sleep characteristics significantly predicted memory consolidation (ps &gt;.27). Although the R</w:t>
      </w:r>
      <w:proofErr w:type="gramStart"/>
      <w:r w:rsidRPr="00C421E4">
        <w:rPr>
          <w:rFonts w:ascii="Times" w:hAnsi="Times"/>
          <w:vertAlign w:val="superscript"/>
        </w:rPr>
        <w:t xml:space="preserve">2  </w:t>
      </w:r>
      <w:r w:rsidRPr="00C421E4">
        <w:rPr>
          <w:rFonts w:ascii="Times" w:hAnsi="Times"/>
        </w:rPr>
        <w:t>value</w:t>
      </w:r>
      <w:proofErr w:type="gramEnd"/>
      <w:r w:rsidRPr="00C421E4">
        <w:rPr>
          <w:rFonts w:ascii="Times" w:hAnsi="Times"/>
        </w:rPr>
        <w:t xml:space="preserve"> increased (.55), the model remained not significant (F(7,17)=1.39, p=.31). Number of TBIs was no longer a significant predictor of memory consolidation, nor were the other clinical measures (ps &gt; .32).  </w:t>
      </w:r>
    </w:p>
    <w:p w14:paraId="6D39B9C6"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5A98E58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Notably, as mentioned above, there was an unexpected reduction in FA in the TBI Wake group for both negative and neutral stimuli. Therefore, head injury factors were used to examine potential changes in the Wake group (sleep characteristics were not available in this group). Given the similarity in pattern between FA for negative and neutral stimuli, </w:t>
      </w:r>
      <w:r w:rsidRPr="00C421E4">
        <w:rPr>
          <w:rFonts w:ascii="Times" w:hAnsi="Times"/>
        </w:rPr>
        <w:lastRenderedPageBreak/>
        <w:t>these measures were combined (FA negative + FA neutral). None of the aforementioned head injury factors predicted this combined FA score (ps &gt; .30; R</w:t>
      </w:r>
      <w:r w:rsidRPr="00C421E4">
        <w:rPr>
          <w:rFonts w:ascii="Times" w:hAnsi="Times"/>
          <w:vertAlign w:val="superscript"/>
        </w:rPr>
        <w:t>2</w:t>
      </w:r>
      <w:r w:rsidRPr="00C421E4">
        <w:rPr>
          <w:rFonts w:ascii="Times" w:hAnsi="Times"/>
        </w:rPr>
        <w:t xml:space="preserve"> = 09). </w:t>
      </w:r>
    </w:p>
    <w:p w14:paraId="36AB3F8B"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62B191DC"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For FA in the TBI Sleep Group, in the first step of the model, we found number of TBIs was a significant predictor of FA, such that more TBIs predicted a higher rate of FA (B=.05, p=.03). The other clinical predictors were not significant (p-values &gt; .7). The overall model had a low R</w:t>
      </w:r>
      <w:r w:rsidRPr="00C421E4">
        <w:rPr>
          <w:rFonts w:ascii="Times" w:hAnsi="Times"/>
          <w:vertAlign w:val="superscript"/>
        </w:rPr>
        <w:t>2</w:t>
      </w:r>
      <w:r w:rsidRPr="00C421E4">
        <w:rPr>
          <w:rFonts w:ascii="Times" w:hAnsi="Times"/>
        </w:rPr>
        <w:t xml:space="preserve"> (.32) and was not significant (F (3,</w:t>
      </w:r>
      <w:proofErr w:type="gramStart"/>
      <w:r w:rsidRPr="00C421E4">
        <w:rPr>
          <w:rFonts w:ascii="Times" w:hAnsi="Times"/>
        </w:rPr>
        <w:t>17)=</w:t>
      </w:r>
      <w:proofErr w:type="gramEnd"/>
      <w:r w:rsidRPr="00C421E4">
        <w:rPr>
          <w:rFonts w:ascii="Times" w:hAnsi="Times"/>
        </w:rPr>
        <w:t>2.3, p=.12). When the sleep characteristics were added to the model, number of TBIs remained significant (B=.06, p=.02) while the other head injury factors did not. Additionally, FA was predicted by the percent of the night in N2 (B=-.03, p=.02, change in R</w:t>
      </w:r>
      <w:r w:rsidRPr="00C421E4">
        <w:rPr>
          <w:rFonts w:ascii="Times" w:hAnsi="Times"/>
          <w:vertAlign w:val="superscript"/>
        </w:rPr>
        <w:t xml:space="preserve">2 </w:t>
      </w:r>
      <w:r w:rsidRPr="00C421E4">
        <w:rPr>
          <w:rFonts w:ascii="Times" w:hAnsi="Times"/>
        </w:rPr>
        <w:t>= .02), SWS (B=-.04, p=.02, change in R</w:t>
      </w:r>
      <w:r w:rsidRPr="00C421E4">
        <w:rPr>
          <w:rFonts w:ascii="Times" w:hAnsi="Times"/>
          <w:vertAlign w:val="superscript"/>
        </w:rPr>
        <w:t xml:space="preserve">2 </w:t>
      </w:r>
      <w:r w:rsidRPr="00C421E4">
        <w:rPr>
          <w:rFonts w:ascii="Times" w:hAnsi="Times"/>
        </w:rPr>
        <w:t>= .14), and marginally so by REM (B=-.02, p=.07, change in R</w:t>
      </w:r>
      <w:r w:rsidRPr="00C421E4">
        <w:rPr>
          <w:rFonts w:ascii="Times" w:hAnsi="Times"/>
          <w:vertAlign w:val="superscript"/>
        </w:rPr>
        <w:t xml:space="preserve">2 </w:t>
      </w:r>
      <w:r w:rsidRPr="00C421E4">
        <w:rPr>
          <w:rFonts w:ascii="Times" w:hAnsi="Times"/>
        </w:rPr>
        <w:t>= .13), such that less time in each sleep stage predicted a higher number of FA. Neither total sleep time (p=.55) nor REM latency (p=.98) predicted FA. R</w:t>
      </w:r>
      <w:r w:rsidRPr="00C421E4">
        <w:rPr>
          <w:rFonts w:ascii="Times" w:hAnsi="Times"/>
          <w:vertAlign w:val="superscript"/>
        </w:rPr>
        <w:t xml:space="preserve">2 </w:t>
      </w:r>
      <w:r w:rsidRPr="00C421E4">
        <w:rPr>
          <w:rFonts w:ascii="Times" w:hAnsi="Times"/>
        </w:rPr>
        <w:t>was improved by the addition of the sleep characteristics (.64), and the model neared significance (</w:t>
      </w:r>
      <w:proofErr w:type="gramStart"/>
      <w:r w:rsidRPr="00C421E4">
        <w:rPr>
          <w:rFonts w:ascii="Times" w:hAnsi="Times"/>
        </w:rPr>
        <w:t>F(</w:t>
      </w:r>
      <w:proofErr w:type="gramEnd"/>
      <w:r w:rsidRPr="00C421E4">
        <w:rPr>
          <w:rFonts w:ascii="Times" w:hAnsi="Times"/>
        </w:rPr>
        <w:t>7,17)=2.6, p=.08, change in R</w:t>
      </w:r>
      <w:r w:rsidRPr="00C421E4">
        <w:rPr>
          <w:rFonts w:ascii="Times" w:hAnsi="Times"/>
          <w:vertAlign w:val="superscript"/>
        </w:rPr>
        <w:t xml:space="preserve">2 </w:t>
      </w:r>
      <w:r w:rsidRPr="00C421E4">
        <w:rPr>
          <w:rFonts w:ascii="Times" w:hAnsi="Times"/>
        </w:rPr>
        <w:t xml:space="preserve">= .32). </w:t>
      </w:r>
    </w:p>
    <w:p w14:paraId="5135810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CA30CA3"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When examining valence, we performed a similar linear regression to identify factors predicting the wake-dependent differences identified above. We tested whether clinical injury outcomes predicted ΔValence in the TBI Wake group. Similar to what was found for memory accuracy, number of TBIs significantly predicted ΔValence, such that individuals with a higher number of TBIs had a lower (more negative) ΔValence (B=-.2, p=.04). Time since most recent TBI and number of symptoms did not predict ΔValence (ps &gt; .17). R</w:t>
      </w:r>
      <w:r w:rsidRPr="00C421E4">
        <w:rPr>
          <w:rFonts w:ascii="Times" w:hAnsi="Times"/>
          <w:vertAlign w:val="superscript"/>
        </w:rPr>
        <w:t xml:space="preserve">2 </w:t>
      </w:r>
      <w:r w:rsidRPr="00C421E4">
        <w:rPr>
          <w:rFonts w:ascii="Times" w:hAnsi="Times"/>
        </w:rPr>
        <w:t>was low (.27) and the model was not significant overall (</w:t>
      </w:r>
      <w:proofErr w:type="gramStart"/>
      <w:r w:rsidRPr="00C421E4">
        <w:rPr>
          <w:rFonts w:ascii="Times" w:hAnsi="Times"/>
        </w:rPr>
        <w:t>F(</w:t>
      </w:r>
      <w:proofErr w:type="gramEnd"/>
      <w:r w:rsidRPr="00C421E4">
        <w:rPr>
          <w:rFonts w:ascii="Times" w:hAnsi="Times"/>
        </w:rPr>
        <w:t xml:space="preserve">3,19)=2.04, </w:t>
      </w:r>
      <w:r w:rsidRPr="00C421E4">
        <w:rPr>
          <w:rFonts w:ascii="Times" w:hAnsi="Times"/>
        </w:rPr>
        <w:lastRenderedPageBreak/>
        <w:t xml:space="preserve">p=.14). </w:t>
      </w:r>
    </w:p>
    <w:p w14:paraId="662873B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38EB737E" w14:textId="77777777" w:rsidR="00F7044C" w:rsidRPr="002262BC"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sidRPr="002262BC">
        <w:rPr>
          <w:rFonts w:ascii="Times" w:hAnsi="Times"/>
          <w:b/>
        </w:rPr>
        <w:t>8. The influence of multiple TBIs</w:t>
      </w:r>
    </w:p>
    <w:p w14:paraId="3BBA7DF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Notably, as our results show, the link between the number of TBIs an individual has sustained and their emotional processing is robust. Given this, we re-performed the initial ANCOVA tests using only individuals who had sustained 1 concussion to ensure that individuals with multiple concussions were not driving these results. For memory measures (HR, FA, CR, d’), results were nearly identical (HR interaction: p&lt;.01; FA main effect of condition: p=.04; FA interaction: p&lt;.01; CR main effect of condition: p&lt;.01; CR interaction: p&lt;.01; d’ main effect of condition p&lt;.01; d’ interaction: p&lt;.01). The ΔValence results were also maintained (main effect of group: p=.04; interaction: p&lt;.01). Overall, these results indicate that a single concussion produces the emotional deficits discussed above, yet multiple concussions worsen emotional outcome.  </w:t>
      </w:r>
    </w:p>
    <w:p w14:paraId="7C7F5AB9" w14:textId="77777777" w:rsidR="00F7044C" w:rsidRPr="00C421E4" w:rsidRDefault="00F7044C" w:rsidP="00F7044C">
      <w:pPr>
        <w:spacing w:line="480" w:lineRule="auto"/>
        <w:rPr>
          <w:rFonts w:ascii="Times" w:hAnsi="Times"/>
          <w:i/>
        </w:rPr>
      </w:pPr>
    </w:p>
    <w:p w14:paraId="3CC85DEC" w14:textId="77777777" w:rsidR="00F7044C" w:rsidRPr="005E1A24" w:rsidRDefault="00F7044C" w:rsidP="00F7044C">
      <w:pPr>
        <w:spacing w:line="480" w:lineRule="auto"/>
        <w:jc w:val="center"/>
        <w:outlineLvl w:val="0"/>
        <w:rPr>
          <w:rFonts w:ascii="Times" w:hAnsi="Times"/>
          <w:b/>
          <w:u w:val="single"/>
        </w:rPr>
      </w:pPr>
      <w:r w:rsidRPr="005E1A24">
        <w:rPr>
          <w:rFonts w:ascii="Times" w:hAnsi="Times"/>
          <w:b/>
          <w:u w:val="single"/>
        </w:rPr>
        <w:t>D. Discussion</w:t>
      </w:r>
    </w:p>
    <w:p w14:paraId="6DC8042B" w14:textId="77777777" w:rsidR="00F7044C" w:rsidRPr="005E1A24" w:rsidRDefault="00F7044C" w:rsidP="00F7044C">
      <w:pPr>
        <w:spacing w:line="480" w:lineRule="auto"/>
        <w:jc w:val="center"/>
        <w:outlineLvl w:val="0"/>
        <w:rPr>
          <w:rFonts w:ascii="Times" w:hAnsi="Times"/>
          <w:b/>
        </w:rPr>
      </w:pPr>
      <w:r>
        <w:rPr>
          <w:rFonts w:ascii="Times" w:hAnsi="Times"/>
          <w:b/>
        </w:rPr>
        <w:t xml:space="preserve">1. </w:t>
      </w:r>
      <w:r w:rsidRPr="005E1A24">
        <w:rPr>
          <w:rFonts w:ascii="Times" w:hAnsi="Times"/>
          <w:b/>
        </w:rPr>
        <w:t>Sleep quality and architecture in chronic TBI</w:t>
      </w:r>
    </w:p>
    <w:p w14:paraId="2D54D2DE" w14:textId="77777777" w:rsidR="00F7044C" w:rsidRPr="00C421E4" w:rsidRDefault="00F7044C" w:rsidP="00F7044C">
      <w:pPr>
        <w:spacing w:line="480" w:lineRule="auto"/>
        <w:rPr>
          <w:rFonts w:ascii="Times" w:hAnsi="Times"/>
        </w:rPr>
      </w:pPr>
      <w:r w:rsidRPr="00C421E4">
        <w:rPr>
          <w:rFonts w:ascii="Times" w:hAnsi="Times"/>
        </w:rPr>
        <w:t xml:space="preserve">Individuals with a history of TBI had marginally higher PSQI scores (i.e., poorer sleep quality) than control participants, in line with several other investigations </w:t>
      </w:r>
      <w:r w:rsidRPr="00C421E4">
        <w:rPr>
          <w:rFonts w:ascii="Times" w:hAnsi="Times"/>
        </w:rPr>
        <w:fldChar w:fldCharType="begin" w:fldLock="1"/>
      </w:r>
      <w:r w:rsidRPr="00C421E4">
        <w:rPr>
          <w:rFonts w:ascii="Times" w:hAnsi="Times"/>
        </w:rPr>
        <w:instrText xml:space="preserve"> ADDIN ZOTERO_ITEM CSL_CITATION {"citationID":"TePelJWZ","properties":{"formattedCitation":"(Gosselin et al., 2009; Grima et al., 2016; Shekleton et al., 2010)","plainCitation":"(Gosselin et al., 2009; Grima et al., 2016; Shekleton et al., 2010)"},"citationItems":[{"id":"ITEM-1","uris":["http://www.mendeley.com/documents/?uuid=76009df7-2bc0-4f64-af1a-11ec70694254"],"uri":["http://www.mendeley.com/documents/?uuid=76009df7-2bc0-4f64-af1a-11ec70694254"],"itemData":{"DOI":"10.1212/WNL.0b013e3181e0438b","ISBN":"1526-632X (Electronic)\\r0028-3878 (Linking)","ISSN":"00283878","PMID":"20498441","abstract":"OBJECTIVES: Sleep disturbances commonly follow traumatic brain injury (TBI) and contribute to ongoing disability. However, there are no conclusive findings regarding specific changes to sleep quality and sleep architecture measured using polysomnography. Possible causes of the sleep disturbances include disruption of circadian regulation of sleep-wakefulness, psychological distress, and a neuronal response to injury. We investigated sleep-wake disturbances and their underlying mechanisms in a TBI patient sample. METHODS: This was an observational study comparing 23 patients with TBI (429.7 +/- 287.6 days post injury) and 23 age- and gender-matched healthy volunteers on polysomnographic sleep measures, salivary dim light melatonin onset (DLMO) time, and self-reported sleep quality, anxiety, and depression. RESULTS: Patients with TBI reported higher anxiety and depressive symptoms and sleep disturbance than controls. Patients with TBI showed decreased sleep efficiency (SE) and increased wake after sleep onset (WASO). Although no significant group differences were found in sleep architecture, when anxiety and depression scores were controlled, patients with TBI showed higher amount of slow wave sleep. No differences in self-reported sleep timing or salivary DLMO time were found. However, patients with TBI showed significantly lower levels of evening melatonin production. Melatonin level was significantly correlated with REM sleep but not SE or WASO. CONCLUSIONS: Reduced evening melatonin production may indicate disruption to circadian regulation of melatonin synthesis. The results suggest that there are at least 2 factors contributing to sleep disturbances in patients with traumatic brain injury. We propose that elevated depression is associated with reduced sleep quality, and increased slow wave sleep is attributed to the effects of mechanical brain damage.","author":[{"dropping-particle":"","family":"Shekleton","given":"J. A.","non-dropping-particle":"","parse-names":false,"suffix":""},{"dropping-particle":"","family":"Parcell","given":"D. L.","non-dropping-particle":"","parse-names":false,"suffix":""},{"dropping-particle":"","family":"Redman","given":"J. R.","non-dropping-particle":"","parse-names":false,"suffix":""},{"dropping-particle":"","family":"Phipps-Nelson","given":"J.","non-dropping-particle":"","parse-names":false,"suffix":""},{"dropping-particle":"","family":"Ponsford","given":"J. L.","non-dropping-particle":"","parse-names":false,"suffix":""},{"dropping-particle":"","family":"Rajaratnam","given":"S. M W","non-dropping-particle":"","parse-names":false,"suffix":""}],"container-title":"Neurology","id":"ITEM-1","issue":"21","issued":{"date-parts":[["2010"]]},"page":"1732-1738","title":"Sleep disturbance and melatonin levels following traumatic brain injury","type":"article-journal","volume":"74"}},{"id":"ITEM-2","uris":["http://www.mendeley.com/documents/?uuid=08b4349f-aa73-4595-bd85-7d366a9b7166"],"uri":["http://www.mendeley.com/documents/?uuid=08b4349f-aa73-4595-bd85-7d366a9b7166"],"itemData":{"DOI":"10.1016/j.sleep.2007.11.023","ISBN":"1389-9457 (Print)\\r1389-9457 (Linking)","ISSN":"13899457","PMID":"18226956","abstract":"Objectives: Sleep and vigilance disorders are among the most commonly reported symptoms following a concussion. The aim of the study was thus to investigate the effects of sport-related concussions on subjective and objective sleep quality. Methods: Ten concussed athletes and 11 non-concussed athletes were included. Concussed athletes had a history of 4.6 ?? 2.1 concussions with at least one concussion during the last year. They were recorded for two consecutive nights in the laboratory and during a 10-min period of wakefulness. They completed questionnaires related to sleep quality and symptoms as well as neuropsychological tests and the CogSport computer battery. Results: Concussed athletes reported more symptoms and worse sleep quality than control athletes, but no between-group differences were found on polysomnographic variables or on REM and NREM sleep quantitative EEG variables. However, concussed athletes showed significantly more delta activity and less alpha activity during wakefulness than did control athletes. Conclusion: In spite of the subjective complaints in sleep quality of concussed athletes, no change was observed in objective sleep characteristics. However, concussions were associated with an increase in delta and a reduction in alpha power in the waking EEG. Sport-related concussions are thus associated with wakefulness problems rather than sleep disturbances. ?? 2007 Elsevier B.V. All rights reserved.","author":[{"dropping-particle":"","family":"Gosselin","given":"Nadia","non-dropping-particle":"","parse-names":false,"suffix":""},{"dropping-particle":"","family":"Lassonde","given":"Maryse","non-dropping-particle":"","parse-names":false,"suffix":""},{"dropping-particle":"","family":"Petit","given":"Dominique","non-dropping-particle":"","parse-names":false,"suffix":""},{"dropping-particle":"","family":"Leclerc","given":"Suzanne","non-dropping-particle":"","parse-names":false,"suffix":""},{"dropping-particle":"","family":"Mongrain","given":"Val??rie","non-dropping-particle":"","parse-names":false,"suffix":""},{"dropping-particle":"","family":"Collie","given":"Alex","non-dropping-particle":"","parse-names":false,"suffix":""},{"dropping-particle":"","family":"Montplaisir","given":"Jacques","non-dropping-particle":"","parse-names":false,"suffix":""}],"container-title":"Sleep Medicine","id":"ITEM-2","issue":"1","issued":{"date-parts":[["2009"]]},"page":"35-46","title":"Sleep following sport-related concussions","type":"article-journal","volume":"10"}},{"id":"ITEM-3","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Medicine","id":"ITEM-3","issue":"3","issued":{"date-parts":[["2016"]]},"page":"419-428","title":"Sleep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(Gosselin et al., 2009; Grima et al., 2016; Shekleton et al., 2010)</w:t>
      </w:r>
      <w:r w:rsidRPr="00C421E4">
        <w:rPr>
          <w:rFonts w:ascii="Times" w:hAnsi="Times"/>
        </w:rPr>
        <w:fldChar w:fldCharType="end"/>
      </w:r>
      <w:r w:rsidRPr="00C421E4">
        <w:rPr>
          <w:rFonts w:ascii="Times" w:hAnsi="Times"/>
        </w:rPr>
        <w:t xml:space="preserve">. In the current sample, the difference in PSQI scores was mainly driven by the sleep latency component of the scale, which queries how long it takes the individual to fall asleep. Participants with a history of TBI reported significantly longer sleep latency. The TBI group also had marginally longer </w:t>
      </w:r>
      <w:r w:rsidRPr="00C421E4">
        <w:rPr>
          <w:rFonts w:ascii="Times" w:hAnsi="Times"/>
        </w:rPr>
        <w:lastRenderedPageBreak/>
        <w:t>objectively measured sleep latency (PSG). Our results support and add to others’ findings that subjective sleep quality is poorer several years after a concussion has occurred.</w:t>
      </w:r>
    </w:p>
    <w:p w14:paraId="2A2A6232" w14:textId="77777777" w:rsidR="00F7044C" w:rsidRPr="00C421E4" w:rsidRDefault="00F7044C" w:rsidP="00F7044C">
      <w:pPr>
        <w:spacing w:line="480" w:lineRule="auto"/>
        <w:rPr>
          <w:rFonts w:ascii="Times" w:hAnsi="Times"/>
        </w:rPr>
      </w:pPr>
    </w:p>
    <w:p w14:paraId="3705DFF2" w14:textId="77777777" w:rsidR="00F7044C" w:rsidRPr="00C421E4" w:rsidRDefault="00F7044C" w:rsidP="00F7044C">
      <w:pPr>
        <w:spacing w:line="480" w:lineRule="auto"/>
        <w:rPr>
          <w:rFonts w:ascii="Times" w:hAnsi="Times"/>
        </w:rPr>
      </w:pPr>
      <w:r w:rsidRPr="00C421E4">
        <w:rPr>
          <w:rFonts w:ascii="Times" w:hAnsi="Times"/>
        </w:rPr>
        <w:t xml:space="preserve">In the current sample, individuals with a history of TBI spent a significantly lower proportion of the night in REM than the non-TBI group. This finding is consistent with a recent meta-analysis that aggregated 9 studies to compare sleep architecture between participants with a history of TBI and healthy controls </w:t>
      </w:r>
      <w:r w:rsidRPr="00C421E4">
        <w:rPr>
          <w:rFonts w:ascii="Times" w:hAnsi="Times"/>
        </w:rPr>
        <w:fldChar w:fldCharType="begin" w:fldLock="1"/>
      </w:r>
      <w:r w:rsidRPr="00C421E4">
        <w:rPr>
          <w:rFonts w:ascii="Times" w:hAnsi="Times"/>
        </w:rPr>
        <w:instrText xml:space="preserve"> ADDIN ZOTERO_ITEM CSL_CITATION {"citationID":"lnxL3bam","properties":{"formattedCitation":"(Grima et al., 2016)","plainCitation":"(Grima et al., 2016)"},"citationItems":[{"id":"ITEM-1","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Medicine","id":"ITEM-1","issue":"3","issued":{"date-parts":[["2016"]]},"page":"419-428","title":"Sleep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et al., 2016)</w:t>
      </w:r>
      <w:r w:rsidRPr="00C421E4">
        <w:rPr>
          <w:rFonts w:ascii="Times" w:hAnsi="Times"/>
        </w:rPr>
        <w:fldChar w:fldCharType="end"/>
      </w:r>
      <w:r w:rsidRPr="00C421E4">
        <w:rPr>
          <w:rFonts w:ascii="Times" w:hAnsi="Times"/>
        </w:rPr>
        <w:t>. The meta-analysis found no differences between groups for time spent in SWS, N1 and N2, yet the TBI individuals had marginally less REM sleep than healthy controls. Reduced REM, in chronic TBI may be the result of a reduction in melatonin production.</w:t>
      </w:r>
      <w:r w:rsidRPr="00C421E4">
        <w:rPr>
          <w:rFonts w:ascii="Times" w:hAnsi="Times"/>
        </w:rPr>
        <w:fldChar w:fldCharType="begin" w:fldLock="1"/>
      </w:r>
      <w:r w:rsidRPr="00C421E4">
        <w:rPr>
          <w:rFonts w:ascii="Times" w:hAnsi="Times"/>
        </w:rPr>
        <w:instrText xml:space="preserve"> ADDIN ZOTERO_ITEM CSL_CITATION {"citationID":"9mLoRlA3","properties":{"formattedCitation":"(Shekleton et al., 2010)","plainCitation":"(Shekleton et al., 2010)"},"citationItems":[{"id":"ITEM-1","uris":["http://www.mendeley.com/documents/?uuid=76009df7-2bc0-4f64-af1a-11ec70694254"],"uri":["http://www.mendeley.com/documents/?uuid=76009df7-2bc0-4f64-af1a-11ec70694254"],"itemData":{"DOI":"10.1212/WNL.0b013e3181e0438b","ISBN":"1526-632X (Electronic)\\r0028-3878 (Linking)","ISSN":"00283878","PMID":"20498441","abstract":"OBJECTIVES: Sleep disturbances commonly follow traumatic brain injury (TBI) and contribute to ongoing disability. However, there are no conclusive findings regarding specific changes to sleep quality and sleep architecture measured using polysomnography. Possible causes of the sleep disturbances include disruption of circadian regulation of sleep-wakefulness, psychological distress, and a neuronal response to injury. We investigated sleep-wake disturbances and their underlying mechanisms in a TBI patient sample. METHODS: This was an observational study comparing 23 patients with TBI (429.7 +/- 287.6 days post injury) and 23 age- and gender-matched healthy volunteers on polysomnographic sleep measures, salivary dim light melatonin onset (DLMO) time, and self-reported sleep quality, anxiety, and depression. RESULTS: Patients with TBI reported higher anxiety and depressive symptoms and sleep disturbance than controls. Patients with TBI showed decreased sleep efficiency (SE) and increased wake after sleep onset (WASO). Although no significant group differences were found in sleep architecture, when anxiety and depression scores were controlled, patients with TBI showed higher amount of slow wave sleep. No differences in self-reported sleep timing or salivary DLMO time were found. However, patients with TBI showed significantly lower levels of evening melatonin production. Melatonin level was significantly correlated with REM sleep but not SE or WASO. CONCLUSIONS: Reduced evening melatonin production may indicate disruption to circadian regulation of melatonin synthesis. The results suggest that there are at least 2 factors contributing to sleep disturbances in patients with traumatic brain injury. We propose that elevated depression is associated with reduced sleep quality, and increased slow wave sleep is attributed to the effects of mechanical brain damage.","author":[{"dropping-particle":"","family":"Shekleton","given":"J. A.","non-dropping-particle":"","parse-names":false,"suffix":""},{"dropping-particle":"","family":"Parcell","given":"D. L.","non-dropping-particle":"","parse-names":false,"suffix":""},{"dropping-particle":"","family":"Redman","given":"J. R.","non-dropping-particle":"","parse-names":false,"suffix":""},{"dropping-particle":"","family":"Phipps-Nelson","given":"J.","non-dropping-particle":"","parse-names":false,"suffix":""},{"dropping-particle":"","family":"Ponsford","given":"J. L.","non-dropping-particle":"","parse-names":false,"suffix":""},{"dropping-particle":"","family":"Rajaratnam","given":"S. M W","non-dropping-particle":"","parse-names":false,"suffix":""}],"container-title":"Neurology","id":"ITEM-1","issue":"21","issued":{"date-parts":[["2010"]]},"page":"1732-1738","title":"Sleep disturbance and melatonin levels following traumatic brain injury","type":"article-journal","volume":"74"}}],"schema":"https://github.com/citation-style-language/schema/raw/master/csl-citation.json"} </w:instrText>
      </w:r>
      <w:r w:rsidRPr="00C421E4">
        <w:rPr>
          <w:rFonts w:ascii="Times" w:hAnsi="Times"/>
        </w:rPr>
        <w:fldChar w:fldCharType="separate"/>
      </w:r>
      <w:r w:rsidRPr="00C421E4">
        <w:rPr>
          <w:rFonts w:ascii="Times" w:hAnsi="Times"/>
          <w:noProof/>
        </w:rPr>
        <w:t>(Shekleton et al., 2010)</w:t>
      </w:r>
      <w:r w:rsidRPr="00C421E4">
        <w:rPr>
          <w:rFonts w:ascii="Times" w:hAnsi="Times"/>
        </w:rPr>
        <w:fldChar w:fldCharType="end"/>
      </w:r>
      <w:r w:rsidRPr="00C421E4">
        <w:rPr>
          <w:rFonts w:ascii="Times" w:hAnsi="Times"/>
        </w:rPr>
        <w:t xml:space="preserve"> As such, reduced REM seems to be a prominent following chronic, mild TBI. </w:t>
      </w:r>
    </w:p>
    <w:p w14:paraId="776D2133" w14:textId="77777777" w:rsidR="00F7044C" w:rsidRPr="00C421E4" w:rsidRDefault="00F7044C" w:rsidP="00F7044C">
      <w:pPr>
        <w:spacing w:line="480" w:lineRule="auto"/>
        <w:rPr>
          <w:rFonts w:ascii="Times" w:hAnsi="Times"/>
        </w:rPr>
      </w:pPr>
    </w:p>
    <w:p w14:paraId="309F9D03" w14:textId="77777777" w:rsidR="00F7044C" w:rsidRPr="00C421E4" w:rsidRDefault="00F7044C" w:rsidP="00F7044C">
      <w:pPr>
        <w:spacing w:line="480" w:lineRule="auto"/>
        <w:rPr>
          <w:rFonts w:ascii="Times" w:hAnsi="Times"/>
        </w:rPr>
      </w:pPr>
      <w:r w:rsidRPr="00C421E4">
        <w:rPr>
          <w:rFonts w:ascii="Times" w:hAnsi="Times"/>
        </w:rPr>
        <w:t xml:space="preserve">The TBI group also had significantly longer REM latency than the non-TBI group, similar to what others have reported </w:t>
      </w:r>
      <w:r w:rsidRPr="00C421E4">
        <w:rPr>
          <w:rFonts w:ascii="Times" w:hAnsi="Times"/>
        </w:rPr>
        <w:fldChar w:fldCharType="begin" w:fldLock="1"/>
      </w:r>
      <w:r w:rsidRPr="00C421E4">
        <w:rPr>
          <w:rFonts w:ascii="Times" w:hAnsi="Times"/>
        </w:rPr>
        <w:instrText xml:space="preserve"> ADDIN ZOTERO_ITEM CSL_CITATION {"citationID":"XjOUiDVx","properties":{"formattedCitation":"(Arbour et al., 2015)","plainCitation":"(Arbour et al., 2015)"},"citationItems":[{"id":"ITEM-1","uris":["http://www.mendeley.com/documents/?uuid=4aa4e69f-c4a4-4096-b684-ff51f52b27fe"],"uri":["http://www.mendeley.com/documents/?uuid=4aa4e69f-c4a4-4096-b684-ff51f52b27fe"],"itemData":{"DOI":"10.1016/j.sleep.2014.12.002","ISSN":"18785506","PMID":"25747335","abstract":"Introduction: Sleep complaints are common after mild traumatic brain injury (mTBI). While recent findings suggest that sleep macro-architecture is preserved in mTBI, features of non-rapid eye movement (NREM) sleep micro-architecture including electroencephalography (EEG) spectral power, slow waves (SW), and sleep spindles could be affected. This study aimed to compare NREM sleep in mTBI and healthy controls, and explore whether NREM sleep characteristics correlate with sleep complaints in these groups. Methods: Thirty-four mTBI participants (mean age: 34.2 ?? 11.9 yrs; post-injury delay: 10.5 ?? 10.4 weeks) and 29 age-matched controls (mean age: 32.4 ?? 8.2 yrs) were recruited for two consecutive nights of polysomnographic (PSG) recording. Spectral power was computed and SW and spindles were automatically detected in three derivations (F3, C3, O1) for the first three sleep cycles. Subjective sleep quality was assessed with the Pittsburgh Sleep Quality Index (PSQI). Results: mTBI participants reported significant poorer sleep quality than controls on the PSQI and showed significant increases in beta power during NREM sleep at the occipital derivation only. Conversely, no group differences were found in SW and spindle characteristics. Interestingly, changes in NREM sleep characteristics were not associated with mTBI estimation of sleep quality. Conclusions: Compared to controls, mTBI were found to have enhanced NREM beta power. However, these changes were not found to be associated with the subjective evaluation of sleep. While increases in beta bands during NREM sleep may be attributable to the occurrence of a brain injury, they could also be related to the presence of pain and anxiety as suggested in one prior study.","author":[{"dropping-particle":"","family":"Arbour","given":"Caroline","non-dropping-particle":"","parse-names":false,"suffix":""},{"dropping-particle":"","family":"Khoury","given":"Samar","non-dropping-particle":"","parse-names":false,"suffix":""},{"dropping-particle":"","family":"Lavigne","given":"Gilles J.","non-dropping-particle":"","parse-names":false,"suffix":""},{"dropping-particle":"","family":"Gagnon","given":"Katia","non-dropping-particle":"","parse-names":false,"suffix":""},{"dropping-particle":"","family":"Poirier","given":"Ga??tan","non-dropping-particle":"","parse-names":false,"suffix":""},{"dropping-particle":"","family":"Montplaisir","given":"Jacques Y.","non-dropping-particle":"","parse-names":false,"suffix":""},{"dropping-particle":"","family":"Carrier","given":"Julie","non-dropping-particle":"","parse-names":false,"suffix":""},{"dropping-particle":"","family":"Gosselin","given":"Nadia","non-dropping-particle":"","parse-names":false,"suffix":""}],"container-title":"Sleep Medicine","id":"ITEM-1","issue":"4","issued":{"date-parts":[["2015"]]},"page":"534-539","title":"Are NREM sleep characteristics associated to subjective sleep complaints after mild traumatic brain injury?","type":"article-journal","volume":"16"}}],"schema":"https://github.com/citation-style-language/schema/raw/master/csl-citation.json"} </w:instrText>
      </w:r>
      <w:r w:rsidRPr="00C421E4">
        <w:rPr>
          <w:rFonts w:ascii="Times" w:hAnsi="Times"/>
        </w:rPr>
        <w:fldChar w:fldCharType="separate"/>
      </w:r>
      <w:r w:rsidRPr="00C421E4">
        <w:rPr>
          <w:rFonts w:ascii="Times" w:hAnsi="Times"/>
          <w:noProof/>
        </w:rPr>
        <w:t>(Arbour et al., 2015)</w:t>
      </w:r>
      <w:r w:rsidRPr="00C421E4">
        <w:rPr>
          <w:rFonts w:ascii="Times" w:hAnsi="Times"/>
        </w:rPr>
        <w:fldChar w:fldCharType="end"/>
      </w:r>
      <w:r w:rsidRPr="00C421E4">
        <w:rPr>
          <w:rFonts w:ascii="Times" w:hAnsi="Times"/>
        </w:rPr>
        <w:t xml:space="preserve">. Interestingly, longer REM latency has been identified in individuals with PTSD </w:t>
      </w:r>
      <w:r w:rsidRPr="00C421E4">
        <w:rPr>
          <w:rFonts w:ascii="Times" w:hAnsi="Times"/>
        </w:rPr>
        <w:fldChar w:fldCharType="begin" w:fldLock="1"/>
      </w:r>
      <w:r w:rsidRPr="00C421E4">
        <w:rPr>
          <w:rFonts w:ascii="Times" w:hAnsi="Times"/>
        </w:rPr>
        <w:instrText xml:space="preserve"> ADDIN ZOTERO_ITEM CSL_CITATION {"citationID":"MlgGPQjo","properties":{"formattedCitation":"(Cowdin, Kobayashi, &amp; Mellman, 2014)","plainCitation":"(Cowdin, Kobayashi, &amp; Mellman, 2014)"},"citationItems":[{"id":"ITEM-1","uris":["http://www.mendeley.com/documents/?uuid=898d1d54-28e5-4e72-8936-7bd9cdbf8c99"],"uri":["http://www.mendeley.com/documents/?uuid=898d1d54-28e5-4e72-8936-7bd9cdbf8c99"],"itemData":{"DOI":"10.1007/s00221-014-3857-5","ISBN":"0022101438575","ISSN":"14321106","PMID":"24531640","abstract":"Emotional memory consolidation has been associated with rapid eye movement (REM) sleep, and recent evidence suggests that increased electroencephalogram spectral power in the theta (4-8 Hz) frequency range indexes this activity. REM sleep has been implicated in posttraumatic stress disorder (PTSD) as well as in emotional adaption. In this cross-sectional study, thirty young healthy African American adults with trauma exposure were assessed for PTSD status using the Clinician Administered PTSD Scale. Two consecutive night polysomnographic (PSG) recordings were performed and data scored for sleep stages. Quantitative electroencephalographic spectral analysis was used to measure theta frequency components sampled from REM sleep periods of the second-night PSG recordings. Our objective was to compare relative theta power between trauma-exposed participants who were either resilient or had developed PTSD. Results indicated higher right prefrontal theta power during the first and last REM periods in resilient participants compared with participants with PTSD. Right hemisphere prefrontal theta power during REM sleep may serve as a biomarker of the capacity for adaptive emotional memory processing among trauma-exposed individuals.","author":[{"dropping-particle":"","family":"Cowdin","given":"Nancy","non-dropping-particle":"","parse-names":false,"suffix":""},{"dropping-particle":"","family":"Kobayashi","given":"Ihori","non-dropping-particle":"","parse-names":false,"suffix":""},{"dropping-particle":"","family":"Mellman","given":"Thomas A.","non-dropping-particle":"","parse-names":false,"suffix":""}],"container-title":"Experimental Brain Research","id":"ITEM-1","issue":"5","issued":{"date-parts":[["2014"]]},"page":"1479-1485","title":"Theta frequency activity during rapid eye movement (REM) sleep is greater in people with resilience versus PTSD","type":"article-journal","volume":"232"}}],"schema":"https://github.com/citation-style-language/schema/raw/master/csl-citation.json"} </w:instrText>
      </w:r>
      <w:r w:rsidRPr="00C421E4">
        <w:rPr>
          <w:rFonts w:ascii="Times" w:hAnsi="Times"/>
        </w:rPr>
        <w:fldChar w:fldCharType="separate"/>
      </w:r>
      <w:r w:rsidRPr="00C421E4">
        <w:rPr>
          <w:rFonts w:ascii="Times" w:hAnsi="Times"/>
          <w:noProof/>
        </w:rPr>
        <w:t>(Cowdin, Kobayashi, &amp; Mellman, 2014)</w:t>
      </w:r>
      <w:r w:rsidRPr="00C421E4">
        <w:rPr>
          <w:rFonts w:ascii="Times" w:hAnsi="Times"/>
        </w:rPr>
        <w:fldChar w:fldCharType="end"/>
      </w:r>
      <w:r w:rsidRPr="00C421E4">
        <w:rPr>
          <w:rFonts w:ascii="Times" w:hAnsi="Times"/>
        </w:rPr>
        <w:t xml:space="preserve">, and REM latency alterations are a well-established biomarker of major depressive disorder </w:t>
      </w:r>
      <w:r w:rsidRPr="00C421E4">
        <w:rPr>
          <w:rFonts w:ascii="Times" w:hAnsi="Times"/>
        </w:rPr>
        <w:fldChar w:fldCharType="begin" w:fldLock="1"/>
      </w:r>
      <w:r w:rsidRPr="00C421E4">
        <w:rPr>
          <w:rFonts w:ascii="Times" w:hAnsi="Times"/>
        </w:rPr>
        <w:instrText xml:space="preserve"> ADDIN ZOTERO_ITEM CSL_CITATION {"citationID":"GVz2ONKP","properties":{"formattedCitation":"(Giles, Biggs, Rush, &amp; Roffwarg, 1988)","plainCitation":"(Giles, Biggs, Rush, &amp; Roffwarg, 1988)"},"citationItems":[{"id":"ITEM-1","uris":["http://www.mendeley.com/documents/?uuid=3e34f922-200c-4ce8-a7b1-10ddc7ee295c"],"uri":["http://www.mendeley.com/documents/?uuid=3e34f922-200c-4ce8-a7b1-10ddc7ee295c"],"itemData":{"DOI":"10.1016/0165-0327(88)90071-7","ISBN":"0165-0327 (Print)","ISSN":"01650327","PMID":"2963052","abstract":"In this report, we present data documenting the incidence of reduced REM latency and the lifetime prevalence of psychiatric illness in the parents and siblings of early onset unipolar depressed probands. The prevalence of psychiatric illness (49.3%), especially affective disorders (34.3%), was very high among these relatives. Reduced REM latency in the family members of reduced REM latency probands showed a concordance rate of 70.6% regardless of psychiatric history. The relative risk for unipolar depression among relatives with reduced REM latency was almost three times greater than for relatives with nonreduced REM latency. ?? 1988.","author":[{"dropping-particle":"","family":"Giles","given":"Donna E.","non-dropping-particle":"","parse-names":false,"suffix":""},{"dropping-particle":"","family":"Biggs","given":"Melanie M.","non-dropping-particle":"","parse-names":false,"suffix":""},{"dropping-particle":"","family":"Rush","given":"A. John","non-dropping-particle":"","parse-names":false,"suffix":""},{"dropping-particle":"","family":"Roffwarg","given":"Howard P.","non-dropping-particle":"","parse-names":false,"suffix":""}],"container-title":"Journal of Affective Disorders","id":"ITEM-1","issue":"1","issued":{"date-parts":[["1988"]]},"page":"51-59","title":"Risk factors in families of unipolar depression. I. Psychiatric illness and reduced REM latency","type":"article-journal","volume":"14"}}],"schema":"https://github.com/citation-style-language/schema/raw/master/csl-citation.json"} </w:instrText>
      </w:r>
      <w:r w:rsidRPr="00C421E4">
        <w:rPr>
          <w:rFonts w:ascii="Times" w:hAnsi="Times"/>
        </w:rPr>
        <w:fldChar w:fldCharType="separate"/>
      </w:r>
      <w:r w:rsidRPr="00C421E4">
        <w:rPr>
          <w:rFonts w:ascii="Times" w:hAnsi="Times"/>
          <w:noProof/>
        </w:rPr>
        <w:t>(Giles, Biggs, Rush, &amp; Roffwarg, 1988)</w:t>
      </w:r>
      <w:r w:rsidRPr="00C421E4">
        <w:rPr>
          <w:rFonts w:ascii="Times" w:hAnsi="Times"/>
        </w:rPr>
        <w:fldChar w:fldCharType="end"/>
      </w:r>
      <w:r w:rsidRPr="00C421E4">
        <w:rPr>
          <w:rFonts w:ascii="Times" w:hAnsi="Times"/>
        </w:rPr>
        <w:t xml:space="preserve">. It is possible that longer REM latency is a marker of having had a concussion. However, the meta-analysis described above does not support this hypothesis, as no differences in REM latency were found between aggregated TBI and non-TBI groups in that investigation </w:t>
      </w:r>
      <w:r w:rsidRPr="00C421E4">
        <w:rPr>
          <w:rFonts w:ascii="Times" w:hAnsi="Times"/>
        </w:rPr>
        <w:fldChar w:fldCharType="begin" w:fldLock="1"/>
      </w:r>
      <w:r w:rsidRPr="00C421E4">
        <w:rPr>
          <w:rFonts w:ascii="Times" w:hAnsi="Times"/>
        </w:rPr>
        <w:instrText xml:space="preserve"> ADDIN ZOTERO_ITEM CSL_CITATION {"citationID":"JA07gloF","properties":{"formattedCitation":"(Grima et al., 2016)","plainCitation":"(Grima et al., 2016)"},"citationItems":[{"id":"ITEM-1","uris":["http://www.mendeley.com/documents/?uuid=2f816b91-f53d-4a97-8c48-e6dd40f3224e"],"uri":["http://www.mendeley.com/documents/?uuid=2f816b91-f53d-4a97-8c48-e6dd40f3224e"],"itemData":{"author":[{"dropping-particle":"","family":"Grima","given":"N.","non-dropping-particle":"","parse-names":false,"suffix":""},{"dropping-particle":"","family":"Ponsford","given":"J.","non-dropping-particle":"","parse-names":false,"suffix":""},{"dropping-particle":"","family":"Rajaratnam","given":"S. M.","non-dropping-particle":"","parse-names":false,"suffix":""},{"dropping-particle":"","family":"Mansfield","given":"D.","non-dropping-particle":"","parse-names":false,"suffix":""},{"dropping-particle":"","family":"Pase","given":"M. P.","non-dropping-particle":"","parse-names":false,"suffix":""}],"container-title":"Journal of Clinical Sleep Medicine","id":"ITEM-1","issue":"3","issued":{"date-parts":[["2016"]]},"page":"419-428","title":"Sleep Disturbances in Traumatic Brain Injury: A Meta-Analysis","type":"article-journal","volume":"12"}}],"schema":"https://github.com/citation-style-language/schema/raw/master/csl-citation.json"}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(Grima et al., 2016)</w:t>
      </w:r>
      <w:r w:rsidRPr="00C421E4">
        <w:rPr>
          <w:rFonts w:ascii="Times" w:hAnsi="Times"/>
        </w:rPr>
        <w:fldChar w:fldCharType="end"/>
      </w:r>
      <w:r w:rsidRPr="00C421E4">
        <w:rPr>
          <w:rFonts w:ascii="Times" w:hAnsi="Times"/>
        </w:rPr>
        <w:t xml:space="preserve">. Alternatively, the TBI individuals could be experiencing a TBI-induced circadian rhythm delay </w:t>
      </w:r>
      <w:r w:rsidRPr="00C421E4">
        <w:rPr>
          <w:rFonts w:ascii="Times" w:hAnsi="Times"/>
        </w:rPr>
        <w:fldChar w:fldCharType="begin" w:fldLock="1"/>
      </w:r>
      <w:r w:rsidRPr="00C421E4">
        <w:rPr>
          <w:rFonts w:ascii="Times" w:hAnsi="Times"/>
        </w:rPr>
        <w:instrText xml:space="preserve"> ADDIN ZOTERO_ITEM CSL_CITATION {"citationID":"EtyWDd3b","properties":{"formattedCitation":"(Ayalon, Borodkin, Dishon, Kanety, &amp; Dagan, 2007)","plainCitation":"(Ayalon, Borodkin, Dishon, Kanety, &amp; Dagan, 2007)"},"citationItems":[{"id":"ITEM-1","uris":["http://www.mendeley.com/documents/?uuid=61d1a84e-1a9c-40d4-8ad9-75150b2f895c"],"uri":["http://www.mendeley.com/documents/?uuid=61d1a84e-1a9c-40d4-8ad9-75150b2f895c"],"itemData":{"DOI":"10.1212/01.wnl.0000258672.52836.30","ISBN":"0028-3878","ISSN":"00283878","PMID":"17404196","abstract":"OBJECTIVE: To describe the physiologic and behavioral characteristics of circadian rhythm sleep disorders (CRSDs) following minor traumatic brain injury (mTBI) in patients complaining of insomnia. METHODS: Forty two patients with insomnia complaints following mTBI were screened. Those suspected of having CRSD underwent actigraphy, saliva melatonin and oral temperature measurement, and polysomnography. All patients also filled out a self-reported questionnaire to determine their circadian preference. RESULTS: Fifteen of the 42 patients (36%) with complaints of insomnia following mTBI were diagnosed with CRSD. Eight patients displayed a delayed sleep phase syndrome (DSPS), whereas seven displayed an irregular sleep-wake pattern (ISWP). Whereas all patients with DSPS exhibited a 24-hour periodicity of oral temperature rhythm, three of seven patients with ISWP lacked such a daily rhythm. In addition, ISWP patients exhibited smaller amplitude of oral temperature rhythm vs the DSPS group. Subjective Morningness-Eveningness Questionnaire scores were in accordance with the clinical diagnosis of DSPS or ISWP based on actigraphy. CONCLUSIONS: Minor traumatic brain injury might contribute to the emergence of circadian rhythm sleep disorders. Two types of these disorders were observed: delayed sleep phase syndrome and irregular sleep-wake pattern. The types differed in the subjective questionnaire scores and had distinct profiles of melatonin and temperature circadian rhythms","author":[{"dropping-particle":"","family":"Ayalon","given":"L.","non-dropping-particle":"","parse-names":false,"suffix":""},{"dropping-particle":"","family":"Borodkin","given":"K.","non-dropping-particle":"","parse-names":false,"suffix":""},{"dropping-particle":"","family":"Dishon","given":"L.","non-dropping-particle":"","parse-names":false,"suffix":""},{"dropping-particle":"","family":"Kanety","given":"H.","non-dropping-particle":"","parse-names":false,"suffix":""},{"dropping-particle":"","family":"Dagan","given":"Y.","non-dropping-particle":"","parse-names":false,"suffix":""}],"container-title":"Neurology","id":"ITEM-1","issue":"14","issued":{"date-parts":[["2007"]]},"page":"1136-1140","title":"Circadian rhythm sleep disorders following mild traumatic brain injury","type":"article-journal","volume":"68"}}],"schema":"https://github.com/citation-style-language/schema/raw/master/csl-citation.json"} </w:instrText>
      </w:r>
      <w:r w:rsidRPr="00C421E4">
        <w:rPr>
          <w:rFonts w:ascii="Times" w:hAnsi="Times"/>
        </w:rPr>
        <w:fldChar w:fldCharType="separate"/>
      </w:r>
      <w:r w:rsidRPr="00C421E4">
        <w:rPr>
          <w:rFonts w:ascii="Times" w:hAnsi="Times"/>
          <w:noProof/>
        </w:rPr>
        <w:t>(Ayalon, Borodkin, Dishon, Kanety, &amp; Dagan, 2007)</w:t>
      </w:r>
      <w:r w:rsidRPr="00C421E4">
        <w:rPr>
          <w:rFonts w:ascii="Times" w:hAnsi="Times"/>
        </w:rPr>
        <w:fldChar w:fldCharType="end"/>
      </w:r>
      <w:r w:rsidRPr="00C421E4">
        <w:rPr>
          <w:rFonts w:ascii="Times" w:hAnsi="Times"/>
        </w:rPr>
        <w:t xml:space="preserve">, which could delay REM onset. </w:t>
      </w:r>
    </w:p>
    <w:p w14:paraId="76573CC0" w14:textId="77777777" w:rsidR="00F7044C" w:rsidRPr="00C421E4" w:rsidRDefault="00F7044C" w:rsidP="00F7044C">
      <w:pPr>
        <w:spacing w:line="480" w:lineRule="auto"/>
        <w:rPr>
          <w:rFonts w:ascii="Times" w:hAnsi="Times"/>
        </w:rPr>
      </w:pPr>
    </w:p>
    <w:p w14:paraId="0BC28897" w14:textId="77777777" w:rsidR="00F7044C" w:rsidRPr="005E1A24" w:rsidRDefault="00F7044C" w:rsidP="00F7044C">
      <w:pPr>
        <w:spacing w:line="480" w:lineRule="auto"/>
        <w:jc w:val="center"/>
        <w:outlineLvl w:val="0"/>
        <w:rPr>
          <w:rFonts w:ascii="Times" w:hAnsi="Times"/>
          <w:b/>
        </w:rPr>
      </w:pPr>
      <w:r>
        <w:rPr>
          <w:rFonts w:ascii="Times" w:hAnsi="Times"/>
          <w:b/>
        </w:rPr>
        <w:t xml:space="preserve">2. </w:t>
      </w:r>
      <w:r w:rsidRPr="005E1A24">
        <w:rPr>
          <w:rFonts w:ascii="Times" w:hAnsi="Times"/>
          <w:b/>
        </w:rPr>
        <w:t>Emotional memory consolidation in chronic TBI</w:t>
      </w:r>
    </w:p>
    <w:p w14:paraId="40FEBFA1" w14:textId="77777777" w:rsidR="00F7044C" w:rsidRPr="00C421E4" w:rsidRDefault="00F7044C" w:rsidP="00F7044C">
      <w:pPr>
        <w:widowControl w:val="0"/>
        <w:autoSpaceDE w:val="0"/>
        <w:autoSpaceDN w:val="0"/>
        <w:adjustRightInd w:val="0"/>
        <w:spacing w:after="240" w:line="480" w:lineRule="auto"/>
        <w:rPr>
          <w:rFonts w:ascii="Times" w:hAnsi="Times"/>
        </w:rPr>
      </w:pPr>
      <w:r w:rsidRPr="00C421E4">
        <w:rPr>
          <w:rFonts w:ascii="Times" w:hAnsi="Times"/>
        </w:rPr>
        <w:t xml:space="preserve">We found a specific deficit in the consolidation of negative emotional stimuli in individuals with a history of TBI. It is possible that hippocampal injury that occurs during TBI </w:t>
      </w:r>
      <w:r w:rsidRPr="00C421E4">
        <w:rPr>
          <w:rFonts w:ascii="Times" w:hAnsi="Times"/>
        </w:rPr>
        <w:fldChar w:fldCharType="begin" w:fldLock="1"/>
      </w:r>
      <w:r w:rsidRPr="00C421E4">
        <w:rPr>
          <w:rFonts w:ascii="Times" w:hAnsi="Times"/>
        </w:rPr>
        <w:instrText xml:space="preserve"> ADDIN ZOTERO_ITEM CSL_CITATION {"citationID":"qx1qpKeG","properties":{"formattedCitation":"(Lowenstein, Thomas, Smith, &amp; McIntosh, 1992; Warriner &amp; Velikonja, 2006)","plainCitation":"(Lowenstein, Thomas, Smith, &amp; McIntosh, 1992; Warriner &amp; Velikonja, 2006)"},"citationItems":[{"id":"ITEM-1","uris":["http://www.mendeley.com/documents/?uuid=5a7c590f-a238-41e7-a600-666cb42ce176"],"uri":["http://www.mendeley.com/documents/?uuid=5a7c590f-a238-41e7-a600-666cb42ce176"],"itemData":{"DOI":"10.1007/s11920-006-0083-2","ISBN":"1523-3812 (Print)\\r1523-3812 (Linking)","ISSN":"1523-3812","PMID":"16513045","abstract":"Traumatic brain injuries (TBI) are frequently accompanied by psychiatric disturbances, which can include striking to relatively minor alterations in personality, behavior, and emotional regulation. The persistence of these neurobehavioral syndromes often leads to deleterious effects on recovery and rehabilitation outcomes. A recent surge of studies has emerged in the past several years to quantify the extent of psychiatric disorders in TBI and to describe differential clinical presentations. Various pre- and post-injury factors also have been hypothesized to contribute to the development and maintenance of psychiatric symptoms in survivors of brain injuries. The identification of high-risk individuals with distinct neuropathophysiological and psychosocial features permits the development of multidisciplinary and tailored approaches to the assessment, prevention, and management of the negative effects of personality and behavioral changes in TBI. This article summarizes the most recent research in these areas and highlights the gaps that need to be filled in subsequent future.","author":[{"dropping-particle":"","family":"Warriner","given":"Erin M","non-dropping-particle":"","parse-names":false,"suffix":""},{"dropping-particle":"","family":"Velikonja","given":"Diana","non-dropping-particle":"","parse-names":false,"suffix":""}],"container-title":"Current psychiatry reports","id":"ITEM-1","issue":"1","issued":{"date-parts":[["2006"]]},"page":"73-80","title":"Psychiatric disturbances after traumatic brain injury: neurobehavioral and personality changes.","type":"article-journal","volume":"8"}},{"id":"ITEM-2","uris":["http://www.mendeley.com/documents/?uuid=3e5ee137-a42b-42b3-933f-2352395b7eff"],"uri":["http://www.mendeley.com/documents/?uuid=3e5ee137-a42b-42b3-933f-2352395b7eff"],"itemData":{"ISBN":"0270-6474 (Print) 0270-6474 (Linking)","ISSN":"0270-6474","PMID":"1464770","abstract":"Despite intensive study, the neurobiological basis of epilepsy and persistent memory impairment following traumatic head injury remains unknown. Since abnormalities of the hippocampus are known to be associated with temporal lobe seizures and memory dysfunction, we investigated the effects of experimental traumatic brain injury on hippocampal structure and function in the rat. Using a model of fluid-percussion injury, we have discovered that neurons of the dentate hilus are vulnerable to a brief, unilateral impact to the extradural surface of the brain. One week after trauma, there was a dramatic reduction in hilar neurons ipsilateral to the impact, and a milder but significant decrease in neurons on the contralateral side as well. This neuronal loss was highly selective since adjacent dentate granule and pyramidal neurons appeared relatively unaffected. Immunocytochemistry showed that the hilar cell loss included a loss of somatostatin-immunoreactive neurons, and degeneration stains provided evidence that irreversible hilar injury occurred within 4 hr of impact. To assess the functional effects of the hilar damage, dentate granule cell field potentials were measured in response to perforant path stimulation. This revealed abnormal dentate granule cell hyperexcitability at 2.0 Hz stimulation in many of the injured animals. The presence of abnormal hyperexcitability correlated with the loss of hilar neurons. Thus, a momentary impact to the surface of the brain can cause selective, bilateral hippocampal injury with associated abnormalities in dentate gyrus physiology. Furthermore, the pattern of cell loss is similar to that observed in some patients with temporal lobe epilepsy.(ABSTRACT TRUNCATED AT 250 WORDS)","author":[{"dropping-particle":"","family":"Lowenstein","given":"D H","non-dropping-particle":"","parse-names":false,"suffix":""},{"dropping-particle":"","family":"Thomas","given":"M J","non-dropping-particle":"","parse-names":false,"suffix":""},{"dropping-particle":"","family":"Smith","given":"D H","non-dropping-particle":"","parse-names":false,"suffix":""},{"dropping-particle":"","family":"McIntosh","given":"T K","non-dropping-particle":"","parse-names":false,"suffix":""}],"container-title":"The Journal of neuroscience : the official journal of the Society for Neuroscience","id":"ITEM-2","issue":"12","issued":{"date-parts":[["1992"]]},"page":"4846-4853","title":"Selective vulnerability of dentate hilar neurons following traumatic brain injury: a potential mechanistic link between head trauma and disorders of the hippocampus","type":"article-journal","volume":"12"}}],"schema":"https://github.com/citation-style-language/schema/raw/master/csl-citation.json"}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(Lowenstein, Thomas, Smith, &amp; McIntosh, 1992; Warriner &amp; Velikonja, 2006)</w:t>
      </w:r>
      <w:r w:rsidRPr="00C421E4">
        <w:rPr>
          <w:rFonts w:ascii="Times" w:hAnsi="Times"/>
        </w:rPr>
        <w:fldChar w:fldCharType="end"/>
      </w:r>
      <w:r w:rsidRPr="00C421E4">
        <w:rPr>
          <w:rFonts w:ascii="Times" w:hAnsi="Times"/>
        </w:rPr>
        <w:t xml:space="preserve"> is the primary cause of reduced consolidation, but this seems unlikely given that consolidation of neutral stimuli is preserved in the TBI population. Alternatively, hippocampal damage may lead to the disruption of the structurally linked limbic system, which modulates emotional processing </w:t>
      </w:r>
      <w:r w:rsidRPr="00C421E4">
        <w:rPr>
          <w:rFonts w:ascii="Times" w:hAnsi="Times"/>
        </w:rPr>
        <w:fldChar w:fldCharType="begin" w:fldLock="1"/>
      </w:r>
      <w:r w:rsidRPr="00C421E4">
        <w:rPr>
          <w:rFonts w:ascii="Times" w:hAnsi="Times"/>
        </w:rPr>
        <w:instrText xml:space="preserve"> ADDIN ZOTERO_ITEM CSL_CITATION {"citationID":"YyjboxoV","properties":{"formattedCitation":"(LeDoux, 1993)","plainCitation":"(LeDoux, 1993)"},"citationItems":[{"id":"ITEM-1","uris":["http://www.mendeley.com/documents/?uuid=98d01920-d0d3-49e3-9ce5-c3bd84205726"],"uri":["http://www.mendeley.com/documents/?uuid=98d01920-d0d3-49e3-9ce5-c3bd84205726"],"itemData":{"DOI":"10.1016/0166-4328(93)90091-4","ISBN":"0166-4328 (Print)\\n0166-4328 (Linking)","ISSN":"01664328","PMID":"8136051","abstract":"The neural mechanisms of emotion and memory have long been thought to reside side by side, if not in overlapping structures, of the limbic system. However, the limbic system concept is no longer acceptable as an account of the neural basis of memory or emotion and is being replaced with specific circuit accounts of specific emotional and memory processes. Emotional memory, a special category of memory involving the implicit (probably unconscious) learning and storage of information about the emotional significance of events, is modeled in rodent experiments using aversive classical conditioning techniques. The neural system underlying emotional memory critically involves the amygdala and structures with which it is connected. Afferent inputs from sensory processing areas of the thalamus and cortex mediate emotional learning in situations involving specific sensory cues, whereas learning about the emotional significance of more general, contextual cues involves projections to the amygdala from the hippocampal formation. Within the amygdala, the lateral nucleus (AL) is the sensory interface and the central nucleus the linkage with motor systems involved in the control of species-typical emotional behaviors and autonomic responses. Studies of cellular mechanisms in these pathways have focused on the direct relay to the lateral amygdala from the auditory thalamus. These studies show that single cells in AL respond to both conditioned stimulus and unconditioned stimulus inputs, leading to the notion that AL might be a critical site of sensory-sensory integration in emotional learning. The thalamo-amygdala pathway also exhibits long-term potentiation, a form of synaptic plasticity that might underlie the emotional learning functions of the circuit. The thalamo-amygdala pathway contains and uses the amino acid glutamate in synaptic transmission, suggesting the possibility that an amino-acid mediated form of synaptic plasticity is involved in the emotional learning functions of the pathway. We are thus well on the way to a systems level and a cellular understanding of at least one form of emotional learning and memory. ?? 1993.","author":[{"dropping-particle":"","family":"LeDoux","given":"Joseph E.","non-dropping-particle":"","parse-names":false,"suffix":""}],"container-title":"Behavioural Brain Research","id":"ITEM-1","issue":"1-2","issued":{"date-parts":[["1993"]]},"page":"69-79","title":"Emotional memory systems in the brain","type":"article-journal","volume":"58"}}],"schema":"https://github.com/citation-style-language/schema/raw/master/csl-citation.json"} </w:instrText>
      </w:r>
      <w:r w:rsidRPr="00C421E4">
        <w:rPr>
          <w:rFonts w:ascii="Times" w:hAnsi="Times"/>
        </w:rPr>
        <w:fldChar w:fldCharType="separate"/>
      </w:r>
      <w:r w:rsidRPr="00C421E4">
        <w:rPr>
          <w:rFonts w:ascii="Times" w:hAnsi="Times"/>
          <w:noProof/>
        </w:rPr>
        <w:t>(LeDoux, 1993)</w:t>
      </w:r>
      <w:r w:rsidRPr="00C421E4">
        <w:rPr>
          <w:rFonts w:ascii="Times" w:hAnsi="Times"/>
        </w:rPr>
        <w:fldChar w:fldCharType="end"/>
      </w:r>
      <w:r w:rsidRPr="00C421E4">
        <w:rPr>
          <w:rFonts w:ascii="Times" w:hAnsi="Times"/>
        </w:rPr>
        <w:t xml:space="preserve">. It is also possible that prolonged frontal lobe damage disrupts downstream emotional processing via disrupted communication with and inhibition of the amygdala. Further work to probe these hypotheses using functional imaging is warranted. </w:t>
      </w:r>
    </w:p>
    <w:p w14:paraId="080A54DD" w14:textId="77777777" w:rsidR="00F7044C" w:rsidRPr="00C421E4" w:rsidRDefault="00F7044C" w:rsidP="00F7044C">
      <w:pPr>
        <w:widowControl w:val="0"/>
        <w:autoSpaceDE w:val="0"/>
        <w:autoSpaceDN w:val="0"/>
        <w:adjustRightInd w:val="0"/>
        <w:spacing w:after="240" w:line="480" w:lineRule="auto"/>
        <w:rPr>
          <w:rFonts w:ascii="Times" w:hAnsi="Times"/>
        </w:rPr>
      </w:pPr>
      <w:r w:rsidRPr="00C421E4">
        <w:rPr>
          <w:rFonts w:ascii="Times" w:hAnsi="Times"/>
        </w:rPr>
        <w:t xml:space="preserve">In the TBI group, memory consolidation was affected by lower FA in the TBI Wake group and higher FA in the TBI Sleep group. We probed whether clinical injury factors and sleep characteristics predicted FA rate. For the TBI Wake group, we did not identify any factors predicting FA. However, in the TBI Sleep group, we found individuals with a history of more TBIs had a higher rate of FA. We also found the percent of the night in N2 and SWS significantly predicted FA, such that more time in these stages predicted lower rates of FA. REM marginally predicted FA in the same manner. Importantly, total sleep time did not predict FA, suggesting an active contribution of each sleep stage rather than a passive effect of sleep (i.e., a lack of interference caused by less wake time). We propose the dearth of REM in this population contributed to reduced memory consolidation (discussed further below). </w:t>
      </w:r>
    </w:p>
    <w:p w14:paraId="0F665FCE" w14:textId="77777777" w:rsidR="00F7044C" w:rsidRPr="00C421E4" w:rsidRDefault="00F7044C" w:rsidP="00F7044C">
      <w:pPr>
        <w:spacing w:line="480" w:lineRule="auto"/>
        <w:rPr>
          <w:rFonts w:ascii="Times" w:hAnsi="Times"/>
        </w:rPr>
      </w:pPr>
      <w:r w:rsidRPr="00C421E4">
        <w:rPr>
          <w:rFonts w:ascii="Times" w:hAnsi="Times"/>
        </w:rPr>
        <w:lastRenderedPageBreak/>
        <w:t xml:space="preserve">In our sample, the TBI Wake group unexpectedly had low FA rates but normal HR rates relative to non-TBI Wake participants. Interestingly, these data are consistent with work demonstrating patients with moderate to severe head injury respond with fewer errors during a reaction time task </w:t>
      </w:r>
      <w:r w:rsidRPr="00C421E4">
        <w:rPr>
          <w:rFonts w:ascii="Times" w:hAnsi="Times"/>
        </w:rPr>
        <w:fldChar w:fldCharType="begin" w:fldLock="1"/>
      </w:r>
      <w:r w:rsidRPr="00C421E4">
        <w:rPr>
          <w:rFonts w:ascii="Times" w:hAnsi="Times"/>
        </w:rPr>
        <w:instrText xml:space="preserve"> ADDIN ZOTERO_ITEM CSL_CITATION {"citationID":"hB6gVckE","properties":{"formattedCitation":"(Battistone, Woltz, &amp; Clark, 2008)","plainCitation":"(Battistone, Woltz, &amp; Clark, 2008)"},"citationItems":[{"id":"ITEM-1","uris":["http://www.mendeley.com/documents/?uuid=3140a16d-cb47-4c51-bae4-5f9e95bb3af1"],"uri":["http://www.mendeley.com/documents/?uuid=3140a16d-cb47-4c51-bae4-5f9e95bb3af1"],"itemData":{"DOI":"10.1080/09084280801917863","ISSN":"0908-4282","PMID":"18443943","abstract":"This study used speed-accuracy trade-off (SAT) methodology to test competing explanations for processing speed deficits due to traumatic brain injury (TBI): fixed limited capacity and volition. Twenty TBI participants and 20 comparison participants performed a visual scanning task with processing times controlled by the experimenter using a response deadline procedure. Results of the study demonstrated marked differences in SAT functions between the two groups. Participants who had TBIs were significantly slower on information accrual across processing deadlines (supporting a fixed limit explanation), but when early responding was allowed they chose to hold off responding despite being no more accurate in their responses with the additional time (a finding supporting a volitional explanation). Results of the study are discussed in terms of a resource allocation model that incorporates the influences of both processing capacity and volitional processes for individuals who suffer from brain injuries.","author":[{"dropping-particle":"","family":"Battistone","given":"Melanie","non-dropping-particle":"","parse-names":false,"suffix":""},{"dropping-particle":"","family":"Woltz","given":"Dan","non-dropping-particle":"","parse-names":false,"suffix":""},{"dropping-particle":"","family":"Clark","given":"Elaine","non-dropping-particle":"","parse-names":false,"suffix":""}],"container-title":"Applied neuropsychology","id":"ITEM-1","issue":"1","issued":{"date-parts":[["2008"]]},"page":"69-78","title":"Processing speed deficits associated with traumatic brain injury: processing inefficiency or cautiousness?","type":"article-journal","volume":"15"}}],"schema":"https://github.com/citation-style-language/schema/raw/master/csl-citation.json"} </w:instrText>
      </w:r>
      <w:r w:rsidRPr="00C421E4">
        <w:rPr>
          <w:rFonts w:ascii="Times" w:hAnsi="Times"/>
        </w:rPr>
        <w:fldChar w:fldCharType="separate"/>
      </w:r>
      <w:r w:rsidRPr="00C421E4">
        <w:rPr>
          <w:rFonts w:ascii="Times" w:hAnsi="Times"/>
          <w:noProof/>
        </w:rPr>
        <w:t>(Battistone, Woltz, &amp; Clark, 2008)</w:t>
      </w:r>
      <w:r w:rsidRPr="00C421E4">
        <w:rPr>
          <w:rFonts w:ascii="Times" w:hAnsi="Times"/>
        </w:rPr>
        <w:fldChar w:fldCharType="end"/>
      </w:r>
      <w:r w:rsidRPr="00C421E4">
        <w:rPr>
          <w:rFonts w:ascii="Times" w:hAnsi="Times"/>
        </w:rPr>
        <w:t xml:space="preserve"> and during a memory recognition task </w:t>
      </w:r>
      <w:r w:rsidRPr="00C421E4">
        <w:rPr>
          <w:rFonts w:ascii="Times" w:hAnsi="Times"/>
        </w:rPr>
        <w:fldChar w:fldCharType="begin" w:fldLock="1"/>
      </w:r>
      <w:r w:rsidRPr="00C421E4">
        <w:rPr>
          <w:rFonts w:ascii="Times" w:hAnsi="Times"/>
        </w:rPr>
        <w:instrText xml:space="preserve"> ADDIN ZOTERO_ITEM CSL_CITATION {"citationID":"yAvu42bm","properties":{"formattedCitation":"(Brooks, 1974, 1975)","plainCitation":"(Brooks, 1974, 1975)"},"citationItems":[{"id":"ITEM-1","uris":["http://www.mendeley.com/documents/?uuid=d12675f6-e236-443c-8224-55d879418917"],"uri":["http://www.mendeley.com/documents/?uuid=d12675f6-e236-443c-8224-55d879418917"],"itemData":{"author":[{"dropping-particle":"","family":"Brooks","given":"DN","non-dropping-particle":"","parse-names":false,"suffix":""}],"container-title":"Cortex","id":"ITEM-1","issue":"3","issued":{"date-parts":[["1974"]]},"page":"224-230","title":"Recognition Memory After Head Injury: A Signal Detection Analysis","type":"article-journal","volume":"10"}},{"id":"ITEM-2","uris":["http://www.mendeley.com/documents/?uuid=f2152e8c-09ec-405d-9554-a0f82c87a075"],"uri":["http://www.mendeley.com/documents/?uuid=f2152e8c-09ec-405d-9554-a0f82c87a075"],"itemData":{"author":[{"dropping-particle":"","family":"Brooks","given":"DN","non-dropping-particle":"","parse-names":false,"suffix":""}],"container-title":"Cortex","id":"ITEM-2","issue":"4","issued":{"date-parts":[["1975"]]},"page":"329-340","title":"Long and Short Term Memory in Head Injured Patients","type":"article-journal","volume":"11"}}],"schema":"https://github.com/citation-style-language/schema/raw/master/csl-citation.json"} </w:instrText>
      </w:r>
      <w:r w:rsidRPr="00C421E4">
        <w:rPr>
          <w:rFonts w:ascii="Times" w:hAnsi="Times"/>
        </w:rPr>
        <w:fldChar w:fldCharType="separate"/>
      </w:r>
      <w:r w:rsidRPr="00C421E4">
        <w:rPr>
          <w:rFonts w:ascii="Times" w:hAnsi="Times"/>
          <w:noProof/>
        </w:rPr>
        <w:t>(Brooks, 1974, 1975)</w:t>
      </w:r>
      <w:r w:rsidRPr="00C421E4">
        <w:rPr>
          <w:rFonts w:ascii="Times" w:hAnsi="Times"/>
        </w:rPr>
        <w:fldChar w:fldCharType="end"/>
      </w:r>
      <w:r w:rsidRPr="00C421E4">
        <w:rPr>
          <w:rFonts w:ascii="Times" w:hAnsi="Times"/>
        </w:rPr>
        <w:t xml:space="preserve">. The author of these studies suggested that reduced errors may have resulted from either a general increase in hesitancy or a failure to encode. Although assessing the former hypothesis is beyond the scope of this study, we do not feel the latter hypothesis to be true.  Specifically, if TBI-related encoding deficits were the sole mechanism underlying reductions in FA, we would expect the TBI Sleep group to also have low FA. However, the TBI Sleep group had marginally higher FA than the non-TBI Sleep group. This leads us to believe either (1) encoding deficits are not responsible for lower FA in the TBI Wake group, or (2) poor encoding indeed affected FA in all TBI subjects, but the TBI Sleep group experienced additional, unrelated interference, which led to an increase in FA. We believe the latter to be the case. </w:t>
      </w:r>
    </w:p>
    <w:p w14:paraId="65761A2E" w14:textId="77777777" w:rsidR="00F7044C" w:rsidRPr="00C421E4" w:rsidRDefault="00F7044C" w:rsidP="00F7044C">
      <w:pPr>
        <w:spacing w:line="480" w:lineRule="auto"/>
        <w:rPr>
          <w:rFonts w:ascii="Times" w:hAnsi="Times"/>
        </w:rPr>
      </w:pPr>
    </w:p>
    <w:p w14:paraId="7ED74753" w14:textId="77777777" w:rsidR="00F7044C" w:rsidRPr="00C421E4" w:rsidRDefault="00F7044C" w:rsidP="00F7044C">
      <w:pPr>
        <w:spacing w:line="480" w:lineRule="auto"/>
        <w:rPr>
          <w:rFonts w:ascii="Times" w:hAnsi="Times"/>
        </w:rPr>
      </w:pPr>
      <w:r w:rsidRPr="00C421E4">
        <w:rPr>
          <w:rFonts w:ascii="Times" w:hAnsi="Times"/>
        </w:rPr>
        <w:t xml:space="preserve">We propose that inefficient or incomplete reorganization of memory during sleep may have resulted in higher FA in the TBI Sleep group. According to the synaptic homeostasis hypothesis, global downscaling of synapses during sleep (namely SWS) eliminates weak synaptic connections while strengthening stronger connections </w:t>
      </w:r>
      <w:r w:rsidRPr="00C421E4">
        <w:rPr>
          <w:rFonts w:ascii="Times" w:hAnsi="Times"/>
        </w:rPr>
        <w:fldChar w:fldCharType="begin" w:fldLock="1"/>
      </w:r>
      <w:r w:rsidRPr="00C421E4">
        <w:rPr>
          <w:rFonts w:ascii="Times" w:hAnsi="Times"/>
        </w:rPr>
        <w:instrText xml:space="preserve"> ADDIN ZOTERO_ITEM CSL_CITATION {"citationID":"e8ujwVnE","properties":{"formattedCitation":"(Tononi &amp; Cirelli, 2003)","plainCitation":"(Tononi &amp; Cirelli, 2003)"},"citationItems":[{"id":"ITEM-1","uris":["http://www.mendeley.com/documents/?uuid=95708698-e1ad-45c4-8363-6e875f2abd5f"],"uri":["http://www.mendeley.com/documents/?uuid=95708698-e1ad-45c4-8363-6e875f2abd5f"],"itemData":{"DOI":"10.1016/j.brainresbull.2003.09.004","ISBN":"1608263606","ISSN":"03619230","PMID":"14638388","abstract":"During much of sleep, the cerebral cortex is rippled by slow waves, which appear in the electroencephalogram as oscillations between 0.5 and 4.5Hz. Slow waves are regulated as a function of previous wakefulness, being maximal at the beginning of sleep and then progressively returning to a baseline level. This paper discusses a hypothesis about the significance of slow-wave activity and its homeostatic regulation. The hypothesis is as follows: Wakefulness is associated with synaptic potentiation in several cortical circuits; Synaptic potentiation is tied to the homeostatic regulation of slow-wave activity; Slow-wave activity is associated with synaptic downscaling; Synaptic downscaling is tied to the beneficial effects of sleep on performance.The hypothesized link between sleep and synaptic homeostasis is supported by several lines of evidence and leads to testable predictions. ?? 2003 Elsevier B.V. All rights reserved.","author":[{"dropping-particle":"","family":"Tononi","given":"Giulio","non-dropping-particle":"","parse-names":false,"suffix":""},{"dropping-particle":"","family":"Cirelli","given":"Chiara","non-dropping-particle":"","parse-names":false,"suffix":""}],"container-title":"Brain Research Bulletin","id":"ITEM-1","issue":"2","issued":{"date-parts":[["2003"]]},"page":"143-150","title":"Sleep and synaptic homeostasis: A hypothesis","type":"article","volume":"62"}}],"schema":"https://github.com/citation-style-language/schema/raw/master/csl-citation.json"} </w:instrText>
      </w:r>
      <w:r w:rsidRPr="00C421E4">
        <w:rPr>
          <w:rFonts w:ascii="Times" w:hAnsi="Times"/>
        </w:rPr>
        <w:fldChar w:fldCharType="separate"/>
      </w:r>
      <w:r w:rsidRPr="00C421E4">
        <w:rPr>
          <w:rFonts w:ascii="Times" w:hAnsi="Times"/>
          <w:noProof/>
        </w:rPr>
        <w:t>(Tononi &amp; Cirelli, 2003)</w:t>
      </w:r>
      <w:r w:rsidRPr="00C421E4">
        <w:rPr>
          <w:rFonts w:ascii="Times" w:hAnsi="Times"/>
        </w:rPr>
        <w:fldChar w:fldCharType="end"/>
      </w:r>
      <w:r w:rsidRPr="00C421E4">
        <w:rPr>
          <w:rFonts w:ascii="Times" w:hAnsi="Times"/>
        </w:rPr>
        <w:t xml:space="preserve">. An incomplete downscaling could leave weaker connections in place, increasing interference and decreasing the signal-to-noise ratio. TBI induces deficiencies in synaptic function and plasticity (via oxidative stress; </w:t>
      </w:r>
      <w:r w:rsidRPr="00C421E4">
        <w:rPr>
          <w:rFonts w:ascii="Times" w:hAnsi="Times"/>
        </w:rPr>
        <w:fldChar w:fldCharType="begin" w:fldLock="1"/>
      </w:r>
      <w:r w:rsidRPr="00C421E4">
        <w:rPr>
          <w:rFonts w:ascii="Times" w:hAnsi="Times"/>
        </w:rPr>
        <w:instrText xml:space="preserve"> ADDIN ZOTERO_ITEM CSL_CITATION {"citationID":"cYm7LyTk","properties":{"formattedCitation":"(Ansari, Roberts, &amp; Scheff, 2008)","plainCitation":"(Ansari, Roberts, &amp; Scheff, 2008)"},"citationItems":[{"id":"ITEM-1","uris":["http://www.mendeley.com/documents/?uuid=64993380-63e9-4d94-bbb9-580ec15589b1"],"uri":["http://www.mendeley.com/documents/?uuid=64993380-63e9-4d94-bbb9-580ec15589b1"],"itemData":{"DOI":"10.1016/j.freeradbiomed.2008.04.038","ISBN":"0891-5849 (Print)","ISSN":"08915849","PMID":"18501200","abstract":"Oxidative stress, an imbalance between oxidants and antioxidants, contributes to the pathogenesis of traumatic brain injury (TBI). Oxidative neurodegeneration is a key mediator of exacerbated morphological responses and deficits in behavioral recoveries. The present study assessed early hippocampal sequential imbalance to possibly enhance antioxidant therapy. Young adult male Sprague-Dawley rats were subjected to a unilateral moderate cortical contusion. At various times post-TBI, animals were killed and the hippocampus was analyzed for antioxidants (GSH, GSSG, glutathione peroxidase, glutathione reductase, glutathione-S-transferase, glucose-6-phosphate dehydrogenase, superoxide dismutase, and catalase) and oxidants (acrolein, 4-hydroxynonenal, protein carbonyl, and 3-nitrotyrosine). Synaptic markers (synapsin I, postsynaptic density protein 95, synapse-associated protein 97, growth-associated protein 43) were also analyzed. All values were compared with those for sham-operated animals. Significant time-dependent changes in antioxidants were observed as early as 3??h posttrauma and paralleled increases in oxidants (4-hydroxynonenal, acrolein, and protein carbonyl), with peak values obtained at 24-48??h. Time-dependent changes in synaptic proteins (synapsin I, postsynaptic density protein 95, and synapse-associated protein 97) occurred well after levels of oxidants peaked. These results indicate that depletion of antioxidant systems following trauma could adversely affect synaptic function and plasticity. Early onset of oxidative stress suggests that the initial therapeutic window following TBI appears to be relatively short, and it may be necessary to stagger selective types of antioxidant therapy to target specific oxidative components. ?? 2008 Elsevier B.V. All rights reserved.","author":[{"dropping-particle":"","family":"Ansari","given":"Mubeen A.","non-dropping-particle":"","parse-names":false,"suffix":""},{"dropping-particle":"","family":"Roberts","given":"Kelly N.","non-dropping-particle":"","parse-names":false,"suffix":""},{"dropping-particle":"","family":"Scheff","given":"Stephen W.","non-dropping-particle":"","parse-names":false,"suffix":""}],"container-title":"Free Radical Biology and Medicine","id":"ITEM-1","issue":"4","issued":{"date-parts":[["2008"]]},"page":"443-452","title":"Oxidative stress and modification of synaptic proteins in hippocampus after traumatic brain injury","type":"article-journal","volume":"45"}}],"schema":"https://github.com/citation-style-language/schema/raw/master/csl-citation.json"} </w:instrText>
      </w:r>
      <w:r w:rsidRPr="00C421E4">
        <w:rPr>
          <w:rFonts w:ascii="Times" w:hAnsi="Times"/>
        </w:rPr>
        <w:fldChar w:fldCharType="separate"/>
      </w:r>
      <w:r w:rsidRPr="00C421E4">
        <w:rPr>
          <w:rFonts w:ascii="Times" w:hAnsi="Times"/>
          <w:noProof/>
        </w:rPr>
        <w:t>Ansari, Roberts, &amp; Scheff, 2008)</w:t>
      </w:r>
      <w:r w:rsidRPr="00C421E4">
        <w:rPr>
          <w:rFonts w:ascii="Times" w:hAnsi="Times"/>
        </w:rPr>
        <w:fldChar w:fldCharType="end"/>
      </w:r>
      <w:r w:rsidRPr="00C421E4">
        <w:rPr>
          <w:rFonts w:ascii="Times" w:hAnsi="Times"/>
        </w:rPr>
        <w:t xml:space="preserve">, and it is possible that lingering synaptic damage hinders the downscaling process. Yet it </w:t>
      </w:r>
      <w:r w:rsidRPr="00C421E4">
        <w:rPr>
          <w:rFonts w:ascii="Times" w:hAnsi="Times"/>
        </w:rPr>
        <w:lastRenderedPageBreak/>
        <w:t xml:space="preserve">must be stressed that neutral sleep-dependent consolidation is intact in the TBI population, and consolidation deficits must therefore be emotion dependent. Given this, our results cannot be fully explained by this hypothesis. </w:t>
      </w:r>
    </w:p>
    <w:p w14:paraId="23D83B95" w14:textId="77777777" w:rsidR="00F7044C" w:rsidRPr="00C421E4" w:rsidRDefault="00F7044C" w:rsidP="00F7044C">
      <w:pPr>
        <w:spacing w:line="480" w:lineRule="auto"/>
        <w:rPr>
          <w:rFonts w:ascii="Times" w:hAnsi="Times"/>
        </w:rPr>
      </w:pPr>
    </w:p>
    <w:p w14:paraId="3972837E" w14:textId="77777777" w:rsidR="00F7044C" w:rsidRPr="00C421E4" w:rsidRDefault="00F7044C" w:rsidP="00F7044C">
      <w:pPr>
        <w:spacing w:line="480" w:lineRule="auto"/>
        <w:rPr>
          <w:rFonts w:ascii="Times" w:hAnsi="Times"/>
        </w:rPr>
      </w:pPr>
      <w:r w:rsidRPr="00C421E4">
        <w:rPr>
          <w:rFonts w:ascii="Times" w:hAnsi="Times"/>
        </w:rPr>
        <w:t xml:space="preserve">Separately, it has been proposed that efficient sleep-dependent memory processing depends on both REM and non-REM episodes </w:t>
      </w:r>
      <w:r w:rsidRPr="00C421E4">
        <w:rPr>
          <w:rFonts w:ascii="Times" w:hAnsi="Times"/>
        </w:rPr>
        <w:fldChar w:fldCharType="begin" w:fldLock="1"/>
      </w:r>
      <w:r w:rsidRPr="00C421E4">
        <w:rPr>
          <w:rFonts w:ascii="Times" w:hAnsi="Times"/>
        </w:rPr>
        <w:instrText xml:space="preserve"> ADDIN ZOTERO_ITEM CSL_CITATION {"citationID":"f1CKioVy","properties":{"formattedCitation":"{\\rtf (Grosmark, Mizuseki, Pastalkova, Diba, &amp; Buzs\\uc0\\u225{}ki, 2012)}","plainCitation":"(Grosmark, Mizuseki, Pastalkova, Diba, &amp; Buzsáki, 2012)"},"citationItems":[{"id":"ITEM-1","uris":["http://www.mendeley.com/documents/?uuid=d2c78c8a-b883-499a-815f-3a6bf0b7522b"],"uri":["http://www.mendeley.com/documents/?uuid=d2c78c8a-b883-499a-815f-3a6bf0b7522b"],"itemData":{"DOI":"10.1016/j.neuron.2012.08.015","ISBN":"1097-4199 (Electronic)\\r0896-6273 (Linking)","ISSN":"08966273","PMID":"22998869","abstract":"Sleep is composed of an alternating sequence of REM and non-REM episodes, but their respective roles are not known. We found that the overall firing rates of hippocampal CA1 neurons decreased across sleep concurrent with an increase in the recruitment of neuronal spiking to brief \"ripple\" episodes, resulting in a net increase in neural synchrony. Unexpectedly, within non-REM episodes, overall firing rates gradually increased together with a decrease in the recruitment of spiking to ripples. The rate increase within non-REM episodes was counteracted by a larger and more rapid decrease of discharge frequency within the interleaved REM episodes. Both the decrease in firing rates and the increase in synchrony during the course of sleep were correlated with the power of theta activity during REM episodes. These findings assign a prominent role of REM sleep in sleep-related neuronal plasticity.","author":[{"dropping-particle":"","family":"Grosmark","given":"Andres D.","non-dropping-particle":"","parse-names":false,"suffix":""},{"dropping-particle":"","family":"Mizuseki","given":"Kenji","non-dropping-particle":"","parse-names":false,"suffix":""},{"dropping-particle":"","family":"Pastalkova","given":"Eva","non-dropping-particle":"","parse-names":false,"suffix":""},{"dropping-particle":"","family":"Diba","given":"Kamran","non-dropping-particle":"","parse-names":false,"suffix":""},{"dropping-particle":"","family":"Buzsáki","given":"György","non-dropping-particle":"","parse-names":false,"suffix":""}],"container-title":"Neuron","id":"ITEM-1","issue":"6","issued":{"date-parts":[["2012"]]},"page":"1001-1007","title":"REM Sleep Reorganizes Hippocampal Excitability","type":"article-journal","volume":"75"}}],"schema":"https://github.com/citation-style-language/schema/raw/master/csl-citation.json"} </w:instrText>
      </w:r>
      <w:r w:rsidRPr="00C421E4">
        <w:rPr>
          <w:rFonts w:ascii="Times" w:hAnsi="Times"/>
        </w:rPr>
        <w:fldChar w:fldCharType="separate"/>
      </w:r>
      <w:r w:rsidRPr="00C421E4">
        <w:rPr>
          <w:rFonts w:ascii="Times" w:hAnsi="Times"/>
        </w:rPr>
        <w:t>(Grosmark, Mizuseki, Pastalkova, Diba, &amp; Buzsáki, 2012)</w:t>
      </w:r>
      <w:r w:rsidRPr="00C421E4">
        <w:rPr>
          <w:rFonts w:ascii="Times" w:hAnsi="Times"/>
        </w:rPr>
        <w:fldChar w:fldCharType="end"/>
      </w:r>
      <w:r w:rsidRPr="00C421E4">
        <w:rPr>
          <w:rFonts w:ascii="Times" w:hAnsi="Times"/>
        </w:rPr>
        <w:t xml:space="preserve">. That is, sleep-dependent consolidation is optimized when both non-REM and REM are present and also sequential </w:t>
      </w:r>
      <w:r w:rsidRPr="00C421E4">
        <w:rPr>
          <w:rFonts w:ascii="Times" w:hAnsi="Times"/>
        </w:rPr>
        <w:fldChar w:fldCharType="begin" w:fldLock="1"/>
      </w:r>
      <w:r w:rsidRPr="00C421E4">
        <w:rPr>
          <w:rFonts w:ascii="Times" w:hAnsi="Times"/>
        </w:rPr>
        <w:instrText xml:space="preserve"> ADDIN ZOTERO_ITEM CSL_CITATION {"citationID":"DahUbFpL","properties":{"formattedCitation":"(Diekelmann &amp; Born, 2010; Ficca, Lombardo, Rossi, &amp; Salzarulo, 2000; Sonni &amp; Spencer, 2015)","plainCitation":"(Diekelmann &amp; Born, 2010; Ficca, Lombardo, Rossi, &amp; Salzarulo, 2000; Sonni &amp; Spencer, 2015)"},"citationItems":[{"id":"ITEM-1","uris":["http://www.mendeley.com/documents/?uuid=df291714-121a-4df4-8f35-f14f22e0fbd6"],"uri":["http://www.mendeley.com/documents/?uuid=df291714-121a-4df4-8f35-f14f22e0fbd6"],"itemData":{"DOI":"10.1038/nrn2762","ISSN":"1471-0048","PMID":"20046194","abstract":"Sleep has been identified as a state that optimizes the consolidation of newly acquired information in memory, depending on the specific conditions of learning and the timing of sleep. Consolidation during sleep promotes both quantitative and qualitative changes of memory representations. Through specific patterns of neuromodulatory activity and electric field potential oscillations, slow-wave sleep (SWS) and rapid eye movement (REM) sleep support system consolidation and synaptic consolidation, respectively. During SWS, slow oscillations, spindles and ripples - at minimum cholinergic activity - coordinate the re-activation and redistribution of hippocampus-dependent memories to neocortical sites, whereas during REM sleep, local increases in plasticity-related immediate-early gene activity - at high cholinergic and theta activity - might favour the subsequent synaptic consolidation of memories in the cortex.","author":[{"dropping-particle":"","family":"Diekelmann","given":"Susanne","non-dropping-particle":"","parse-names":false,"suffix":""},{"dropping-particle":"","family":"Born","given":"Jan","non-dropping-particle":"","parse-names":false,"suffix":""}],"container-title":"Nature Reviews. Neuroscience","id":"ITEM-1","issue":"2","issued":{"date-parts":[["2010","2"]]},"language":"eng","page":"114-126","title":"The Memory Function of Sleep","type":"article-journal","volume":"11"}},{"id":"ITEM-2","uris":["http://www.mendeley.com/documents/?uuid=99e11f3c-bdfd-4477-a8b1-fc81b51f82ad"],"uri":["http://www.mendeley.com/documents/?uuid=99e11f3c-bdfd-4477-a8b1-fc81b51f82ad"],"itemData":{"DOI":"10.1016/S0166-4328(00)00177-7","ISBN":"0166-4328 (Print)","ISSN":"01664328","PMID":"10862947","abstract":"Despite the evidence that sleep may facilitate memory, controversial findings concern the role of sleep states (NREM, REM). We put forward the hypothesis that sleep organization, i.e. the regular occurrence of NREM-REM cycles, more than sleep states per se, may be crucial for the retention of verbal material presented before sleep. An experiment was performed in which recall of verbal material was requested of young subjects after three different kinds of night sleep: undisturbed sleep, fragmented sleep without sleep cycles disorganization, and fragmented sleep interrupted with sleep disorganization. Morning recall of verbal material was impaired after the night with disturbed sleep cycles, whereas it was not after the night with preserved sleep cycles; the amount of REM was similar in both cases. We conclude that the recall of verbal material is greatly affected by sleep cycle disorganization.","author":[{"dropping-particle":"","family":"Ficca","given":"G.","non-dropping-particle":"","parse-names":false,"suffix":""},{"dropping-particle":"","family":"Lombardo","given":"P.","non-dropping-particle":"","parse-names":false,"suffix":""},{"dropping-particle":"","family":"Rossi","given":"L.","non-dropping-particle":"","parse-names":false,"suffix":""},{"dropping-particle":"","family":"Salzarulo","given":"P.","non-dropping-particle":"","parse-names":false,"suffix":""}],"container-title":"Behavioural brain research","id":"ITEM-2","issue":"1-2","issued":{"date-parts":[["2000","7"]]},"language":"eng","page":"159-163","title":"Morning recall of verbal material depends on prior sleep organization.","type":"article-journal","volume":"112"}},{"id":"ITEM-3","uris":["http://www.mendeley.com/documents/?uuid=9f957334-112a-42df-a50a-fc685e0d0c0e"],"uri":["http://www.mendeley.com/documents/?uuid=9f957334-112a-42df-a50a-fc685e0d0c0e"],"itemData":{"DOI":"10.1016/j.neurobiolaging.2015.03.010","ISSN":"1558-1497","author":[{"dropping-particle":"","family":"Sonni","given":"Akshata","non-dropping-particle":"","parse-names":false,"suffix":""},{"dropping-particle":"","family":"Spencer","given":"Rebecca M. C.","non-dropping-particle":"","parse-names":false,"suffix":""}],"container-title":"Neurobiology of Aging","id":"ITEM-3","issue":"7","issued":{"date-parts":[["2015"]]},"title":"Sleep protects memories from interference in older adults","type":"article-journal","volume":"36"}}],"schema":"https://github.com/citation-style-language/schema/raw/master/csl-citation.json"} </w:instrText>
      </w:r>
      <w:r w:rsidRPr="00C421E4">
        <w:rPr>
          <w:rFonts w:ascii="Times" w:hAnsi="Times"/>
        </w:rPr>
        <w:fldChar w:fldCharType="separate"/>
      </w:r>
      <w:r w:rsidRPr="00C421E4">
        <w:rPr>
          <w:rFonts w:ascii="Times" w:hAnsi="Times"/>
          <w:noProof/>
        </w:rPr>
        <w:t>(Diekelmann &amp; Born, 2010; Ficca, Lombardo, Rossi, &amp; Salzarulo, 2000; Sonni &amp; Spencer, 2015)</w:t>
      </w:r>
      <w:r w:rsidRPr="00C421E4">
        <w:rPr>
          <w:rFonts w:ascii="Times" w:hAnsi="Times"/>
        </w:rPr>
        <w:fldChar w:fldCharType="end"/>
      </w:r>
      <w:r w:rsidRPr="00C421E4">
        <w:rPr>
          <w:rFonts w:ascii="Times" w:hAnsi="Times"/>
        </w:rPr>
        <w:t xml:space="preserve">. The delay in REM onset and general reduction in REM in this sample may have hindered consolidation by reducing such REM/non-REM interactions. Relatedly, it has long been proposed that amygdala activation during REM is critical for sleep-dependent emotional processing </w:t>
      </w:r>
      <w:r w:rsidRPr="00C421E4">
        <w:rPr>
          <w:rFonts w:ascii="Times" w:hAnsi="Times"/>
        </w:rPr>
        <w:fldChar w:fldCharType="begin" w:fldLock="1"/>
      </w:r>
      <w:r w:rsidRPr="00C421E4">
        <w:rPr>
          <w:rFonts w:ascii="Times" w:hAnsi="Times"/>
        </w:rPr>
        <w:instrText xml:space="preserve"> ADDIN ZOTERO_ITEM CSL_CITATION {"citationID":"kOG60wjI","properties":{"formattedCitation":"(McGaugh, 2004)","plainCitation":"(McGaugh, 2004)"},"citationItems":[{"id":"ITEM-1","uris":["http://www.mendeley.com/documents/?uuid=d004b770-7c26-44f5-b9cb-3078a0808360"],"uri":["http://www.mendeley.com/documents/?uuid=d004b770-7c26-44f5-b9cb-3078a0808360"],"itemData":{"DOI":"10.1146/annurev.neuro.27.070203.144157","ISBN":"0147-006X (Print)\\n0147-006X (Linking)","ISSN":"0147-006X","PMID":"15217324","abstract":"Converging findings of animal and human studies provide compelling evidence that the amygdala is critically involved in enabling us to acquire and retain lasting memories of emotional experiences. This review focuses primarily on the findings of research investigating the role of the amygdala in modulating the consolidation of long-term memories. Considerable evidence from animal studies investigating the effects of posttraining systemic or intra-amygdala infusions of hormones and drugs, as well as selective lesions of specific amygdala nuclei, indicates that (a) the amygdala mediates the memory-modulating effects of adrenal stress hormones and several classes of neurotransmitters; (b) the effects are selectively mediated by the basolateral complex of the amygdala (BLA); (c) the influences involve interactions of several neuromodulatory systems within the BLA that converge in influencing noradrenergic and muscarinic cholinergic activation; (d) the BLA modulates memory consolidation via efferents to other brain regions, including the caudate nucleus, nucleus accumbens, and cortex; and (e) the BLA modulates the consolidation of memory of many different kinds of information. The findings of human brain imaging studies are consistent with those of animal studies in suggesting that activation of the amygdala influences the consolidation of long-term memory; the degree of activation of the amygdala by emotional arousal during encoding of emotionally arousing material (either pleasant or unpleasant) correlates highly with subsequent recall. The activation of neuromodulatory systems affecting the BLA and its projections to other brain regions involved in processing different kinds of information plays a key role in enabling emotionally significant experiences to be well remembered.","author":[{"dropping-particle":"","family":"McGaugh","given":"James L","non-dropping-particle":"","parse-names":false,"suffix":""}],"container-title":"Annual review of neuroscience","id":"ITEM-1","issued":{"date-parts":[["2004"]]},"page":"1-28","title":"The amygdala modulates the consolidation of memories of emotionally arousing experiences.","type":"article-journal","volume":"27"}}],"schema":"https://github.com/citation-style-language/schema/raw/master/csl-citation.json"} </w:instrText>
      </w:r>
      <w:r w:rsidRPr="00C421E4">
        <w:rPr>
          <w:rFonts w:ascii="Times" w:hAnsi="Times"/>
        </w:rPr>
        <w:fldChar w:fldCharType="separate"/>
      </w:r>
      <w:r w:rsidRPr="00C421E4">
        <w:rPr>
          <w:rFonts w:ascii="Times" w:hAnsi="Times"/>
          <w:noProof/>
        </w:rPr>
        <w:t>(McGaugh, 2004)</w:t>
      </w:r>
      <w:r w:rsidRPr="00C421E4">
        <w:rPr>
          <w:rFonts w:ascii="Times" w:hAnsi="Times"/>
        </w:rPr>
        <w:fldChar w:fldCharType="end"/>
      </w:r>
      <w:r w:rsidRPr="00C421E4">
        <w:rPr>
          <w:rFonts w:ascii="Times" w:hAnsi="Times"/>
        </w:rPr>
        <w:t xml:space="preserve">. Recent evidence suggests activation of the amygdala occurs predominantly after rapid eye movement bursts during REM sleep </w:t>
      </w:r>
      <w:r w:rsidRPr="00C421E4">
        <w:rPr>
          <w:rFonts w:ascii="Times" w:hAnsi="Times"/>
        </w:rPr>
        <w:fldChar w:fldCharType="begin" w:fldLock="1"/>
      </w:r>
      <w:r w:rsidRPr="00C421E4">
        <w:rPr>
          <w:rFonts w:ascii="Times" w:hAnsi="Times"/>
        </w:rPr>
        <w:instrText xml:space="preserve"> ADDIN ZOTERO_ITEM CSL_CITATION {"citationID":"aPWiKDI2","properties":{"formattedCitation":"(Corsi-Cabrera et al., 2016)","plainCitation":"(Corsi-Cabrera et al., 2016)"},"citationItems":[{"id":"ITEM-1","uris":["http://www.mendeley.com/documents/?uuid=afed1874-0853-4734-935d-0268ba6f20a5"],"uri":["http://www.mendeley.com/documents/?uuid=afed1874-0853-4734-935d-0268ba6f20a5"],"itemData":{"DOI":"10.1111/jsr.12415","ISSN":"13652869","PMID":"27146713","abstract":"The amygdaloid complex plays a crucial role in processing emotional signals and in the formation of emotional memories. Neuroimaging studies have shown human amygdala activation during rapid eye movement sleep (REM). Stereotactically implanted electrodes for presurgical evaluation in epileptic patients provide a unique opportunity to directly record amygdala activity. The present study analysed amygdala activity associated with REM sleep eye movements on the millisecond scale. We propose that phasic activation associated with rapid eye movements may provide the amygdala with endogenous excitation during REM sleep. Standard polysomnography and stereo-electroencephalograph (SEEG) were recorded simultaneously during spontaneous sleep in the left amygdala of four patients. Time-frequency analysis and absolute power of gamma activity were obtained for 250 ms time windows preceding and following eye movement onset in REM sleep, and in spontaneous waking eye movements in the dark. Absolute power of the 44-48 Hz band increased significantly during the 250 ms time window after REM sleep rapid eye movements onset, but not during waking eye movements. Transient activation of the amygdala provides physiological support for the proposed participation of the amygdala in emotional expression, in the emotional content of dreams and for the reactivation and consolidation of emotional memories during REM sleep, as well as for next-day emotional regulation, and its possible role in the bidirectional interaction between REM sleep and such sleep disorders as nightmares, anxiety and post-traumatic sleep disorder. These results provide unique, direct evidence of increased activation of the human amygdala time-locked to REM sleep rapid eye movements.","author":[{"dropping-particle":"","family":"Corsi-Cabrera","given":"María","non-dropping-particle":"","parse-names":false,"suffix":""},{"dropping-particle":"","family":"Velasco","given":"Francisco","non-dropping-particle":"","parse-names":false,"suffix":""},{"dropping-particle":"","family":"Río-Portilla","given":"Yolanda","non-dropping-particle":"Del","parse-names":false,"suffix":""},{"dropping-particle":"","family":"Armony","given":"Jorge L","non-dropping-particle":"","parse-names":false,"suffix":""},{"dropping-particle":"","family":"Trejo-Martínez","given":"David","non-dropping-particle":"","parse-names":false,"suffix":""},{"dropping-particle":"","family":"Guevara","given":"Miguel A","non-dropping-particle":"","parse-names":false,"suffix":""},{"dropping-particle":"","family":"Velasco","given":"Ana L","non-dropping-particle":"","parse-names":false,"suffix":""}],"container-title":"Journal of sleep research","id":"ITEM-1","issued":{"date-parts":[["2016"]]},"title":"Human amygdala activation during rapid eye movements of rapid eye movement sleep: an intracranial study.","type":"article-journal"}}],"schema":"https://github.com/citation-style-language/schema/raw/master/csl-citation.json"} </w:instrText>
      </w:r>
      <w:r w:rsidRPr="00C421E4">
        <w:rPr>
          <w:rFonts w:ascii="Times" w:hAnsi="Times"/>
        </w:rPr>
        <w:fldChar w:fldCharType="separate"/>
      </w:r>
      <w:r w:rsidRPr="00C421E4">
        <w:rPr>
          <w:rFonts w:ascii="Times" w:hAnsi="Times"/>
          <w:noProof/>
        </w:rPr>
        <w:t>(Corsi-Cabrera et al., 2016)</w:t>
      </w:r>
      <w:r w:rsidRPr="00C421E4">
        <w:rPr>
          <w:rFonts w:ascii="Times" w:hAnsi="Times"/>
        </w:rPr>
        <w:fldChar w:fldCharType="end"/>
      </w:r>
      <w:r w:rsidRPr="00C421E4">
        <w:rPr>
          <w:rFonts w:ascii="Times" w:hAnsi="Times"/>
        </w:rPr>
        <w:t xml:space="preserve">. Thus, a reduction in REM should limit amygdala activation, reducing the sleep-dependent ‘boost’ for emotional stimuli. </w:t>
      </w:r>
    </w:p>
    <w:p w14:paraId="792B53BC" w14:textId="77777777" w:rsidR="00F7044C" w:rsidRPr="00C421E4" w:rsidRDefault="00F7044C" w:rsidP="00F7044C">
      <w:pPr>
        <w:spacing w:line="480" w:lineRule="auto"/>
        <w:rPr>
          <w:rFonts w:ascii="Times" w:hAnsi="Times"/>
        </w:rPr>
      </w:pPr>
    </w:p>
    <w:p w14:paraId="0E3840C5" w14:textId="77777777" w:rsidR="00F7044C" w:rsidRPr="00C421E4" w:rsidRDefault="00F7044C" w:rsidP="00F7044C">
      <w:pPr>
        <w:spacing w:line="480" w:lineRule="auto"/>
        <w:rPr>
          <w:rFonts w:ascii="Times" w:hAnsi="Times"/>
        </w:rPr>
      </w:pPr>
      <w:r w:rsidRPr="00C421E4">
        <w:rPr>
          <w:rFonts w:ascii="Times" w:hAnsi="Times"/>
        </w:rPr>
        <w:t xml:space="preserve">An interesting alternative hypothesis regarding low FA in the TBI Wake group comes from emerging work suggesting brain injury causes sleep and wake to become less dissociated. Specifically, a recent study found more “microsleep” bouts (i.e., spontaneous slow waves) occur during wake following mild TBI than controls (in both mice and humans, with humans being ~5 years post-injury; </w:t>
      </w:r>
      <w:r w:rsidRPr="00C421E4">
        <w:rPr>
          <w:rFonts w:ascii="Times" w:hAnsi="Times"/>
        </w:rPr>
        <w:fldChar w:fldCharType="begin" w:fldLock="1"/>
      </w:r>
      <w:r w:rsidRPr="00C421E4">
        <w:rPr>
          <w:rFonts w:ascii="Times" w:hAnsi="Times"/>
        </w:rPr>
        <w:instrText xml:space="preserve"> ADDIN ZOTERO_ITEM CSL_CITATION {"citationID":"um2nfCpv","properties":{"formattedCitation":"(Modarres, Kuzma, Kretzmer, Pack, &amp; Lim, 2016b)","plainCitation":"(Modarres, Kuzma, Kretzmer, Pack, &amp; Lim, 2016b)"},"citationItems":[{"id":"ITEM-1","uris":["http://www.mendeley.com/documents/?uuid=533536c9-7b4b-49c0-8e74-6399412eabd7"],"uri":["http://www.mendeley.com/documents/?uuid=533536c9-7b4b-49c0-8e74-6399412eabd7"],"itemData":{"author":[{"dropping-particle":"","family":"Modarres","given":"M. H.","non-dropping-particle":"","parse-names":false,"suffix":""},{"dropping-particle":"","family":"Kuzma","given":"N. N.","non-dropping-particle":"","parse-names":false,"suffix":""},{"dropping-particle":"","family":"Kretzmer","given":"T.","non-dropping-particle":"","parse-names":false,"suffix":""},{"dropping-particle":"","family":"Pack","given":"A. I.","non-dropping-particle":"","parse-names":false,"suffix":""},{"dropping-particle":"","family":"Lim","given":"M. M.","non-dropping-particle":"","parse-names":false,"suffix":""}],"container-title":"Neurobiology of Sleep and Circadian Rhythms","id":"ITEM-1","issued":{"date-parts":[["2016"]]},"page":"59-70","title":"EEG slow waves in traumatic brain injury: Convergent findings in mouse and man","type":"article-journal","volume":"2"}}],"schema":"https://github.com/citation-style-language/schema/raw/master/csl-citation.json"} </w:instrText>
      </w:r>
      <w:r w:rsidRPr="00C421E4">
        <w:rPr>
          <w:rFonts w:ascii="Times" w:hAnsi="Times"/>
        </w:rPr>
        <w:fldChar w:fldCharType="separate"/>
      </w:r>
      <w:r w:rsidRPr="00C421E4">
        <w:rPr>
          <w:rFonts w:ascii="Times" w:hAnsi="Times"/>
          <w:noProof/>
        </w:rPr>
        <w:t>Modarres, Kuzma, Kretzmer, Pack, &amp; Lim, 2016)</w:t>
      </w:r>
      <w:r w:rsidRPr="00C421E4">
        <w:rPr>
          <w:rFonts w:ascii="Times" w:hAnsi="Times"/>
        </w:rPr>
        <w:fldChar w:fldCharType="end"/>
      </w:r>
      <w:r w:rsidRPr="00C421E4">
        <w:rPr>
          <w:rFonts w:ascii="Times" w:hAnsi="Times"/>
        </w:rPr>
        <w:t xml:space="preserve">. The authors suggested that sleep-wake states are blurred following TBI, even </w:t>
      </w:r>
      <w:r w:rsidRPr="00C421E4">
        <w:rPr>
          <w:rFonts w:ascii="Times" w:hAnsi="Times"/>
        </w:rPr>
        <w:lastRenderedPageBreak/>
        <w:t xml:space="preserve">years after injury. Given the unexpected decrease in FA observed in the TBI Wake group, it is possible that spontaneous slow wave activity during the day facilitated consolidation, which manifested as lower FA. </w:t>
      </w:r>
    </w:p>
    <w:p w14:paraId="1F198795" w14:textId="77777777" w:rsidR="00F7044C" w:rsidRPr="00C421E4" w:rsidRDefault="00F7044C" w:rsidP="00F7044C">
      <w:pPr>
        <w:spacing w:line="480" w:lineRule="auto"/>
        <w:rPr>
          <w:rFonts w:ascii="Times" w:hAnsi="Times"/>
        </w:rPr>
      </w:pPr>
    </w:p>
    <w:p w14:paraId="31731394" w14:textId="77777777" w:rsidR="00F7044C" w:rsidRPr="007F1742" w:rsidRDefault="00F7044C" w:rsidP="00F7044C">
      <w:pPr>
        <w:spacing w:line="480" w:lineRule="auto"/>
        <w:jc w:val="center"/>
        <w:outlineLvl w:val="0"/>
        <w:rPr>
          <w:rFonts w:ascii="Times" w:hAnsi="Times"/>
          <w:b/>
        </w:rPr>
      </w:pPr>
      <w:r>
        <w:rPr>
          <w:rFonts w:ascii="Times" w:hAnsi="Times"/>
          <w:b/>
        </w:rPr>
        <w:t xml:space="preserve">3. </w:t>
      </w:r>
      <w:r w:rsidRPr="007F1742">
        <w:rPr>
          <w:rFonts w:ascii="Times" w:hAnsi="Times"/>
          <w:b/>
        </w:rPr>
        <w:t>Emotional valence changes in chronic TBI</w:t>
      </w:r>
    </w:p>
    <w:p w14:paraId="26C2F44D" w14:textId="77777777" w:rsidR="00F7044C" w:rsidRPr="00C421E4" w:rsidRDefault="00F7044C" w:rsidP="00F7044C">
      <w:pPr>
        <w:spacing w:line="480" w:lineRule="auto"/>
        <w:rPr>
          <w:rFonts w:ascii="Times" w:hAnsi="Times"/>
        </w:rPr>
      </w:pPr>
      <w:r w:rsidRPr="00C421E4">
        <w:rPr>
          <w:rFonts w:ascii="Times" w:hAnsi="Times"/>
        </w:rPr>
        <w:t xml:space="preserve">The TBI and non-TBI groups did not exhibit differences in baseline valence ratings of either emotional or non-emotional stimuli. This is counter to what we would expect, as an increased risk for mood disturbances could alter initial ratings of stimuli. Nevertheless, groups differed in terms of ΔValence. In the control group, we replicated our previous results </w:t>
      </w:r>
      <w:r w:rsidRPr="00C421E4">
        <w:rPr>
          <w:rFonts w:ascii="Times" w:hAnsi="Times"/>
        </w:rPr>
        <w:fldChar w:fldCharType="begin" w:fldLock="1"/>
      </w:r>
      <w:r w:rsidRPr="00C421E4">
        <w:rPr>
          <w:rFonts w:ascii="Times" w:hAnsi="Times"/>
        </w:rPr>
        <w:instrText xml:space="preserve"> ADDIN ZOTERO_ITEM CSL_CITATION {"citationID":"oFzyX63x","properties":{"formattedCitation":"(Bengi Baran et al., 2012; Jones et al., 2016)","plainCitation":"(Bengi Baran et al., 2012; Jones et al., 2016)"},"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id":"ITEM-2","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Aging","id":"ITEM-2","issued":{"date-parts":[["2016"]]},"title":"Emotional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et al., 2012; Jones et al., 2016)</w:t>
      </w:r>
      <w:r w:rsidRPr="00C421E4">
        <w:rPr>
          <w:rFonts w:ascii="Times" w:hAnsi="Times"/>
        </w:rPr>
        <w:fldChar w:fldCharType="end"/>
      </w:r>
      <w:r w:rsidRPr="00C421E4">
        <w:rPr>
          <w:rFonts w:ascii="Times" w:hAnsi="Times"/>
        </w:rPr>
        <w:t xml:space="preserve"> that showed sleep significantly preserves valence ratings (i.e., maintains negativity) relative to a period spent awake. That is to say, the Wake group experiences desensitization or habituation to negative images, but the Sleep group does not. In comparison, we unexpectedly found that although the TBI Sleep group preserved negativity, the TBI Wake group did as well. Therefore, both the TBI Sleep and the TBI Wake groups found the negative images to be almost as negative at the second presentation. </w:t>
      </w:r>
    </w:p>
    <w:p w14:paraId="2022F827" w14:textId="77777777" w:rsidR="00F7044C" w:rsidRPr="00C421E4" w:rsidRDefault="00F7044C" w:rsidP="00F7044C">
      <w:pPr>
        <w:spacing w:line="480" w:lineRule="auto"/>
        <w:rPr>
          <w:rFonts w:ascii="Times" w:hAnsi="Times"/>
        </w:rPr>
      </w:pPr>
    </w:p>
    <w:p w14:paraId="7896C343" w14:textId="77777777" w:rsidR="00F7044C" w:rsidRPr="00C421E4" w:rsidRDefault="00F7044C" w:rsidP="00F7044C">
      <w:pPr>
        <w:spacing w:line="480" w:lineRule="auto"/>
        <w:rPr>
          <w:rFonts w:ascii="Times" w:hAnsi="Times"/>
        </w:rPr>
      </w:pPr>
      <w:r w:rsidRPr="00C421E4">
        <w:rPr>
          <w:rFonts w:ascii="Times" w:hAnsi="Times"/>
        </w:rPr>
        <w:t xml:space="preserve">These results are compatible with current theories of depression development and maintenance. Depressive thoughts arise and are perpetuated when an individual is unable to use proper emotional regulation strategies (e.g., suppression, reappraisal) to habituate when emotional experiences occur </w:t>
      </w:r>
      <w:r w:rsidRPr="00C421E4">
        <w:rPr>
          <w:rFonts w:ascii="Times" w:hAnsi="Times"/>
        </w:rPr>
        <w:fldChar w:fldCharType="begin" w:fldLock="1"/>
      </w:r>
      <w:r w:rsidRPr="00C421E4">
        <w:rPr>
          <w:rFonts w:ascii="Times" w:hAnsi="Times"/>
        </w:rPr>
        <w:instrText xml:space="preserve"> ADDIN ZOTERO_ITEM CSL_CITATION {"citationID":"6mFIiAx6","properties":{"formattedCitation":"(Teasdale, 1988)","plainCitation":"(Teasdale, 1988)"},"citationItems":[{"id":"ITEM-1","uris":["http://www.mendeley.com/documents/?uuid=9aa05176-d3a9-46ae-9960-c3326e8cd3b7"],"uri":["http://www.mendeley.com/documents/?uuid=9aa05176-d3a9-46ae-9960-c3326e8cd3b7"],"itemData":{"DOI":"10.1080/02699938808410927","ISBN":"0269-9931","ISSN":"0269-9931","abstract":"The account of cognitive vulnerability to depression offered by Beck's cognitive model is summarised. As this account currently lacks consistent empirical support, an alternative, related, account is presented. This proposes that, once a person is initially depressed, an important factor that determines whether their depression remains mild or transient, or becomes more severe and persistent, is the nature of the negative cognitive processes and constructs that become active and accessible in the depressed state. These interact with the nature of environmental difficulties, available social support, and biological factors, to determine whether a depression-maintaining cognitive-affective vicious cycle will be set up. Results from studies specifically designed to test predictions from this account have yielded positive results. Findings consistent with the hypothesis have also been obtained in other prospective studies which have shown that cognitive measures, administered in the depressed state, predict the future course of depression independently of initial levels of depression. The hypothesis is elaborated to incorporate the demonstrated relationship of elevated neuroticism to risk and persistence of depression. Recent views on the nature of sex differences in rates of depression, and on the relationship of attributional style to depression are also compatible with the hypothesis. It is concluded that the hypothesis has encouraging preliminary support. SUMMARY Two broad aspects of cognitive vulnerability to depression can be distinguished. The first is the tendency to evaluate certain types of life event in ways which will produce intense rather than mild depression. This is the aspect of vulnerability on which Beck's cognitive model appears to concentrate. There are considerable difficulties in assessing this aspect of Beck's model and it is not consistently supported by comparison of recovered depressed patients with control groups. The second aspect of cognitive vulnerability relates to the cognitive processes and constructs that become active and accessible once a person is in a state of depression. Within this approach, vulnerability to onset and vulnerability to persistence of depression can be roughly distinguished, depending on whether the focus is on the period when the depression has been present for only a brief period, or is mild, or whether depression has already existed for some time and reached at least moderate severity. The account p…","author":[{"dropping-particle":"","family":"Teasdale","given":"John D","non-dropping-particle":"","parse-names":false,"suffix":""}],"container-title":"Cognition and Emotion","id":"ITEM-1","issue":"3","issued":{"date-parts":[["1988"]]},"page":"247-274","title":"Cognitive vulnerability to persistent depression","type":"article-journal","volume":"2"}}],"schema":"https://github.com/citation-style-language/schema/raw/master/csl-citation.json"} </w:instrText>
      </w:r>
      <w:r w:rsidRPr="00C421E4">
        <w:rPr>
          <w:rFonts w:ascii="Times" w:hAnsi="Times"/>
        </w:rPr>
        <w:fldChar w:fldCharType="separate"/>
      </w:r>
      <w:r w:rsidRPr="00C421E4">
        <w:rPr>
          <w:rFonts w:ascii="Times" w:hAnsi="Times"/>
          <w:noProof/>
        </w:rPr>
        <w:t>(Teasdale, 1988)</w:t>
      </w:r>
      <w:r w:rsidRPr="00C421E4">
        <w:rPr>
          <w:rFonts w:ascii="Times" w:hAnsi="Times"/>
        </w:rPr>
        <w:fldChar w:fldCharType="end"/>
      </w:r>
      <w:r w:rsidRPr="00C421E4">
        <w:rPr>
          <w:rFonts w:ascii="Times" w:hAnsi="Times"/>
        </w:rPr>
        <w:t xml:space="preserve">. In the current sample, a failure to habituate to negative stimuli during a waking period might suggest a prolongation of negative information processing, which could ultimately maintain negative thoughts and </w:t>
      </w:r>
      <w:r w:rsidRPr="00C421E4">
        <w:rPr>
          <w:rFonts w:ascii="Times" w:hAnsi="Times"/>
        </w:rPr>
        <w:lastRenderedPageBreak/>
        <w:t xml:space="preserve">facilitate depression. Clinical populations that have experienced trauma, such as individuals with Borderline Personality Disorder and Post Traumatic Stress Disorder, show a similar lack of habituation over a waking period </w:t>
      </w:r>
      <w:r w:rsidRPr="00C421E4">
        <w:rPr>
          <w:rFonts w:ascii="Times" w:hAnsi="Times"/>
        </w:rPr>
        <w:fldChar w:fldCharType="begin" w:fldLock="1"/>
      </w:r>
      <w:r w:rsidRPr="00C421E4">
        <w:rPr>
          <w:rFonts w:ascii="Times" w:hAnsi="Times"/>
        </w:rPr>
        <w:instrText xml:space="preserve"> ADDIN ZOTERO_ITEM CSL_CITATION {"citationID":"uNvwpJhP","properties":{"formattedCitation":"(Hazlett et al., 2012; Hendler, Rotshtein, &amp; Hadar, 2001)","plainCitation":"(Hazlett et al., 2012; Hendler, Rotshtein, &amp; Hadar, 2001)"},"citationItems":[{"id":"ITEM-1","uris":["http://www.mendeley.com/documents/?uuid=414d08f1-988b-42e7-89e8-73835b3d1ecb"],"uri":["http://www.mendeley.com/documents/?uuid=414d08f1-988b-42e7-89e8-73835b3d1ecb"],"itemData":{"DOI":"10.1023/A:1015156222101","ISBN":"0272-4340","ISSN":"02724340","PMID":"12043845","abstract":"Emotive aspects of stimuli have been shown to modulate perceptual thresholds. Lately, studies using functional Magnetic Resonance Imaging (fMRI) showed that emotive aspects of visual stimuli activated not only canonical limbic regions, but also sensory areas in the cerebral cortex. However, it is still arguable to what extent such emotive, related activation in sensory areas of the cortex are affected by physical characteristic or attribute difference of stimuli. To manipulate valence of stimuli while keeping visual features largely unchanged, we took advantage of the Expressional Transfiguration (ET) of faces. In addition, to explore the sensitivity of high level visual regions, we compared repeated with unrepeated (i.e. different) stimuli presentations (fMR adaptation). Thus, the dynamics of brain responses was determined according to the relative signal reduction during \"repeated\" relative to \"different\" presentations (\"adaptation ratio\"). Our results showed, for the first time, that emotional valence produced significant differences in fMR adaptation, but not in overall levels of activation of lateral occipital complex (LOC). We then asked whether this emotion modulation on sensory cortex could be related to previous personal experience that attached negative attributes of stimuli. To clarify this, we investigated Posttraumatic Stress Disorder (PTSD) and non-PTSD veterans. PTSD is characterized by recurrent revival of trauma-related sensations. Such phenomena have been attributed to a disturbed processing of trauma-related stimuli, either at the perceptual level or at the cognitive level. We assumed that PTSD veterans would differ from non-PTSD veterans (who have similar combat experience) in their high order visual cortex responses to combat-related visual stimuli that are associated with their traumatic experience. An fMRI study measured the cerebral activation of subjects while viewing pictures with and without combat content, in \"repeated\" or \"different\" presentation conditions. The emotive effect on the visual cortex was found, again, only in the fMR-adaptation paradigm. Visual cortical regions showed significant differences between PTSD and non-PTSD veterans only in \"repeated\" presentations of trauma-related stimuli (i.e. combat). In these regions, PTSD veterans showed less decrease in signal with repeated presentations of the same combat-related stimuli. This finding points to the possibility that traumatic experience modulates brain activity…","author":[{"dropping-particle":"","family":"Hendler","given":"Talma","non-dropping-particle":"","parse-names":false,"suffix":""},{"dropping-particle":"","family":"Rotshtein","given":"Pia","non-dropping-particle":"","parse-names":false,"suffix":""},{"dropping-particle":"","family":"Hadar","given":"Uri","non-dropping-particle":"","parse-names":false,"suffix":""}],"container-title":"Cellular and Molecular Neurobiology","id":"ITEM-1","issue":"6","issued":{"date-parts":[["2001"]]},"page":"733-752","title":"Emotion-perception interplay in the visual cortex: \"The eyes follow the heart\"","type":"article-journal","volume":"21"}},{"id":"ITEM-2","uris":["http://www.mendeley.com/documents/?uuid=9d8570ac-740c-4585-93ca-eb9d9e323ff8"],"uri":["http://www.mendeley.com/documents/?uuid=9d8570ac-740c-4585-93ca-eb9d9e323ff8"],"itemData":{"DOI":"10.1016/j.biopsych.2012.03.027","ISBN":"0006-3223","ISSN":"00063223","PMID":"22560044","abstract":"Borderline personality disorder (BPD) is characterized by an inability to regulate emotional responses. The amygdala is important in learning about the valence (goodness and badness) of stimuli and functions abnormally in BPD. Event-related functional magnetic resonance imaging (MRI) was employed in three groups: unmedicated BPD (n = 33) and schizotypal personality disorder (n = 28) participants and healthy control subjects (n = 32) during a task involving an intermixed series of unpleasant, neutral, and pleasant pictures each presented twice within their respective trial block/run. The amygdala was hand-traced on each participant's structural MRI scan and co-registered to their MRI scan. Amygdala responses were examined with a mixed-model multivariate analysis of variance. Compared with both control groups, BPD patients showed greater amygdala activation, particularly to the repeated emotional but not neutral pictures, and a prolonged return to baseline for the overall blood oxygen level-dependent response averaged across all pictures. Despite amygdala overactivation, BPD patients showed blunted self-report ratings of emotional but not neutral pictures. Fewer dissociative symptoms in both patient groups were associated with greater amygdala activation to repeated unpleasant pictures. The increased amygdala response to the repeated emotional pictures observed in BPD was not observed in schizotypal patients, suggesting diagnostic specificity. This BPD-related abnormality is consistent with the well-documented clinical feature of high sensitivity to emotional stimuli with unusually strong and long-lasting reactions. The finding of a mismatch between physiological and self-report measures of emotion reactivity in BPD patients suggests they may benefit from treatments targeting emotion recognition. © 2012 Society of Biological Psychiatry.","author":[{"dropping-particle":"","family":"Hazlett","given":"Erin A.","non-dropping-particle":"","parse-names":false,"suffix":""},{"dropping-particle":"","family":"Zhang","given":"Jing","non-dropping-particle":"","parse-names":false,"suffix":""},{"dropping-particle":"","family":"New","given":"Antonia S.","non-dropping-particle":"","parse-names":false,"suffix":""},{"dropping-particle":"","family":"Zelmanova","given":"Yuliya","non-dropping-particle":"","parse-names":false,"suffix":""},{"dropping-particle":"","family":"Goldstein","given":"Kim E.","non-dropping-particle":"","parse-names":false,"suffix":""},{"dropping-particle":"","family":"Haznedar","given":"M. Mehmet","non-dropping-particle":"","parse-names":false,"suffix":""},{"dropping-particle":"","family":"Meyerson","given":"David","non-dropping-particle":"","parse-names":false,"suffix":""},{"dropping-particle":"","family":"Goodman","given":"Marianne","non-dropping-particle":"","parse-names":false,"suffix":""},{"dropping-particle":"","family":"Siever","given":"Larry J.","non-dropping-particle":"","parse-names":false,"suffix":""},{"dropping-particle":"","family":"Chu","given":"King Wai","non-dropping-particle":"","parse-names":false,"suffix":""}],"container-title":"Biological Psychiatry","id":"ITEM-2","issue":"6","issued":{"date-parts":[["2012"]]},"page":"448-456","title":"Potentiated amygdala response to repeated emotional pictures in borderline personality disorder","type":"article-journal","volume":"72"}}],"schema":"https://github.com/citation-style-language/schema/raw/master/csl-citation.json"} </w:instrText>
      </w:r>
      <w:r w:rsidRPr="00C421E4">
        <w:rPr>
          <w:rFonts w:ascii="Times" w:hAnsi="Times"/>
        </w:rPr>
        <w:fldChar w:fldCharType="separate"/>
      </w:r>
      <w:r w:rsidRPr="00C421E4">
        <w:rPr>
          <w:rFonts w:ascii="Times" w:hAnsi="Times"/>
          <w:noProof/>
        </w:rPr>
        <w:t>(Hazlett et al., 2012; Hendler, Rotshtein, &amp; Hadar, 2001)</w:t>
      </w:r>
      <w:r w:rsidRPr="00C421E4">
        <w:rPr>
          <w:rFonts w:ascii="Times" w:hAnsi="Times"/>
        </w:rPr>
        <w:fldChar w:fldCharType="end"/>
      </w:r>
      <w:r w:rsidRPr="00C421E4">
        <w:rPr>
          <w:rFonts w:ascii="Times" w:hAnsi="Times"/>
        </w:rPr>
        <w:t xml:space="preserve">. Therefore, a lack of habituation may either be a ‘marker’ of brain circuitry decrements or simply a reflection of poor mental health. Future work should investigate the effectiveness of emotional regulation strategies in a TBI population relative to uninjured controls. </w:t>
      </w:r>
    </w:p>
    <w:p w14:paraId="4ACDCC0A" w14:textId="77777777" w:rsidR="00F7044C" w:rsidRPr="00C421E4" w:rsidRDefault="00F7044C" w:rsidP="00F7044C">
      <w:pPr>
        <w:spacing w:line="480" w:lineRule="auto"/>
        <w:rPr>
          <w:rFonts w:ascii="Times" w:hAnsi="Times"/>
        </w:rPr>
      </w:pPr>
    </w:p>
    <w:p w14:paraId="54196849" w14:textId="77777777" w:rsidR="00F7044C" w:rsidRPr="005F3004" w:rsidRDefault="00F7044C" w:rsidP="00F7044C">
      <w:pPr>
        <w:spacing w:line="480" w:lineRule="auto"/>
        <w:jc w:val="center"/>
        <w:outlineLvl w:val="0"/>
        <w:rPr>
          <w:rFonts w:ascii="Times" w:hAnsi="Times"/>
          <w:b/>
        </w:rPr>
      </w:pPr>
      <w:r>
        <w:rPr>
          <w:rFonts w:ascii="Times" w:hAnsi="Times"/>
          <w:b/>
        </w:rPr>
        <w:t xml:space="preserve">4. </w:t>
      </w:r>
      <w:r w:rsidRPr="005F3004">
        <w:rPr>
          <w:rFonts w:ascii="Times" w:hAnsi="Times"/>
          <w:b/>
        </w:rPr>
        <w:t>The role of multiple TBIs</w:t>
      </w:r>
    </w:p>
    <w:p w14:paraId="6DC28B63" w14:textId="77777777" w:rsidR="00F7044C" w:rsidRPr="00C421E4" w:rsidRDefault="00F7044C" w:rsidP="00F7044C">
      <w:pPr>
        <w:spacing w:line="480" w:lineRule="auto"/>
        <w:rPr>
          <w:rFonts w:ascii="Times" w:hAnsi="Times"/>
        </w:rPr>
      </w:pPr>
      <w:r w:rsidRPr="00C421E4">
        <w:rPr>
          <w:rFonts w:ascii="Times" w:hAnsi="Times"/>
        </w:rPr>
        <w:t xml:space="preserve">We found number of TBIs to be a significant predictor of memory and ΔValence such that more TBIs predicted (1) poorer sleep-dependent memory consolidation (FA) and (2) a greater preservation of valence. Importantly, we did not find any correlations between ΔValence and memory consolidation, suggesting number of TBIs was separately predictive of emotional deficits for valence and memory. These findings indicate individuals who have sustained multiple concussions have poorer emotional processing during sleep, during a waking period, and overall. </w:t>
      </w:r>
    </w:p>
    <w:p w14:paraId="5B6A511F" w14:textId="77777777" w:rsidR="00F7044C" w:rsidRPr="00C421E4" w:rsidRDefault="00F7044C" w:rsidP="00F7044C">
      <w:pPr>
        <w:spacing w:line="480" w:lineRule="auto"/>
        <w:rPr>
          <w:rFonts w:ascii="Times" w:hAnsi="Times"/>
        </w:rPr>
      </w:pPr>
    </w:p>
    <w:p w14:paraId="18B6EB5B" w14:textId="77777777" w:rsidR="00F7044C" w:rsidRPr="00C421E4" w:rsidRDefault="00F7044C" w:rsidP="00F7044C">
      <w:pPr>
        <w:spacing w:line="480" w:lineRule="auto"/>
        <w:rPr>
          <w:rFonts w:ascii="Times" w:hAnsi="Times"/>
        </w:rPr>
      </w:pPr>
      <w:r w:rsidRPr="00C421E4">
        <w:rPr>
          <w:rFonts w:ascii="Times" w:hAnsi="Times"/>
        </w:rPr>
        <w:t xml:space="preserve">These data are consistent with a broad range of literature showing individuals with multiple concussions have poorer recovery outcomes than individuals with no concussions or one concussion. For instance, active duty military members with multiple concussions were found to have greater ongoing emotional distress (e.g., PTSD, depression, anger symptoms) than military members with no concussions or one concussion </w:t>
      </w:r>
      <w:r w:rsidRPr="00C421E4">
        <w:rPr>
          <w:rFonts w:ascii="Times" w:hAnsi="Times"/>
        </w:rPr>
        <w:fldChar w:fldCharType="begin" w:fldLock="1"/>
      </w:r>
      <w:r w:rsidRPr="00C421E4">
        <w:rPr>
          <w:rFonts w:ascii="Times" w:hAnsi="Times"/>
        </w:rPr>
        <w:instrText xml:space="preserve"> ADDIN ZOTERO_ITEM CSL_CITATION {"citationID":"3BhaSwQR","properties":{"formattedCitation":"(Spira, Lathan, Bleiberg, &amp; Tsao, 2014a)","plainCitation":"(Spira, Lathan, Bleiberg, &amp; Tsao, 2014a)"},"citationItems":[{"id":"ITEM-1","uris":["http://www.mendeley.com/documents/?uuid=59fea71c-d3a2-43b4-805a-51a4c17d82fa"],"uri":["http://www.mendeley.com/documents/?uuid=59fea71c-d3a2-43b4-805a-51a4c17d82fa"],"itemData":{"author":[{"dropping-particle":"","family":"Spira","given":"J. L.","non-dropping-particle":"","parse-names":false,"suffix":""},{"dropping-particle":"","family":"Lathan","given":"C. E.","non-dropping-particle":"","parse-names":false,"suffix":""},{"dropping-particle":"","family":"Bleiberg","given":"J.","non-dropping-particle":"","parse-names":false,"suffix":""},{"dropping-particle":"","family":"Tsao","given":"J. W.","non-dropping-particle":"","parse-names":false,"suffix":""}],"container-title":"Journal of neurotrauma","id":"ITEM-1","issue":"22","issued":{"date-parts":[["2014"]]},"page":"1823-1834","title":"The Impact of Multiple Concussions on Emotional Distress, Post-Concussive Symptoms, and Neurocognitive Functioning in Active Duty United States Marines Independent of Combat Exposure or Emotional Distress","type":"article-journal","volume":"31"}}],"schema":"https://github.com/citation-style-language/schema/raw/master/csl-citation.json"} </w:instrText>
      </w:r>
      <w:r w:rsidRPr="00C421E4">
        <w:rPr>
          <w:rFonts w:ascii="Times" w:hAnsi="Times"/>
        </w:rPr>
        <w:fldChar w:fldCharType="separate"/>
      </w:r>
      <w:r w:rsidRPr="00C421E4">
        <w:rPr>
          <w:rFonts w:ascii="Times" w:hAnsi="Times"/>
          <w:noProof/>
        </w:rPr>
        <w:t>(Spira, Lathan, Bleiberg, &amp; Tsao, 2014)</w:t>
      </w:r>
      <w:r w:rsidRPr="00C421E4">
        <w:rPr>
          <w:rFonts w:ascii="Times" w:hAnsi="Times"/>
        </w:rPr>
        <w:fldChar w:fldCharType="end"/>
      </w:r>
      <w:r w:rsidRPr="00C421E4">
        <w:rPr>
          <w:rFonts w:ascii="Times" w:hAnsi="Times"/>
        </w:rPr>
        <w:t xml:space="preserve">. Athletes with a history of 2 or more </w:t>
      </w:r>
      <w:r w:rsidRPr="00C421E4">
        <w:rPr>
          <w:rFonts w:ascii="Times" w:hAnsi="Times"/>
        </w:rPr>
        <w:lastRenderedPageBreak/>
        <w:t xml:space="preserve">concussions demonstrated significant cognition and sleep changes relative to individuals with no concussions or one concussion </w:t>
      </w:r>
      <w:r w:rsidRPr="00C421E4">
        <w:rPr>
          <w:rFonts w:ascii="Times" w:hAnsi="Times"/>
        </w:rPr>
        <w:fldChar w:fldCharType="begin" w:fldLock="1"/>
      </w:r>
      <w:r w:rsidRPr="00C421E4">
        <w:rPr>
          <w:rFonts w:ascii="Times" w:hAnsi="Times"/>
        </w:rPr>
        <w:instrText xml:space="preserve"> ADDIN ZOTERO_ITEM CSL_CITATION {"citationID":"HVvcG63y","properties":{"formattedCitation":"(Schatz, Moser, Covassin, &amp; Karpf, 2011)","plainCitation":"(Schatz, Moser, Covassin, &amp; Karpf, 2011)"},"citationItems":[{"id":"ITEM-1","uris":["http://www.mendeley.com/documents/?uuid=931ada68-2213-44a9-92fc-2d5066a11f6b"],"uri":["http://www.mendeley.com/documents/?uuid=931ada68-2213-44a9-92fc-2d5066a11f6b"],"itemData":{"author":[{"dropping-particle":"","family":"Schatz","given":"P.","non-dropping-particle":"","parse-names":false,"suffix":""},{"dropping-particle":"","family":"Moser","given":"R. S.","non-dropping-particle":"","parse-names":false,"suffix":""},{"dropping-particle":"","family":"Covassin","given":"T.","non-dropping-particle":"","parse-names":false,"suffix":""},{"dropping-particle":"","family":"Karpf","given":"R.","non-dropping-particle":"","parse-names":false,"suffix":""}],"container-title":"Neurosugery","id":"ITEM-1","issue":"6","issued":{"date-parts":[["2011"]]},"page":"1562-1567","title":"Early Indicators of Enduring Symptoms in High School Athletes With Multiple Previous Concussions","type":"article-journal","volume":"68"}}],"schema":"https://github.com/citation-style-language/schema/raw/master/csl-citation.json"} </w:instrText>
      </w:r>
      <w:r w:rsidRPr="00C421E4">
        <w:rPr>
          <w:rFonts w:ascii="Times" w:hAnsi="Times"/>
        </w:rPr>
        <w:fldChar w:fldCharType="separate"/>
      </w:r>
      <w:r w:rsidRPr="00C421E4">
        <w:rPr>
          <w:rFonts w:ascii="Times" w:hAnsi="Times"/>
          <w:noProof/>
        </w:rPr>
        <w:t>(Schatz, Moser, Covassin, &amp; Karpf, 2011)</w:t>
      </w:r>
      <w:r w:rsidRPr="00C421E4">
        <w:rPr>
          <w:rFonts w:ascii="Times" w:hAnsi="Times"/>
        </w:rPr>
        <w:fldChar w:fldCharType="end"/>
      </w:r>
      <w:r w:rsidRPr="00C421E4">
        <w:rPr>
          <w:rFonts w:ascii="Times" w:hAnsi="Times"/>
        </w:rPr>
        <w:t xml:space="preserve">, and in a similar population, number of concussions predicted the incidence for depression </w:t>
      </w:r>
      <w:r w:rsidRPr="00C421E4">
        <w:rPr>
          <w:rFonts w:ascii="Times" w:hAnsi="Times"/>
        </w:rPr>
        <w:fldChar w:fldCharType="begin" w:fldLock="1"/>
      </w:r>
      <w:r w:rsidRPr="00C421E4">
        <w:rPr>
          <w:rFonts w:ascii="Times" w:hAnsi="Times"/>
        </w:rPr>
        <w:instrText xml:space="preserve"> ADDIN ZOTERO_ITEM CSL_CITATION {"citationID":"sBA7lNoW","properties":{"formattedCitation":"(Guskiewicz et al., 2007)","plainCitation":"(Guskiewicz et al., 2007)"},"citationItems":[{"id":"ITEM-1","uris":["http://www.mendeley.com/documents/?uuid=71ad6d7b-7fcc-487f-be0a-636ff698cf92"],"uri":["http://www.mendeley.com/documents/?uuid=71ad6d7b-7fcc-487f-be0a-636ff698cf92"],"itemData":{"author":[{"dropping-particle":"","family":"Guskiewicz","given":"K.M.","non-dropping-particle":"","parse-names":false,"suffix":""},{"dropping-particle":"","family":"Marshall","given":"S.W.","non-dropping-particle":"","parse-names":false,"suffix":""},{"dropping-particle":"","family":"Bailes","given":"J.","non-dropping-particle":"","parse-names":false,"suffix":""},{"dropping-particle":"","family":"McCrea","given":"M.","non-dropping-particle":"","parse-names":false,"suffix":""},{"dropping-particle":"","family":"Harding","given":"H.P.","non-dropping-particle":"","parse-names":false,"suffix":""},{"dropping-particle":"","family":"Matthews","given":"A.","non-dropping-particle":"","parse-names":false,"suffix":""},{"dropping-particle":"","family":"Mihalik","given":"J.R.","non-dropping-particle":"","parse-names":false,"suffix":""},{"dropping-particle":"","family":"Cantu","given":"R.C","non-dropping-particle":"","parse-names":false,"suffix":""}],"container-title":"Medicine and Science in Sports and Exercise","id":"ITEM-1","issue":"6","issued":{"date-parts":[["2007"]]},"page":"903","title":"Recurrent concussion and risk of depression in retired professional football players","type":"article-journal","volume":"29"}}],"schema":"https://github.com/citation-style-language/schema/raw/master/csl-citation.json"} </w:instrText>
      </w:r>
      <w:r w:rsidRPr="00C421E4">
        <w:rPr>
          <w:rFonts w:ascii="Times" w:hAnsi="Times"/>
        </w:rPr>
        <w:fldChar w:fldCharType="separate"/>
      </w:r>
      <w:r w:rsidRPr="00C421E4">
        <w:rPr>
          <w:rFonts w:ascii="Times" w:hAnsi="Times"/>
          <w:noProof/>
        </w:rPr>
        <w:t>(Guskiewicz et al., 2007)</w:t>
      </w:r>
      <w:r w:rsidRPr="00C421E4">
        <w:rPr>
          <w:rFonts w:ascii="Times" w:hAnsi="Times"/>
        </w:rPr>
        <w:fldChar w:fldCharType="end"/>
      </w:r>
      <w:r w:rsidRPr="00C421E4">
        <w:rPr>
          <w:rFonts w:ascii="Times" w:hAnsi="Times"/>
        </w:rPr>
        <w:t xml:space="preserve">. Our findings add to this growing body of literature by demonstrating one concussion, relative to none, worsens emotional functioning, but more concussions produce more severe emotional dysfunction. </w:t>
      </w:r>
    </w:p>
    <w:p w14:paraId="3C6FB469" w14:textId="77777777" w:rsidR="00F7044C" w:rsidRPr="00C421E4" w:rsidRDefault="00F7044C" w:rsidP="00F7044C">
      <w:pPr>
        <w:spacing w:line="480" w:lineRule="auto"/>
        <w:rPr>
          <w:rFonts w:ascii="Times" w:hAnsi="Times"/>
        </w:rPr>
      </w:pPr>
    </w:p>
    <w:p w14:paraId="2468FC62" w14:textId="77777777" w:rsidR="00F7044C" w:rsidRPr="005F3004" w:rsidRDefault="00F7044C" w:rsidP="00F7044C">
      <w:pPr>
        <w:spacing w:line="480" w:lineRule="auto"/>
        <w:jc w:val="center"/>
        <w:outlineLvl w:val="0"/>
        <w:rPr>
          <w:rFonts w:ascii="Times" w:hAnsi="Times"/>
          <w:b/>
        </w:rPr>
      </w:pPr>
      <w:r>
        <w:rPr>
          <w:rFonts w:ascii="Times" w:hAnsi="Times"/>
          <w:b/>
        </w:rPr>
        <w:t xml:space="preserve">5. </w:t>
      </w:r>
      <w:r w:rsidRPr="005F3004">
        <w:rPr>
          <w:rFonts w:ascii="Times" w:hAnsi="Times"/>
          <w:b/>
        </w:rPr>
        <w:t>Strengths and limitations</w:t>
      </w:r>
    </w:p>
    <w:p w14:paraId="6AA70614" w14:textId="77777777" w:rsidR="00F7044C" w:rsidRPr="00C421E4" w:rsidRDefault="00F7044C" w:rsidP="00F7044C">
      <w:pPr>
        <w:spacing w:line="480" w:lineRule="auto"/>
        <w:rPr>
          <w:rFonts w:ascii="Times" w:hAnsi="Times"/>
        </w:rPr>
      </w:pPr>
      <w:r w:rsidRPr="00C421E4">
        <w:rPr>
          <w:rFonts w:ascii="Times" w:hAnsi="Times"/>
        </w:rPr>
        <w:t xml:space="preserve">There are several limitations to the current study that must be addressed. First, there are no clinical outcome measures (e.g., depression and anxiety symptomology questionnaires) available. We are therefore limited in drawing conclusions about how the sleep- and wake-dependent alterations exhibited in this population contribute to negative mental health outcomes or whether sleep- and wake-dependent alterations mediate the relationship between TBI and poor emotional outcomes. Furthermore, this study did not include physiological measurements of arousal (e.g., skin conductance). However, we feel that our measures of self-rated arousal are accurate and valid, as our participant ratings of arousal are similar to those found with this same stimuli set </w:t>
      </w:r>
      <w:r w:rsidRPr="00C421E4">
        <w:rPr>
          <w:rFonts w:ascii="Times" w:hAnsi="Times"/>
        </w:rPr>
        <w:fldChar w:fldCharType="begin" w:fldLock="1"/>
      </w:r>
      <w:r w:rsidRPr="00C421E4">
        <w:rPr>
          <w:rFonts w:ascii="Times" w:hAnsi="Times"/>
        </w:rPr>
        <w:instrText xml:space="preserve"> ADDIN ZOTERO_ITEM CSL_CITATION {"citationID":"SntXNUo3","properties":{"formattedCitation":"(Bengi Baran et al., 2012; Jones et al., 2016)","plainCitation":"(Bengi Baran et al., 2012; Jones et al., 2016)"},"citationItems":[{"id":"ITEM-1","uris":["http://www.mendeley.com/documents/?uuid=c322436e-f182-4507-b4a2-d059af240f34"],"uri":["http://www.mendeley.com/documents/?uuid=c322436e-f182-4507-b4a2-d059af240f34"],"itemData":{"DOI":"10.1523/JNEUROSCI.2532-11.2012","ISBN":"0270-6474","ISSN":"1529-2401","PMID":"22262901","abstract":"Sleep enhances memories, particularly emotional memories. As such, it has been suggested that sleep deprivation may reduce posttraumatic stress disorder. This presumes that emotional memory consolidation is paralleled by a reduction in emotional reactivity, an association that has not yet been examined. In the present experiment, we used an incidental memory task in humans and obtained valence and arousal ratings during two sessions separated either by 12 h of daytime wake or 12 h including overnight sleep. Recognition accuracy was greater following sleep relative to wake for both negative and neutral pictures. While emotional reactivity to negative pictures was greatly reduced over wake, the negative emotional response was relatively preserved over sleep. Moreover, protection of emotional reactivity was associated with greater time in REM sleep. Recognition accuracy, however, was not associated with REM. Thus, we provide the first evidence that sleep enhances emotional memory while preserving emotional reactivity.","author":[{"dropping-particle":"","family":"Baran","given":"Bengi","non-dropping-particle":"","parse-names":false,"suffix":""},{"dropping-particle":"","family":"Pace-Schott","given":"Edward F","non-dropping-particle":"","parse-names":false,"suffix":""},{"dropping-particle":"","family":"Ericson","given":"Callie","non-dropping-particle":"","parse-names":false,"suffix":""},{"dropping-particle":"","family":"Spencer","given":"Rebecca M C","non-dropping-particle":"","parse-names":false,"suffix":""}],"container-title":"The Journal of neuroscience : the official journal of the Society for Neuroscience","id":"ITEM-1","issue":"3","issued":{"date-parts":[["2012"]]},"page":"1035-42","title":"Processing of emotional reactivity and emotional memory over sleep.","type":"article-journal","volume":"32"}},{"id":"ITEM-2","uris":["http://www.mendeley.com/documents/?uuid=3a68e2c8-d8fb-46e4-b963-0ca779e36602"],"uri":["http://www.mendeley.com/documents/?uuid=3a68e2c8-d8fb-46e4-b963-0ca779e36602"],"itemData":{"author":[{"dropping-particle":"","family":"Jones","given":"B.J.","non-dropping-particle":"","parse-names":false,"suffix":""},{"dropping-particle":"","family":"Schultz","given":"K.S.","non-dropping-particle":"","parse-names":false,"suffix":""},{"dropping-particle":"","family":"Adams","given":"S","non-dropping-particle":"","parse-names":false,"suffix":""},{"dropping-particle":"","family":"Baran","given":"B","non-dropping-particle":"","parse-names":false,"suffix":""},{"dropping-particle":"","family":"Spencer","given":"R.M.C.","non-dropping-particle":"","parse-names":false,"suffix":""}],"container-title":"Neurobiology of Aging","id":"ITEM-2","issued":{"date-parts":[["2016"]]},"title":"Emotional bias of sleep-dependent processing shifts from negative to positive with aging","type":"article-journal","volume":"[Accepted]"}}],"schema":"https://github.com/citation-style-language/schema/raw/master/csl-citation.json"} </w:instrText>
      </w:r>
      <w:r w:rsidRPr="00C421E4">
        <w:rPr>
          <w:rFonts w:ascii="Times" w:hAnsi="Times"/>
        </w:rPr>
        <w:fldChar w:fldCharType="separate"/>
      </w:r>
      <w:r w:rsidRPr="00C421E4">
        <w:rPr>
          <w:rFonts w:ascii="Times" w:hAnsi="Times"/>
          <w:noProof/>
        </w:rPr>
        <w:t>(Baran et al., 2012; Jones et al., 2016)</w:t>
      </w:r>
      <w:r w:rsidRPr="00C421E4">
        <w:rPr>
          <w:rFonts w:ascii="Times" w:hAnsi="Times"/>
        </w:rPr>
        <w:fldChar w:fldCharType="end"/>
      </w:r>
      <w:r w:rsidRPr="00C421E4">
        <w:rPr>
          <w:rFonts w:ascii="Times" w:hAnsi="Times"/>
        </w:rPr>
        <w:t xml:space="preserve">. Nevertheless, future work could include physiological measurements in order to draw more complex conclusions about which mechanisms are disrupted in this population. </w:t>
      </w:r>
    </w:p>
    <w:p w14:paraId="24A11C3D" w14:textId="77777777" w:rsidR="00F7044C" w:rsidRPr="00C421E4" w:rsidRDefault="00F7044C" w:rsidP="00F7044C">
      <w:pPr>
        <w:spacing w:line="480" w:lineRule="auto"/>
        <w:rPr>
          <w:rFonts w:ascii="Times" w:hAnsi="Times"/>
        </w:rPr>
      </w:pPr>
    </w:p>
    <w:p w14:paraId="53C50402" w14:textId="77777777" w:rsidR="00F7044C" w:rsidRPr="00C421E4" w:rsidRDefault="00F7044C" w:rsidP="00F7044C">
      <w:pPr>
        <w:spacing w:line="480" w:lineRule="auto"/>
        <w:rPr>
          <w:rFonts w:ascii="Times" w:hAnsi="Times"/>
        </w:rPr>
      </w:pPr>
      <w:r w:rsidRPr="00C421E4">
        <w:rPr>
          <w:rFonts w:ascii="Times" w:hAnsi="Times"/>
        </w:rPr>
        <w:t xml:space="preserve">Previous work has demonstrated medications may impact both emotional functioning and sleep staging. For instance, anti-depressants impact valence perception </w:t>
      </w:r>
      <w:r w:rsidRPr="00C421E4">
        <w:rPr>
          <w:rFonts w:ascii="Times" w:hAnsi="Times"/>
        </w:rPr>
        <w:fldChar w:fldCharType="begin" w:fldLock="1"/>
      </w:r>
      <w:r w:rsidRPr="00C421E4">
        <w:rPr>
          <w:rFonts w:ascii="Times" w:hAnsi="Times"/>
        </w:rPr>
        <w:instrText xml:space="preserve"> ADDIN ZOTERO_ITEM CSL_CITATION {"citationID":"OAFKMEym","properties":{"formattedCitation":"(Rizvi et al., 2013)","plainCitation":"(Rizvi et al., 2013)"},"citationItems":[{"id":"ITEM-1","uris":["http://www.mendeley.com/documents/?uuid=0b5dfb99-000e-4980-a064-c9b08bd929c4"],"uri":["http://www.mendeley.com/documents/?uuid=0b5dfb99-000e-4980-a064-c9b08bd929c4"],"itemData":{"DOI":"10.1016/j.jad.2013.06.050","ISBN":"1573-2517 (Electronic)\\r0165-0327 (Linking)","ISSN":"01650327","PMID":"23948629","abstract":"Background Major Depressive Disorder (MDD) is a leading cause of disability globally. Currently available treatments have limited efficacy and combination strategies are frequently used. Several lines of research have demonstrated that MDD patients experience impairments in various components of affective processing, including regulation of affective states. Aim To identify baseline and 1-week neuroimaging predictors of response to a 6-week trial of fluoxetine/olanzapine combination treatment during an affective processing task. Methods Twenty-one MDD patients and 18 healthy controls were enrolled in the study. MDD patients were treated for 6 weeks with fluoxetine (40-60 mg/day) and olanzapine (5-12.5 mg/day). All participants viewed images from the International Affective Picture Rating System during a functional magnetic resonance (fMRI) scan at baseline and 1 week. Results There was a 57% response rate (defined as a 50% decrease in Hamilton Rating Scale for Depression-17 item) at 6 weeks. At baseline, responders had increased premotor activity while viewing negative images compared to non-responders and healthy controls. Higher baseline premotor activity was also predictive of greater percent change on the HAMD-17 and improvement in negative disposition and behavioral drive. Non-responders exhibited increased insular activity at baseline compared to responders. Higher activity in the posterior cingulate cortex was also predictive of greater percent change on the HAMD-17. Change from baseline to 1 week did not produce any significant predictive findings. Conclusions Treatment with fluoxetine/olanzapine demonstrated similar biomarkers of response to monotherapeutic strategies. In particular, posterior cingulate cortex, anterior insula, and premotor cortex may show predictive differences in their response to affective images prior to treatment. Further research needs to be conducted to determine the utility of early changes in emotion circuitry in predicting antidepressant response. ?? 2013 Elsevier B.V.","author":[{"dropping-particle":"","family":"Rizvi","given":"Sakina J.","non-dropping-particle":"","parse-names":false,"suffix":""},{"dropping-particle":"V.","family":"Salomons","given":"Tim","non-dropping-particle":"","parse-names":false,"suffix":""},{"dropping-particle":"","family":"Konarski","given":"Jakub Z.","non-dropping-particle":"","parse-names":false,"suffix":""},{"dropping-particle":"","family":"Downar","given":"Jonathan","non-dropping-particle":"","parse-names":false,"suffix":""},{"dropping-particle":"","family":"Giacobbe","given":"Peter","non-dropping-particle":"","parse-names":false,"suffix":""},{"dropping-particle":"","family":"McIntyre","given":"Roger S.","non-dropping-particle":"","parse-names":false,"suffix":""},{"dropping-particle":"","family":"Kennedy","given":"Sidney H.","non-dropping-particle":"","parse-names":false,"suffix":""}],"container-title":"Journal of Affective Disorders","id":"ITEM-1","issue":"2","issued":{"date-parts":[["2013"]]},"page":"573-581","title":"Neural response to emotional stimuli associated with successful antidepressant treatment and behavioral activation","type":"article-journal","volume":"151"}}],"schema":"https://github.com/citation-style-language/schema/raw/master/csl-citation.json"} </w:instrText>
      </w:r>
      <w:r w:rsidRPr="00C421E4">
        <w:rPr>
          <w:rFonts w:ascii="Times" w:hAnsi="Times"/>
        </w:rPr>
        <w:fldChar w:fldCharType="separate"/>
      </w:r>
      <w:r w:rsidRPr="00C421E4">
        <w:rPr>
          <w:rFonts w:ascii="Times" w:hAnsi="Times"/>
          <w:noProof/>
        </w:rPr>
        <w:t xml:space="preserve">(Rizvi et al., </w:t>
      </w:r>
      <w:r w:rsidRPr="00C421E4">
        <w:rPr>
          <w:rFonts w:ascii="Times" w:hAnsi="Times"/>
          <w:noProof/>
        </w:rPr>
        <w:lastRenderedPageBreak/>
        <w:t>2013)</w:t>
      </w:r>
      <w:r w:rsidRPr="00C421E4">
        <w:rPr>
          <w:rFonts w:ascii="Times" w:hAnsi="Times"/>
        </w:rPr>
        <w:fldChar w:fldCharType="end"/>
      </w:r>
      <w:r w:rsidRPr="00C421E4">
        <w:rPr>
          <w:rFonts w:ascii="Times" w:hAnsi="Times"/>
        </w:rPr>
        <w:t xml:space="preserve">. In the current study, we screened against individuals with an active psychiatric disorder (self-reportedly). Given this, we did not include individuals taking anti-depressants. Additionally, over-the-counter antihistamines have been shown to impact the percentage of REM sleep. According to the PSQI, two participants in the TBI Sleep group and three participants in the non-TBI sleep group reported using over-the-counter sleep aids within the last month. However, we are unaware whether participants used over-the-counter antihistamines, which increase REM latency and reduce REM </w:t>
      </w:r>
      <w:r w:rsidRPr="00C421E4">
        <w:rPr>
          <w:rFonts w:ascii="Times" w:hAnsi="Times"/>
        </w:rPr>
        <w:fldChar w:fldCharType="begin" w:fldLock="1"/>
      </w:r>
      <w:r w:rsidRPr="00C421E4">
        <w:rPr>
          <w:rFonts w:ascii="Times" w:hAnsi="Times"/>
        </w:rPr>
        <w:instrText xml:space="preserve"> ADDIN ZOTERO_ITEM CSL_CITATION {"citationID":"4ugZLr3U","properties":{"formattedCitation":"(Boyle, Eriksson, Stanley, Fujita, &amp; Kumagi, 2006)","plainCitation":"(Boyle, Eriksson, Stanley, Fujita, &amp; Kumagi, 2006)"},"citationItems":[{"id":"ITEM-1","uris":["http://www.mendeley.com/documents/?uuid=77a4b465-2468-4d91-8630-5bfd7233924e"],"uri":["http://www.mendeley.com/documents/?uuid=77a4b465-2468-4d91-8630-5bfd7233924e"],"itemData":{"DOI":"10.1185/030079906X112660","ISSN":"0300-7995","PMID":"16834833","abstract":"ABSTRACT Objectives: To evaluate the acute effects of two histamine H1-receptor antagonists on nocturnal sleep architecture and on next day cognitive function and psychomotor performance. Methods: This was a single-site, randomized, double-blind, 3-way crossover study, comparing the effects of a single dose of chlorpheniramine (6 mg), fexofenadine (120 mg) and placebo in 18 healthy (male and female) Japanese volunteers aged 20–55 years. Volunteers were resident for 3 days and each period was separated by a minimum 5</w:instrText>
      </w:r>
      <w:r w:rsidRPr="00C421E4">
        <w:rPr>
          <w:rFonts w:ascii="Calibri" w:eastAsia="Calibri" w:hAnsi="Calibri" w:cs="Calibri"/>
        </w:rPr>
        <w:instrText>‐</w:instrText>
      </w:r>
      <w:r w:rsidRPr="00C421E4">
        <w:rPr>
          <w:rFonts w:ascii="Times" w:hAnsi="Times"/>
        </w:rPr>
        <w:instrText xml:space="preserve">day washout period. The three treatments were administered at 23.00 h. Overnight sleep was measured from 23.00 h to 07.00 h using polysomnography. Residual effects were studied at 07.00 h and 9.00 h the next morning, with the latency to sleep (sleep latency test) measured at 09.30 h. Results: Compared with placebo, chlorpheniramine increased the latencies to sleep onset and rapid eye movement (REM) sleep ( p ≤ 0.05 for both), and reduced the duration of REM sleep ( p ≤ 0.01), but this was not ...","author":[{"dropping-particle":"","family":"Boyle","given":"Julia","non-dropping-particle":"","parse-names":false,"suffix":""},{"dropping-particle":"","family":"Eriksson","given":"Malin","non-dropping-particle":"","parse-names":false,"suffix":""},{"dropping-particle":"","family":"Stanley","given":"Neil","non-dropping-particle":"","parse-names":false,"suffix":""},{"dropping-particle":"","family":"Fujita","given":"Tomoe","non-dropping-particle":"","parse-names":false,"suffix":""},{"dropping-particle":"","family":"Kumagi","given":"Yuji","non-dropping-particle":"","parse-names":false,"suffix":""}],"container-title":"Current medical research and opinion","id":"ITEM-1","issue":"7","issued":{"date-parts":[["2006"]]},"page":"1343-51","title":"Allergy medication in Japanese volunteers: treatment effect of single doses on nocturnal sleep architecture and next day residual effects","type":"article-journal","volume":"22"}}],"schema":"https://github.com/citation-style-language/schema/raw/master/csl-citation.json"} </w:instrText>
      </w:r>
      <w:r w:rsidRPr="00C421E4">
        <w:rPr>
          <w:rFonts w:ascii="Times" w:hAnsi="Times"/>
        </w:rPr>
        <w:fldChar w:fldCharType="separate"/>
      </w:r>
      <w:r w:rsidRPr="00C421E4">
        <w:rPr>
          <w:rFonts w:ascii="Times" w:hAnsi="Times"/>
          <w:noProof/>
        </w:rPr>
        <w:t>(Boyle, Eriksson, Stanley, Fujita, &amp; Kumagi, 2006)</w:t>
      </w:r>
      <w:r w:rsidRPr="00C421E4">
        <w:rPr>
          <w:rFonts w:ascii="Times" w:hAnsi="Times"/>
        </w:rPr>
        <w:fldChar w:fldCharType="end"/>
      </w:r>
      <w:r w:rsidRPr="00C421E4">
        <w:rPr>
          <w:rFonts w:ascii="Times" w:hAnsi="Times"/>
        </w:rPr>
        <w:t xml:space="preserve">, during the day of testing. If a greater proportion of TBI individuals were on antihistamine medication during the day of testing, sleep architecture could have been impacted. </w:t>
      </w:r>
    </w:p>
    <w:p w14:paraId="4837B53D" w14:textId="77777777" w:rsidR="00F7044C" w:rsidRPr="00C421E4" w:rsidRDefault="00F7044C" w:rsidP="00F7044C">
      <w:pPr>
        <w:spacing w:line="480" w:lineRule="auto"/>
        <w:rPr>
          <w:rFonts w:ascii="Times" w:hAnsi="Times"/>
        </w:rPr>
      </w:pPr>
    </w:p>
    <w:p w14:paraId="1C30D04F" w14:textId="77777777" w:rsidR="00F7044C" w:rsidRPr="00C421E4" w:rsidRDefault="00F7044C" w:rsidP="00F7044C">
      <w:pPr>
        <w:spacing w:line="480" w:lineRule="auto"/>
        <w:rPr>
          <w:rFonts w:ascii="Times" w:hAnsi="Times"/>
        </w:rPr>
      </w:pPr>
      <w:r w:rsidRPr="00C421E4">
        <w:rPr>
          <w:rFonts w:ascii="Times" w:hAnsi="Times"/>
        </w:rPr>
        <w:t xml:space="preserve">Finally, the use of a retrospective study design with self-reported TBI comes with limitations. If participants incorrectly recalled details (e.g., regarding post-concussive symptoms), error variance may have been added to the sample, thereby creating null effects when they are not present. Furthermore, without a formal TBI diagnosis, we are limited in our ability to draw conclusions about injury location or whether participants had complicated mTBI, which is usually identified with MRI. Ideally, future work could utilize longitudinal data following specific populations (e.g., student athletes) before and after brain injury. </w:t>
      </w:r>
    </w:p>
    <w:p w14:paraId="17B436CD" w14:textId="77777777" w:rsidR="00F7044C" w:rsidRPr="00C421E4" w:rsidRDefault="00F7044C" w:rsidP="00F7044C">
      <w:pPr>
        <w:spacing w:line="480" w:lineRule="auto"/>
        <w:rPr>
          <w:rFonts w:ascii="Times" w:hAnsi="Times"/>
        </w:rPr>
      </w:pPr>
    </w:p>
    <w:p w14:paraId="77A7109D" w14:textId="77777777" w:rsidR="00F7044C" w:rsidRPr="00C421E4" w:rsidRDefault="00F7044C" w:rsidP="00F7044C">
      <w:pPr>
        <w:spacing w:line="480" w:lineRule="auto"/>
        <w:rPr>
          <w:rFonts w:ascii="Times" w:hAnsi="Times"/>
        </w:rPr>
      </w:pPr>
      <w:r w:rsidRPr="00C421E4">
        <w:rPr>
          <w:rFonts w:ascii="Times" w:hAnsi="Times"/>
        </w:rPr>
        <w:t xml:space="preserve">Despite these limitations, this investigation also has substantial strengths. This study included a large clinical sample with a range of TBI characteristics (e.g., time since TBI, symptoms following TBI). Moreover, the TBI population in this sample was recruited </w:t>
      </w:r>
      <w:r w:rsidRPr="00C421E4">
        <w:rPr>
          <w:rFonts w:ascii="Times" w:hAnsi="Times"/>
        </w:rPr>
        <w:lastRenderedPageBreak/>
        <w:t xml:space="preserve">within a university setting, and participants were not aware of the hypotheses of the study before participating. That is, this sample was not comprised of individuals with sleep or emotional complaints, but rather it contained community-dwelling, high-functioning individuals. Given this, we can conclude that our study detected sleep- and wake-dependent emotional deficits in a “high functioning” mild TBI population who have seemingly recovered normally. Finally, we included individuals who have suffered from multiple concussions, allowing us to observe how repeated brain injuries affect sleep- and wake-dependent emotional processing. </w:t>
      </w:r>
    </w:p>
    <w:p w14:paraId="5F355570" w14:textId="77777777" w:rsidR="00F7044C" w:rsidRPr="00C421E4" w:rsidRDefault="00F7044C" w:rsidP="00F7044C">
      <w:pPr>
        <w:spacing w:line="480" w:lineRule="auto"/>
        <w:rPr>
          <w:rFonts w:ascii="Times" w:hAnsi="Times"/>
          <w:i/>
        </w:rPr>
      </w:pPr>
    </w:p>
    <w:p w14:paraId="1C1B9403" w14:textId="77777777" w:rsidR="00F7044C" w:rsidRPr="005F3004" w:rsidRDefault="00F7044C" w:rsidP="00F7044C">
      <w:pPr>
        <w:spacing w:line="480" w:lineRule="auto"/>
        <w:jc w:val="center"/>
        <w:outlineLvl w:val="0"/>
        <w:rPr>
          <w:rFonts w:ascii="Times" w:hAnsi="Times"/>
          <w:b/>
        </w:rPr>
      </w:pPr>
      <w:r>
        <w:rPr>
          <w:rFonts w:ascii="Times" w:hAnsi="Times"/>
          <w:b/>
        </w:rPr>
        <w:t xml:space="preserve">6. </w:t>
      </w:r>
      <w:r w:rsidRPr="005F3004">
        <w:rPr>
          <w:rFonts w:ascii="Times" w:hAnsi="Times"/>
          <w:b/>
        </w:rPr>
        <w:t>Conclusions</w:t>
      </w:r>
    </w:p>
    <w:p w14:paraId="690A0743" w14:textId="77777777" w:rsidR="00F7044C" w:rsidRPr="00C421E4" w:rsidRDefault="00F7044C" w:rsidP="00F7044C">
      <w:pPr>
        <w:spacing w:line="480" w:lineRule="auto"/>
        <w:rPr>
          <w:rFonts w:ascii="Times" w:hAnsi="Times"/>
        </w:rPr>
        <w:sectPr w:rsidR="00F7044C" w:rsidRPr="00C421E4" w:rsidSect="00804E6B">
          <w:pgSz w:w="12240" w:h="15840"/>
          <w:pgMar w:top="1440" w:right="1440" w:bottom="1440" w:left="2160" w:header="720" w:footer="720" w:gutter="0"/>
          <w:cols w:space="720"/>
          <w:docGrid w:linePitch="360"/>
        </w:sectPr>
      </w:pPr>
      <w:r w:rsidRPr="00C421E4">
        <w:rPr>
          <w:rFonts w:ascii="Times" w:hAnsi="Times"/>
        </w:rPr>
        <w:t>Mild TBI is a major public health issue for a wide range of individuals – from the football field to the battlefield. Individuals who have sustained a concussion are often plagued with both emotional issues and sleep problems. Importantly, healthy sleep-dependent emotional processing is posited to contribute to emotional health. We therefore aimed to test whether chronic sleep issues in a TBI population had an effect on sleep-dependent emotional processing. This study is the first to detect specific sleep-dependent emotional deficits (e.g., reductions in memory consolidation) in a TBI population. Given the purported role of emotional memory consolidation in emotional health, this study provides a viable link between poor sleep and mental health in individuals with a history of chronic, mild TBI.</w:t>
      </w:r>
    </w:p>
    <w:p w14:paraId="40C57CD1" w14:textId="77777777" w:rsidR="00F7044C" w:rsidRPr="00C421E4" w:rsidRDefault="00F7044C" w:rsidP="00F7044C">
      <w:pPr>
        <w:widowControl w:val="0"/>
        <w:autoSpaceDE w:val="0"/>
        <w:autoSpaceDN w:val="0"/>
        <w:adjustRightInd w:val="0"/>
        <w:spacing w:after="240"/>
        <w:outlineLvl w:val="0"/>
        <w:rPr>
          <w:rFonts w:ascii="Times" w:hAnsi="Times"/>
        </w:rPr>
      </w:pPr>
      <w:r w:rsidRPr="00C421E4">
        <w:rPr>
          <w:rFonts w:ascii="Times" w:hAnsi="Times"/>
        </w:rPr>
        <w:lastRenderedPageBreak/>
        <w:t xml:space="preserve">Table 1: Participant demographics. </w:t>
      </w:r>
    </w:p>
    <w:tbl>
      <w:tblPr>
        <w:tblStyle w:val="TableGrid"/>
        <w:tblW w:w="0" w:type="auto"/>
        <w:tblLayout w:type="fixed"/>
        <w:tblLook w:val="04A0" w:firstRow="1" w:lastRow="0" w:firstColumn="1" w:lastColumn="0" w:noHBand="0" w:noVBand="1"/>
      </w:tblPr>
      <w:tblGrid>
        <w:gridCol w:w="1638"/>
        <w:gridCol w:w="1350"/>
        <w:gridCol w:w="1350"/>
        <w:gridCol w:w="810"/>
        <w:gridCol w:w="1350"/>
        <w:gridCol w:w="1530"/>
        <w:gridCol w:w="828"/>
      </w:tblGrid>
      <w:tr w:rsidR="00F7044C" w:rsidRPr="00C421E4" w14:paraId="54628012" w14:textId="77777777" w:rsidTr="00804E6B">
        <w:trPr>
          <w:trHeight w:val="576"/>
        </w:trPr>
        <w:tc>
          <w:tcPr>
            <w:tcW w:w="1638" w:type="dxa"/>
          </w:tcPr>
          <w:p w14:paraId="735231D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1350" w:type="dxa"/>
          </w:tcPr>
          <w:p w14:paraId="334F161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Non-TBI</w:t>
            </w:r>
          </w:p>
          <w:p w14:paraId="7C0F5C7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41)</w:t>
            </w:r>
          </w:p>
        </w:tc>
        <w:tc>
          <w:tcPr>
            <w:tcW w:w="1350" w:type="dxa"/>
          </w:tcPr>
          <w:p w14:paraId="745B924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TBI</w:t>
            </w:r>
          </w:p>
          <w:p w14:paraId="7807A59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40)</w:t>
            </w:r>
          </w:p>
        </w:tc>
        <w:tc>
          <w:tcPr>
            <w:tcW w:w="810" w:type="dxa"/>
          </w:tcPr>
          <w:p w14:paraId="5868EFD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p-value</w:t>
            </w:r>
          </w:p>
        </w:tc>
        <w:tc>
          <w:tcPr>
            <w:tcW w:w="1350" w:type="dxa"/>
          </w:tcPr>
          <w:p w14:paraId="4CC6F94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w:t>
            </w:r>
          </w:p>
          <w:p w14:paraId="08560CA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41)</w:t>
            </w:r>
          </w:p>
        </w:tc>
        <w:tc>
          <w:tcPr>
            <w:tcW w:w="1530" w:type="dxa"/>
          </w:tcPr>
          <w:p w14:paraId="682F75A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Wake</w:t>
            </w:r>
          </w:p>
          <w:p w14:paraId="7FC1302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40)</w:t>
            </w:r>
          </w:p>
        </w:tc>
        <w:tc>
          <w:tcPr>
            <w:tcW w:w="828" w:type="dxa"/>
          </w:tcPr>
          <w:p w14:paraId="31603F2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p-value</w:t>
            </w:r>
          </w:p>
        </w:tc>
      </w:tr>
      <w:tr w:rsidR="00F7044C" w:rsidRPr="00C421E4" w14:paraId="54E175E8" w14:textId="77777777" w:rsidTr="00804E6B">
        <w:trPr>
          <w:trHeight w:val="317"/>
        </w:trPr>
        <w:tc>
          <w:tcPr>
            <w:tcW w:w="1638" w:type="dxa"/>
            <w:vAlign w:val="center"/>
          </w:tcPr>
          <w:p w14:paraId="61D81D6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Age (yrs)</w:t>
            </w:r>
          </w:p>
        </w:tc>
        <w:tc>
          <w:tcPr>
            <w:tcW w:w="1350" w:type="dxa"/>
            <w:vAlign w:val="center"/>
          </w:tcPr>
          <w:p w14:paraId="3AEC398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20.15±1.18</w:t>
            </w:r>
          </w:p>
        </w:tc>
        <w:tc>
          <w:tcPr>
            <w:tcW w:w="1350" w:type="dxa"/>
            <w:vAlign w:val="center"/>
          </w:tcPr>
          <w:p w14:paraId="1368C73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19.87±1.5</w:t>
            </w:r>
          </w:p>
        </w:tc>
        <w:tc>
          <w:tcPr>
            <w:tcW w:w="810" w:type="dxa"/>
            <w:vAlign w:val="center"/>
          </w:tcPr>
          <w:p w14:paraId="35AF5F8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.37</w:t>
            </w:r>
          </w:p>
        </w:tc>
        <w:tc>
          <w:tcPr>
            <w:tcW w:w="1350" w:type="dxa"/>
            <w:vAlign w:val="center"/>
          </w:tcPr>
          <w:p w14:paraId="23F069A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19.82±1.04</w:t>
            </w:r>
          </w:p>
        </w:tc>
        <w:tc>
          <w:tcPr>
            <w:tcW w:w="1530" w:type="dxa"/>
            <w:vAlign w:val="center"/>
          </w:tcPr>
          <w:p w14:paraId="5911FA9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20.2±1.6</w:t>
            </w:r>
          </w:p>
        </w:tc>
        <w:tc>
          <w:tcPr>
            <w:tcW w:w="828" w:type="dxa"/>
            <w:vAlign w:val="center"/>
          </w:tcPr>
          <w:p w14:paraId="21C670C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.22</w:t>
            </w:r>
          </w:p>
        </w:tc>
      </w:tr>
      <w:tr w:rsidR="00F7044C" w:rsidRPr="00C421E4" w14:paraId="582C1021" w14:textId="77777777" w:rsidTr="00804E6B">
        <w:trPr>
          <w:trHeight w:val="317"/>
        </w:trPr>
        <w:tc>
          <w:tcPr>
            <w:tcW w:w="1638" w:type="dxa"/>
            <w:vAlign w:val="center"/>
          </w:tcPr>
          <w:p w14:paraId="6875298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Education (yrs)</w:t>
            </w:r>
          </w:p>
        </w:tc>
        <w:tc>
          <w:tcPr>
            <w:tcW w:w="1350" w:type="dxa"/>
            <w:vAlign w:val="center"/>
          </w:tcPr>
          <w:p w14:paraId="71C747F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14.85±1.25</w:t>
            </w:r>
          </w:p>
        </w:tc>
        <w:tc>
          <w:tcPr>
            <w:tcW w:w="1350" w:type="dxa"/>
            <w:vAlign w:val="center"/>
          </w:tcPr>
          <w:p w14:paraId="05205E0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14.53±1.28</w:t>
            </w:r>
          </w:p>
        </w:tc>
        <w:tc>
          <w:tcPr>
            <w:tcW w:w="810" w:type="dxa"/>
            <w:vAlign w:val="center"/>
          </w:tcPr>
          <w:p w14:paraId="45C39B6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.27</w:t>
            </w:r>
          </w:p>
        </w:tc>
        <w:tc>
          <w:tcPr>
            <w:tcW w:w="1350" w:type="dxa"/>
            <w:vAlign w:val="center"/>
          </w:tcPr>
          <w:p w14:paraId="7C2D204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14.6±1.2</w:t>
            </w:r>
          </w:p>
        </w:tc>
        <w:tc>
          <w:tcPr>
            <w:tcW w:w="1530" w:type="dxa"/>
            <w:vAlign w:val="center"/>
          </w:tcPr>
          <w:p w14:paraId="6A3CDCB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14.77±1.34</w:t>
            </w:r>
          </w:p>
        </w:tc>
        <w:tc>
          <w:tcPr>
            <w:tcW w:w="828" w:type="dxa"/>
            <w:vAlign w:val="center"/>
          </w:tcPr>
          <w:p w14:paraId="3BEB97D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.56</w:t>
            </w:r>
          </w:p>
        </w:tc>
      </w:tr>
      <w:tr w:rsidR="00F7044C" w:rsidRPr="00C421E4" w14:paraId="02F09A6C" w14:textId="77777777" w:rsidTr="00804E6B">
        <w:trPr>
          <w:trHeight w:val="317"/>
        </w:trPr>
        <w:tc>
          <w:tcPr>
            <w:tcW w:w="1638" w:type="dxa"/>
            <w:vAlign w:val="center"/>
          </w:tcPr>
          <w:p w14:paraId="2D73AEB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Gender (%F)</w:t>
            </w:r>
          </w:p>
        </w:tc>
        <w:tc>
          <w:tcPr>
            <w:tcW w:w="1350" w:type="dxa"/>
            <w:vAlign w:val="center"/>
          </w:tcPr>
          <w:p w14:paraId="4A02451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70.0</w:t>
            </w:r>
          </w:p>
        </w:tc>
        <w:tc>
          <w:tcPr>
            <w:tcW w:w="1350" w:type="dxa"/>
            <w:vAlign w:val="center"/>
          </w:tcPr>
          <w:p w14:paraId="5421A6C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75.6</w:t>
            </w:r>
          </w:p>
        </w:tc>
        <w:tc>
          <w:tcPr>
            <w:tcW w:w="810" w:type="dxa"/>
            <w:vAlign w:val="center"/>
          </w:tcPr>
          <w:p w14:paraId="2A07D9D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.37</w:t>
            </w:r>
          </w:p>
        </w:tc>
        <w:tc>
          <w:tcPr>
            <w:tcW w:w="1350" w:type="dxa"/>
            <w:vAlign w:val="center"/>
          </w:tcPr>
          <w:p w14:paraId="0A3CD3C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68.3</w:t>
            </w:r>
          </w:p>
        </w:tc>
        <w:tc>
          <w:tcPr>
            <w:tcW w:w="1530" w:type="dxa"/>
            <w:vAlign w:val="center"/>
          </w:tcPr>
          <w:p w14:paraId="5A94C4B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77.5</w:t>
            </w:r>
          </w:p>
        </w:tc>
        <w:tc>
          <w:tcPr>
            <w:tcW w:w="828" w:type="dxa"/>
            <w:vAlign w:val="center"/>
          </w:tcPr>
          <w:p w14:paraId="184AA6E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.24</w:t>
            </w:r>
          </w:p>
        </w:tc>
      </w:tr>
      <w:tr w:rsidR="00F7044C" w:rsidRPr="00C421E4" w14:paraId="6F32F143" w14:textId="77777777" w:rsidTr="00804E6B">
        <w:trPr>
          <w:trHeight w:val="317"/>
        </w:trPr>
        <w:tc>
          <w:tcPr>
            <w:tcW w:w="1638" w:type="dxa"/>
            <w:vAlign w:val="center"/>
          </w:tcPr>
          <w:p w14:paraId="6360D9C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MEQ</w:t>
            </w:r>
          </w:p>
        </w:tc>
        <w:tc>
          <w:tcPr>
            <w:tcW w:w="1350" w:type="dxa"/>
            <w:vAlign w:val="center"/>
          </w:tcPr>
          <w:p w14:paraId="1590930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44.82±8.11</w:t>
            </w:r>
          </w:p>
        </w:tc>
        <w:tc>
          <w:tcPr>
            <w:tcW w:w="1350" w:type="dxa"/>
            <w:vAlign w:val="center"/>
          </w:tcPr>
          <w:p w14:paraId="6664255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44.91±9.3</w:t>
            </w:r>
          </w:p>
        </w:tc>
        <w:tc>
          <w:tcPr>
            <w:tcW w:w="810" w:type="dxa"/>
            <w:vAlign w:val="center"/>
          </w:tcPr>
          <w:p w14:paraId="2AF9593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.96</w:t>
            </w:r>
          </w:p>
        </w:tc>
        <w:tc>
          <w:tcPr>
            <w:tcW w:w="1350" w:type="dxa"/>
            <w:vAlign w:val="center"/>
          </w:tcPr>
          <w:p w14:paraId="3AE162C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46.07±8.85</w:t>
            </w:r>
          </w:p>
        </w:tc>
        <w:tc>
          <w:tcPr>
            <w:tcW w:w="1530" w:type="dxa"/>
            <w:vAlign w:val="center"/>
          </w:tcPr>
          <w:tbl>
            <w:tblPr>
              <w:tblW w:w="1300" w:type="dxa"/>
              <w:tblLayout w:type="fixed"/>
              <w:tblLook w:val="04A0" w:firstRow="1" w:lastRow="0" w:firstColumn="1" w:lastColumn="0" w:noHBand="0" w:noVBand="1"/>
            </w:tblPr>
            <w:tblGrid>
              <w:gridCol w:w="1300"/>
            </w:tblGrid>
            <w:tr w:rsidR="00F7044C" w:rsidRPr="00C421E4" w14:paraId="3C0EFECE" w14:textId="77777777" w:rsidTr="00804E6B">
              <w:trPr>
                <w:trHeight w:val="300"/>
              </w:trPr>
              <w:tc>
                <w:tcPr>
                  <w:tcW w:w="1300" w:type="dxa"/>
                  <w:tcBorders>
                    <w:top w:val="nil"/>
                    <w:left w:val="nil"/>
                    <w:bottom w:val="nil"/>
                    <w:right w:val="nil"/>
                  </w:tcBorders>
                  <w:shd w:val="clear" w:color="auto" w:fill="auto"/>
                  <w:noWrap/>
                  <w:vAlign w:val="bottom"/>
                  <w:hideMark/>
                </w:tcPr>
                <w:p w14:paraId="73987D62" w14:textId="77777777" w:rsidR="00F7044C" w:rsidRPr="00C421E4" w:rsidRDefault="00F7044C" w:rsidP="00804E6B">
                  <w:pPr>
                    <w:jc w:val="center"/>
                    <w:rPr>
                      <w:rFonts w:ascii="Times" w:hAnsi="Times"/>
                    </w:rPr>
                  </w:pPr>
                  <w:r w:rsidRPr="00C421E4">
                    <w:rPr>
                      <w:rFonts w:ascii="Times" w:hAnsi="Times"/>
                    </w:rPr>
                    <w:t>43.6±8.41</w:t>
                  </w:r>
                </w:p>
              </w:tc>
            </w:tr>
          </w:tbl>
          <w:p w14:paraId="2651F56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828" w:type="dxa"/>
            <w:vAlign w:val="center"/>
          </w:tcPr>
          <w:p w14:paraId="313F948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.20</w:t>
            </w:r>
          </w:p>
        </w:tc>
      </w:tr>
      <w:tr w:rsidR="00F7044C" w:rsidRPr="00C421E4" w14:paraId="20FF1AB8" w14:textId="77777777" w:rsidTr="00804E6B">
        <w:trPr>
          <w:trHeight w:val="317"/>
        </w:trPr>
        <w:tc>
          <w:tcPr>
            <w:tcW w:w="1638" w:type="dxa"/>
            <w:vAlign w:val="center"/>
          </w:tcPr>
          <w:p w14:paraId="105E83D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ESS</w:t>
            </w:r>
          </w:p>
        </w:tc>
        <w:tc>
          <w:tcPr>
            <w:tcW w:w="1350" w:type="dxa"/>
            <w:vAlign w:val="center"/>
          </w:tcPr>
          <w:p w14:paraId="14F4832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8.35±3.56</w:t>
            </w:r>
          </w:p>
        </w:tc>
        <w:tc>
          <w:tcPr>
            <w:tcW w:w="1350" w:type="dxa"/>
            <w:vAlign w:val="center"/>
          </w:tcPr>
          <w:p w14:paraId="03595EC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8±3.72</w:t>
            </w:r>
          </w:p>
        </w:tc>
        <w:tc>
          <w:tcPr>
            <w:tcW w:w="810" w:type="dxa"/>
            <w:vAlign w:val="center"/>
          </w:tcPr>
          <w:p w14:paraId="169563F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.66</w:t>
            </w:r>
          </w:p>
        </w:tc>
        <w:tc>
          <w:tcPr>
            <w:tcW w:w="1350" w:type="dxa"/>
            <w:vAlign w:val="center"/>
          </w:tcPr>
          <w:p w14:paraId="7C29B22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8.06±3.6</w:t>
            </w:r>
          </w:p>
        </w:tc>
        <w:tc>
          <w:tcPr>
            <w:tcW w:w="1530" w:type="dxa"/>
            <w:vAlign w:val="center"/>
          </w:tcPr>
          <w:tbl>
            <w:tblPr>
              <w:tblW w:w="1300" w:type="dxa"/>
              <w:tblLayout w:type="fixed"/>
              <w:tblLook w:val="04A0" w:firstRow="1" w:lastRow="0" w:firstColumn="1" w:lastColumn="0" w:noHBand="0" w:noVBand="1"/>
            </w:tblPr>
            <w:tblGrid>
              <w:gridCol w:w="1300"/>
            </w:tblGrid>
            <w:tr w:rsidR="00F7044C" w:rsidRPr="00C421E4" w14:paraId="2D165C46" w14:textId="77777777" w:rsidTr="00804E6B">
              <w:trPr>
                <w:trHeight w:val="300"/>
              </w:trPr>
              <w:tc>
                <w:tcPr>
                  <w:tcW w:w="1300" w:type="dxa"/>
                  <w:tcBorders>
                    <w:top w:val="nil"/>
                    <w:left w:val="nil"/>
                    <w:bottom w:val="nil"/>
                    <w:right w:val="nil"/>
                  </w:tcBorders>
                  <w:shd w:val="clear" w:color="auto" w:fill="auto"/>
                  <w:noWrap/>
                  <w:vAlign w:val="bottom"/>
                  <w:hideMark/>
                </w:tcPr>
                <w:p w14:paraId="66A3984B" w14:textId="77777777" w:rsidR="00F7044C" w:rsidRPr="00C421E4" w:rsidRDefault="00F7044C" w:rsidP="00804E6B">
                  <w:pPr>
                    <w:jc w:val="center"/>
                    <w:rPr>
                      <w:rFonts w:ascii="Times" w:hAnsi="Times"/>
                    </w:rPr>
                  </w:pPr>
                  <w:r w:rsidRPr="00C421E4">
                    <w:rPr>
                      <w:rFonts w:ascii="Times" w:hAnsi="Times"/>
                    </w:rPr>
                    <w:t>8.29±3.69</w:t>
                  </w:r>
                </w:p>
              </w:tc>
            </w:tr>
          </w:tbl>
          <w:p w14:paraId="4DDEB9E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828" w:type="dxa"/>
            <w:vAlign w:val="center"/>
          </w:tcPr>
          <w:p w14:paraId="748EAFE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.75</w:t>
            </w:r>
          </w:p>
        </w:tc>
      </w:tr>
      <w:tr w:rsidR="00F7044C" w:rsidRPr="00C421E4" w14:paraId="5249C873" w14:textId="77777777" w:rsidTr="00804E6B">
        <w:trPr>
          <w:trHeight w:val="317"/>
        </w:trPr>
        <w:tc>
          <w:tcPr>
            <w:tcW w:w="1638" w:type="dxa"/>
            <w:vAlign w:val="center"/>
          </w:tcPr>
          <w:p w14:paraId="75B0CA9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SSS1</w:t>
            </w:r>
          </w:p>
        </w:tc>
        <w:tc>
          <w:tcPr>
            <w:tcW w:w="1350" w:type="dxa"/>
            <w:vAlign w:val="center"/>
          </w:tcPr>
          <w:p w14:paraId="1A5953E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2.8±1.38</w:t>
            </w:r>
          </w:p>
        </w:tc>
        <w:tc>
          <w:tcPr>
            <w:tcW w:w="1350" w:type="dxa"/>
            <w:vAlign w:val="center"/>
          </w:tcPr>
          <w:p w14:paraId="6FF4BCB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3.17±1.08</w:t>
            </w:r>
          </w:p>
        </w:tc>
        <w:tc>
          <w:tcPr>
            <w:tcW w:w="810" w:type="dxa"/>
            <w:vAlign w:val="center"/>
          </w:tcPr>
          <w:p w14:paraId="1AF9166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.18</w:t>
            </w:r>
          </w:p>
        </w:tc>
        <w:tc>
          <w:tcPr>
            <w:tcW w:w="1350" w:type="dxa"/>
            <w:vAlign w:val="center"/>
          </w:tcPr>
          <w:p w14:paraId="60DDE19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2.68±1.03</w:t>
            </w:r>
          </w:p>
        </w:tc>
        <w:tc>
          <w:tcPr>
            <w:tcW w:w="1530" w:type="dxa"/>
            <w:vAlign w:val="center"/>
          </w:tcPr>
          <w:tbl>
            <w:tblPr>
              <w:tblW w:w="1300" w:type="dxa"/>
              <w:tblLayout w:type="fixed"/>
              <w:tblLook w:val="04A0" w:firstRow="1" w:lastRow="0" w:firstColumn="1" w:lastColumn="0" w:noHBand="0" w:noVBand="1"/>
            </w:tblPr>
            <w:tblGrid>
              <w:gridCol w:w="1300"/>
            </w:tblGrid>
            <w:tr w:rsidR="00F7044C" w:rsidRPr="00C421E4" w14:paraId="14075077" w14:textId="77777777" w:rsidTr="00804E6B">
              <w:trPr>
                <w:trHeight w:val="300"/>
              </w:trPr>
              <w:tc>
                <w:tcPr>
                  <w:tcW w:w="1300" w:type="dxa"/>
                  <w:tcBorders>
                    <w:top w:val="nil"/>
                    <w:left w:val="nil"/>
                    <w:bottom w:val="nil"/>
                    <w:right w:val="nil"/>
                  </w:tcBorders>
                  <w:shd w:val="clear" w:color="auto" w:fill="auto"/>
                  <w:noWrap/>
                  <w:vAlign w:val="bottom"/>
                  <w:hideMark/>
                </w:tcPr>
                <w:p w14:paraId="3B24F63D" w14:textId="77777777" w:rsidR="00F7044C" w:rsidRPr="00C421E4" w:rsidRDefault="00F7044C" w:rsidP="00804E6B">
                  <w:pPr>
                    <w:jc w:val="center"/>
                    <w:rPr>
                      <w:rFonts w:ascii="Times" w:hAnsi="Times"/>
                    </w:rPr>
                  </w:pPr>
                  <w:r w:rsidRPr="00C421E4">
                    <w:rPr>
                      <w:rFonts w:ascii="Times" w:hAnsi="Times"/>
                    </w:rPr>
                    <w:t>3.3±1.37</w:t>
                  </w:r>
                </w:p>
              </w:tc>
            </w:tr>
          </w:tbl>
          <w:p w14:paraId="77A6919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828" w:type="dxa"/>
            <w:vAlign w:val="center"/>
          </w:tcPr>
          <w:p w14:paraId="4C2C15B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b/>
              </w:rPr>
            </w:pPr>
            <w:r w:rsidRPr="00C421E4">
              <w:rPr>
                <w:rFonts w:ascii="Times" w:hAnsi="Times"/>
                <w:b/>
              </w:rPr>
              <w:t>.02</w:t>
            </w:r>
          </w:p>
        </w:tc>
      </w:tr>
      <w:tr w:rsidR="00F7044C" w:rsidRPr="00C421E4" w14:paraId="7618DD31" w14:textId="77777777" w:rsidTr="00804E6B">
        <w:trPr>
          <w:trHeight w:val="317"/>
        </w:trPr>
        <w:tc>
          <w:tcPr>
            <w:tcW w:w="1638" w:type="dxa"/>
            <w:vAlign w:val="center"/>
          </w:tcPr>
          <w:p w14:paraId="739BBBB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SSS2</w:t>
            </w:r>
          </w:p>
        </w:tc>
        <w:tc>
          <w:tcPr>
            <w:tcW w:w="1350" w:type="dxa"/>
            <w:vAlign w:val="center"/>
          </w:tcPr>
          <w:p w14:paraId="387E4B4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2.65±1.57</w:t>
            </w:r>
          </w:p>
        </w:tc>
        <w:tc>
          <w:tcPr>
            <w:tcW w:w="1350" w:type="dxa"/>
            <w:vAlign w:val="center"/>
          </w:tcPr>
          <w:p w14:paraId="601BBCB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2.42±1.37</w:t>
            </w:r>
          </w:p>
        </w:tc>
        <w:tc>
          <w:tcPr>
            <w:tcW w:w="810" w:type="dxa"/>
            <w:vAlign w:val="center"/>
          </w:tcPr>
          <w:p w14:paraId="23246A7D"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.49</w:t>
            </w:r>
          </w:p>
        </w:tc>
        <w:tc>
          <w:tcPr>
            <w:tcW w:w="1350" w:type="dxa"/>
            <w:vAlign w:val="center"/>
          </w:tcPr>
          <w:p w14:paraId="4716105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2.68±1.33</w:t>
            </w:r>
          </w:p>
        </w:tc>
        <w:tc>
          <w:tcPr>
            <w:tcW w:w="1530" w:type="dxa"/>
            <w:vAlign w:val="center"/>
          </w:tcPr>
          <w:p w14:paraId="347E4FD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2.38±1.61</w:t>
            </w:r>
          </w:p>
        </w:tc>
        <w:tc>
          <w:tcPr>
            <w:tcW w:w="828" w:type="dxa"/>
            <w:vAlign w:val="center"/>
          </w:tcPr>
          <w:p w14:paraId="6CC9002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.36</w:t>
            </w:r>
          </w:p>
        </w:tc>
      </w:tr>
      <w:tr w:rsidR="00F7044C" w:rsidRPr="00C421E4" w14:paraId="5B28254E" w14:textId="77777777" w:rsidTr="00804E6B">
        <w:trPr>
          <w:trHeight w:val="317"/>
        </w:trPr>
        <w:tc>
          <w:tcPr>
            <w:tcW w:w="1638" w:type="dxa"/>
            <w:vAlign w:val="center"/>
          </w:tcPr>
          <w:p w14:paraId="32EAA40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PSQI</w:t>
            </w:r>
          </w:p>
        </w:tc>
        <w:tc>
          <w:tcPr>
            <w:tcW w:w="1350" w:type="dxa"/>
            <w:vAlign w:val="center"/>
          </w:tcPr>
          <w:p w14:paraId="6EA26FE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4.97±2.52</w:t>
            </w:r>
          </w:p>
        </w:tc>
        <w:tc>
          <w:tcPr>
            <w:tcW w:w="1350" w:type="dxa"/>
            <w:vAlign w:val="center"/>
          </w:tcPr>
          <w:p w14:paraId="68AD1F2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5.87±1.97</w:t>
            </w:r>
          </w:p>
        </w:tc>
        <w:tc>
          <w:tcPr>
            <w:tcW w:w="810" w:type="dxa"/>
            <w:vAlign w:val="center"/>
          </w:tcPr>
          <w:p w14:paraId="54911AC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.08</w:t>
            </w:r>
          </w:p>
        </w:tc>
        <w:tc>
          <w:tcPr>
            <w:tcW w:w="1350" w:type="dxa"/>
            <w:vAlign w:val="center"/>
          </w:tcPr>
          <w:p w14:paraId="5DBCDE3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5.56±2.33</w:t>
            </w:r>
          </w:p>
        </w:tc>
        <w:tc>
          <w:tcPr>
            <w:tcW w:w="1530" w:type="dxa"/>
            <w:vAlign w:val="center"/>
          </w:tcPr>
          <w:p w14:paraId="31A5DE5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5.28±2.28</w:t>
            </w:r>
          </w:p>
        </w:tc>
        <w:tc>
          <w:tcPr>
            <w:tcW w:w="828" w:type="dxa"/>
            <w:vAlign w:val="center"/>
          </w:tcPr>
          <w:p w14:paraId="434F7AD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.59</w:t>
            </w:r>
          </w:p>
        </w:tc>
      </w:tr>
      <w:tr w:rsidR="00F7044C" w:rsidRPr="00C421E4" w14:paraId="548960A2" w14:textId="77777777" w:rsidTr="00804E6B">
        <w:trPr>
          <w:trHeight w:val="317"/>
        </w:trPr>
        <w:tc>
          <w:tcPr>
            <w:tcW w:w="1638" w:type="dxa"/>
            <w:vAlign w:val="center"/>
          </w:tcPr>
          <w:p w14:paraId="2E2BF8B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Digit Span</w:t>
            </w:r>
          </w:p>
        </w:tc>
        <w:tc>
          <w:tcPr>
            <w:tcW w:w="1350" w:type="dxa"/>
            <w:vAlign w:val="center"/>
          </w:tcPr>
          <w:p w14:paraId="67F0E34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9.4</w:t>
            </w:r>
            <w:r w:rsidRPr="00C421E4">
              <w:rPr>
                <w:rFonts w:ascii="Times" w:eastAsia="Times New Roman" w:hAnsi="Times"/>
              </w:rPr>
              <w:t>±2.2</w:t>
            </w:r>
          </w:p>
        </w:tc>
        <w:tc>
          <w:tcPr>
            <w:tcW w:w="1350" w:type="dxa"/>
            <w:vAlign w:val="center"/>
          </w:tcPr>
          <w:p w14:paraId="1F4C55D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10.3</w:t>
            </w:r>
            <w:r w:rsidRPr="00C421E4">
              <w:rPr>
                <w:rFonts w:ascii="Times" w:eastAsia="Times New Roman" w:hAnsi="Times"/>
              </w:rPr>
              <w:t>±2.6</w:t>
            </w:r>
          </w:p>
        </w:tc>
        <w:tc>
          <w:tcPr>
            <w:tcW w:w="810" w:type="dxa"/>
            <w:vAlign w:val="center"/>
          </w:tcPr>
          <w:p w14:paraId="4E84F4C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.11</w:t>
            </w:r>
          </w:p>
        </w:tc>
        <w:tc>
          <w:tcPr>
            <w:tcW w:w="1350" w:type="dxa"/>
            <w:vAlign w:val="center"/>
          </w:tcPr>
          <w:p w14:paraId="5DAFB642" w14:textId="77777777" w:rsidR="00F7044C" w:rsidRPr="00C421E4" w:rsidRDefault="00F7044C" w:rsidP="00804E6B">
            <w:pPr>
              <w:jc w:val="center"/>
              <w:rPr>
                <w:rFonts w:ascii="Times" w:eastAsia="Times New Roman" w:hAnsi="Times"/>
              </w:rPr>
            </w:pPr>
            <w:r w:rsidRPr="00C421E4">
              <w:rPr>
                <w:rFonts w:ascii="Times" w:eastAsia="Times New Roman" w:hAnsi="Times"/>
              </w:rPr>
              <w:t>10.0±2.1</w:t>
            </w:r>
          </w:p>
        </w:tc>
        <w:tc>
          <w:tcPr>
            <w:tcW w:w="1530" w:type="dxa"/>
            <w:vAlign w:val="center"/>
          </w:tcPr>
          <w:p w14:paraId="38EFE9C1" w14:textId="77777777" w:rsidR="00F7044C" w:rsidRPr="00C421E4" w:rsidRDefault="00F7044C" w:rsidP="00804E6B">
            <w:pPr>
              <w:jc w:val="center"/>
              <w:rPr>
                <w:rFonts w:ascii="Times" w:eastAsia="Times New Roman" w:hAnsi="Times"/>
              </w:rPr>
            </w:pPr>
            <w:r w:rsidRPr="00C421E4">
              <w:rPr>
                <w:rFonts w:ascii="Times" w:eastAsia="Times New Roman" w:hAnsi="Times"/>
              </w:rPr>
              <w:t>9.7±2.7</w:t>
            </w:r>
          </w:p>
        </w:tc>
        <w:tc>
          <w:tcPr>
            <w:tcW w:w="828" w:type="dxa"/>
            <w:vAlign w:val="center"/>
          </w:tcPr>
          <w:p w14:paraId="66E75A8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.64</w:t>
            </w:r>
          </w:p>
        </w:tc>
      </w:tr>
      <w:tr w:rsidR="00F7044C" w:rsidRPr="00C421E4" w14:paraId="3C972456" w14:textId="77777777" w:rsidTr="00804E6B">
        <w:trPr>
          <w:trHeight w:val="317"/>
        </w:trPr>
        <w:tc>
          <w:tcPr>
            <w:tcW w:w="1638" w:type="dxa"/>
            <w:vAlign w:val="center"/>
          </w:tcPr>
          <w:p w14:paraId="354D146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Time since TBI (yr)</w:t>
            </w:r>
          </w:p>
        </w:tc>
        <w:tc>
          <w:tcPr>
            <w:tcW w:w="1350" w:type="dxa"/>
            <w:vAlign w:val="center"/>
          </w:tcPr>
          <w:p w14:paraId="691455F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c>
          <w:tcPr>
            <w:tcW w:w="1350" w:type="dxa"/>
            <w:vAlign w:val="center"/>
          </w:tcPr>
          <w:p w14:paraId="4C328E1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c>
          <w:tcPr>
            <w:tcW w:w="810" w:type="dxa"/>
            <w:vAlign w:val="center"/>
          </w:tcPr>
          <w:p w14:paraId="4A81EC6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1350" w:type="dxa"/>
            <w:vAlign w:val="center"/>
          </w:tcPr>
          <w:p w14:paraId="7556583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4.32±2.97</w:t>
            </w:r>
          </w:p>
        </w:tc>
        <w:tc>
          <w:tcPr>
            <w:tcW w:w="1530" w:type="dxa"/>
            <w:vAlign w:val="center"/>
          </w:tcPr>
          <w:tbl>
            <w:tblPr>
              <w:tblW w:w="1300" w:type="dxa"/>
              <w:tblLayout w:type="fixed"/>
              <w:tblLook w:val="04A0" w:firstRow="1" w:lastRow="0" w:firstColumn="1" w:lastColumn="0" w:noHBand="0" w:noVBand="1"/>
            </w:tblPr>
            <w:tblGrid>
              <w:gridCol w:w="1300"/>
            </w:tblGrid>
            <w:tr w:rsidR="00F7044C" w:rsidRPr="00C421E4" w14:paraId="4B2E523A" w14:textId="77777777" w:rsidTr="00804E6B">
              <w:trPr>
                <w:trHeight w:val="300"/>
              </w:trPr>
              <w:tc>
                <w:tcPr>
                  <w:tcW w:w="1300" w:type="dxa"/>
                  <w:tcBorders>
                    <w:top w:val="nil"/>
                    <w:left w:val="nil"/>
                    <w:bottom w:val="nil"/>
                    <w:right w:val="nil"/>
                  </w:tcBorders>
                  <w:shd w:val="clear" w:color="auto" w:fill="auto"/>
                  <w:noWrap/>
                  <w:vAlign w:val="bottom"/>
                  <w:hideMark/>
                </w:tcPr>
                <w:p w14:paraId="0C845144" w14:textId="77777777" w:rsidR="00F7044C" w:rsidRPr="00C421E4" w:rsidRDefault="00F7044C" w:rsidP="00804E6B">
                  <w:pPr>
                    <w:jc w:val="center"/>
                    <w:rPr>
                      <w:rFonts w:ascii="Times" w:hAnsi="Times"/>
                    </w:rPr>
                  </w:pPr>
                  <w:r w:rsidRPr="00C421E4">
                    <w:rPr>
                      <w:rFonts w:ascii="Times" w:hAnsi="Times"/>
                    </w:rPr>
                    <w:t>3.19±2.77</w:t>
                  </w:r>
                </w:p>
              </w:tc>
            </w:tr>
          </w:tbl>
          <w:p w14:paraId="4B15619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828" w:type="dxa"/>
            <w:vAlign w:val="center"/>
          </w:tcPr>
          <w:p w14:paraId="0E4D0A7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.21</w:t>
            </w:r>
          </w:p>
        </w:tc>
      </w:tr>
      <w:tr w:rsidR="00F7044C" w:rsidRPr="00C421E4" w14:paraId="423A0B84" w14:textId="77777777" w:rsidTr="00804E6B">
        <w:trPr>
          <w:trHeight w:val="317"/>
        </w:trPr>
        <w:tc>
          <w:tcPr>
            <w:tcW w:w="1638" w:type="dxa"/>
            <w:vAlign w:val="center"/>
          </w:tcPr>
          <w:p w14:paraId="0D59DE6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Concussions (#)</w:t>
            </w:r>
          </w:p>
        </w:tc>
        <w:tc>
          <w:tcPr>
            <w:tcW w:w="1350" w:type="dxa"/>
            <w:vAlign w:val="center"/>
          </w:tcPr>
          <w:p w14:paraId="4BB68D4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c>
          <w:tcPr>
            <w:tcW w:w="1350" w:type="dxa"/>
            <w:vAlign w:val="center"/>
          </w:tcPr>
          <w:p w14:paraId="3556D7E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c>
          <w:tcPr>
            <w:tcW w:w="810" w:type="dxa"/>
            <w:vAlign w:val="center"/>
          </w:tcPr>
          <w:p w14:paraId="5FA57D1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1350" w:type="dxa"/>
            <w:vAlign w:val="center"/>
          </w:tcPr>
          <w:p w14:paraId="6ABD338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1.55±1.05</w:t>
            </w:r>
          </w:p>
        </w:tc>
        <w:tc>
          <w:tcPr>
            <w:tcW w:w="1530" w:type="dxa"/>
            <w:vAlign w:val="center"/>
          </w:tcPr>
          <w:p w14:paraId="776E76C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eastAsia="Times New Roman" w:hAnsi="Times"/>
              </w:rPr>
              <w:t>1.73±1.33</w:t>
            </w:r>
          </w:p>
        </w:tc>
        <w:tc>
          <w:tcPr>
            <w:tcW w:w="828" w:type="dxa"/>
            <w:vAlign w:val="center"/>
          </w:tcPr>
          <w:p w14:paraId="63D01EC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.62</w:t>
            </w:r>
          </w:p>
        </w:tc>
      </w:tr>
    </w:tbl>
    <w:p w14:paraId="47D8A284" w14:textId="77777777" w:rsidR="00F7044C" w:rsidRPr="00C421E4" w:rsidRDefault="00F7044C" w:rsidP="00F7044C">
      <w:pPr>
        <w:widowControl w:val="0"/>
        <w:autoSpaceDE w:val="0"/>
        <w:autoSpaceDN w:val="0"/>
        <w:adjustRightInd w:val="0"/>
        <w:spacing w:after="240"/>
        <w:rPr>
          <w:rFonts w:ascii="Times" w:hAnsi="Times"/>
        </w:rPr>
      </w:pPr>
    </w:p>
    <w:p w14:paraId="5CDF7A71" w14:textId="77777777" w:rsidR="00F7044C" w:rsidRPr="00C421E4" w:rsidRDefault="00F7044C" w:rsidP="00F7044C">
      <w:pPr>
        <w:widowControl w:val="0"/>
        <w:autoSpaceDE w:val="0"/>
        <w:autoSpaceDN w:val="0"/>
        <w:adjustRightInd w:val="0"/>
        <w:spacing w:after="240" w:line="480" w:lineRule="auto"/>
        <w:rPr>
          <w:rFonts w:ascii="Times" w:hAnsi="Times"/>
        </w:rPr>
      </w:pPr>
      <w:r w:rsidRPr="00C421E4">
        <w:rPr>
          <w:rFonts w:ascii="Times" w:hAnsi="Times"/>
        </w:rPr>
        <w:t>MEQ = Morningness-Eveningness Questionnaire; ESS = Epworth Sleepiness Scale; SSS1 and SSS2 = Stanford Sleepiness Scale at Sessions 1 and 2; PSQI = Pittsburgh Sleep Quality Index; bold indicates p-value &lt; .05.</w:t>
      </w:r>
    </w:p>
    <w:p w14:paraId="04692EC0" w14:textId="77777777" w:rsidR="00F7044C" w:rsidRPr="00C421E4" w:rsidRDefault="00F7044C" w:rsidP="00F7044C">
      <w:pPr>
        <w:rPr>
          <w:rFonts w:ascii="Times" w:hAnsi="Times"/>
        </w:rPr>
      </w:pPr>
      <w:r w:rsidRPr="00C421E4">
        <w:rPr>
          <w:rFonts w:ascii="Times" w:hAnsi="Times"/>
        </w:rPr>
        <w:br w:type="page"/>
      </w:r>
    </w:p>
    <w:p w14:paraId="52332C3A" w14:textId="77777777" w:rsidR="00F7044C" w:rsidRPr="00C421E4" w:rsidRDefault="00F7044C" w:rsidP="00F7044C">
      <w:pPr>
        <w:widowControl w:val="0"/>
        <w:autoSpaceDE w:val="0"/>
        <w:autoSpaceDN w:val="0"/>
        <w:adjustRightInd w:val="0"/>
        <w:spacing w:after="240"/>
        <w:rPr>
          <w:rFonts w:ascii="Times" w:hAnsi="Times"/>
        </w:rPr>
      </w:pPr>
      <w:r w:rsidRPr="00C421E4">
        <w:rPr>
          <w:rFonts w:ascii="Times" w:hAnsi="Times"/>
        </w:rPr>
        <w:lastRenderedPageBreak/>
        <w:t xml:space="preserve">Table 2: Concussion parameters. </w:t>
      </w:r>
    </w:p>
    <w:tbl>
      <w:tblPr>
        <w:tblStyle w:val="TableGrid"/>
        <w:tblW w:w="0" w:type="auto"/>
        <w:tblLook w:val="04A0" w:firstRow="1" w:lastRow="0" w:firstColumn="1" w:lastColumn="0" w:noHBand="0" w:noVBand="1"/>
      </w:tblPr>
      <w:tblGrid>
        <w:gridCol w:w="2178"/>
        <w:gridCol w:w="1170"/>
        <w:gridCol w:w="1170"/>
        <w:gridCol w:w="990"/>
      </w:tblGrid>
      <w:tr w:rsidR="00F7044C" w:rsidRPr="00C421E4" w14:paraId="1042EE3E" w14:textId="77777777" w:rsidTr="00804E6B">
        <w:tc>
          <w:tcPr>
            <w:tcW w:w="2178" w:type="dxa"/>
          </w:tcPr>
          <w:p w14:paraId="10349AE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Symptom</w:t>
            </w:r>
          </w:p>
        </w:tc>
        <w:tc>
          <w:tcPr>
            <w:tcW w:w="1170" w:type="dxa"/>
          </w:tcPr>
          <w:p w14:paraId="4D27E7C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 xml:space="preserve">Sleep </w:t>
            </w:r>
          </w:p>
          <w:p w14:paraId="0EF3EFA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20)</w:t>
            </w:r>
          </w:p>
        </w:tc>
        <w:tc>
          <w:tcPr>
            <w:tcW w:w="1170" w:type="dxa"/>
          </w:tcPr>
          <w:p w14:paraId="3F3C8C4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 xml:space="preserve">Wake </w:t>
            </w:r>
          </w:p>
          <w:p w14:paraId="10DED17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20)</w:t>
            </w:r>
          </w:p>
        </w:tc>
        <w:tc>
          <w:tcPr>
            <w:tcW w:w="990" w:type="dxa"/>
          </w:tcPr>
          <w:p w14:paraId="4F15BEB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p-value</w:t>
            </w:r>
          </w:p>
        </w:tc>
      </w:tr>
      <w:tr w:rsidR="00F7044C" w:rsidRPr="00C421E4" w14:paraId="504F5163" w14:textId="77777777" w:rsidTr="00804E6B">
        <w:tc>
          <w:tcPr>
            <w:tcW w:w="2178" w:type="dxa"/>
          </w:tcPr>
          <w:p w14:paraId="72BA7FF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LOC (%)</w:t>
            </w:r>
          </w:p>
        </w:tc>
        <w:tc>
          <w:tcPr>
            <w:tcW w:w="1170" w:type="dxa"/>
          </w:tcPr>
          <w:p w14:paraId="77CCE0F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30.0</w:t>
            </w:r>
          </w:p>
        </w:tc>
        <w:tc>
          <w:tcPr>
            <w:tcW w:w="1170" w:type="dxa"/>
          </w:tcPr>
          <w:p w14:paraId="09DFCF8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38.1</w:t>
            </w:r>
          </w:p>
        </w:tc>
        <w:tc>
          <w:tcPr>
            <w:tcW w:w="990" w:type="dxa"/>
          </w:tcPr>
          <w:p w14:paraId="6A295FD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.74</w:t>
            </w:r>
          </w:p>
        </w:tc>
      </w:tr>
      <w:tr w:rsidR="00F7044C" w:rsidRPr="00C421E4" w14:paraId="5E9CDEBE" w14:textId="77777777" w:rsidTr="00804E6B">
        <w:tc>
          <w:tcPr>
            <w:tcW w:w="2178" w:type="dxa"/>
          </w:tcPr>
          <w:p w14:paraId="0DF2345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PTA (%)</w:t>
            </w:r>
          </w:p>
        </w:tc>
        <w:tc>
          <w:tcPr>
            <w:tcW w:w="1170" w:type="dxa"/>
          </w:tcPr>
          <w:p w14:paraId="1FCE73E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10.0</w:t>
            </w:r>
          </w:p>
        </w:tc>
        <w:tc>
          <w:tcPr>
            <w:tcW w:w="1170" w:type="dxa"/>
          </w:tcPr>
          <w:p w14:paraId="4E41224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4.7</w:t>
            </w:r>
          </w:p>
        </w:tc>
        <w:tc>
          <w:tcPr>
            <w:tcW w:w="990" w:type="dxa"/>
          </w:tcPr>
          <w:p w14:paraId="33CD1B4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.60</w:t>
            </w:r>
          </w:p>
        </w:tc>
      </w:tr>
      <w:tr w:rsidR="00F7044C" w:rsidRPr="00C421E4" w14:paraId="6F63828A" w14:textId="77777777" w:rsidTr="00804E6B">
        <w:tc>
          <w:tcPr>
            <w:tcW w:w="2178" w:type="dxa"/>
          </w:tcPr>
          <w:p w14:paraId="4319F85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Nausea (%)</w:t>
            </w:r>
          </w:p>
        </w:tc>
        <w:tc>
          <w:tcPr>
            <w:tcW w:w="1170" w:type="dxa"/>
          </w:tcPr>
          <w:p w14:paraId="5658E8D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50.0</w:t>
            </w:r>
          </w:p>
        </w:tc>
        <w:tc>
          <w:tcPr>
            <w:tcW w:w="1170" w:type="dxa"/>
          </w:tcPr>
          <w:p w14:paraId="2BEA362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52.4</w:t>
            </w:r>
          </w:p>
        </w:tc>
        <w:tc>
          <w:tcPr>
            <w:tcW w:w="990" w:type="dxa"/>
          </w:tcPr>
          <w:p w14:paraId="532C8E7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r>
      <w:tr w:rsidR="00F7044C" w:rsidRPr="00C421E4" w14:paraId="7218C975" w14:textId="77777777" w:rsidTr="00804E6B">
        <w:tc>
          <w:tcPr>
            <w:tcW w:w="2178" w:type="dxa"/>
          </w:tcPr>
          <w:p w14:paraId="5793D14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Vomiting (%)</w:t>
            </w:r>
          </w:p>
        </w:tc>
        <w:tc>
          <w:tcPr>
            <w:tcW w:w="1170" w:type="dxa"/>
          </w:tcPr>
          <w:p w14:paraId="5CCFA4D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25.0</w:t>
            </w:r>
          </w:p>
        </w:tc>
        <w:tc>
          <w:tcPr>
            <w:tcW w:w="1170" w:type="dxa"/>
          </w:tcPr>
          <w:p w14:paraId="24F2EFF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14.2</w:t>
            </w:r>
          </w:p>
        </w:tc>
        <w:tc>
          <w:tcPr>
            <w:tcW w:w="990" w:type="dxa"/>
          </w:tcPr>
          <w:p w14:paraId="16EBE0B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.45</w:t>
            </w:r>
          </w:p>
        </w:tc>
      </w:tr>
      <w:tr w:rsidR="00F7044C" w:rsidRPr="00C421E4" w14:paraId="1CB30A3F" w14:textId="77777777" w:rsidTr="00804E6B">
        <w:tc>
          <w:tcPr>
            <w:tcW w:w="2178" w:type="dxa"/>
          </w:tcPr>
          <w:p w14:paraId="3BF58CC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Dizziness (%)</w:t>
            </w:r>
          </w:p>
        </w:tc>
        <w:tc>
          <w:tcPr>
            <w:tcW w:w="1170" w:type="dxa"/>
          </w:tcPr>
          <w:p w14:paraId="5627AC0D"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80.0</w:t>
            </w:r>
          </w:p>
        </w:tc>
        <w:tc>
          <w:tcPr>
            <w:tcW w:w="1170" w:type="dxa"/>
          </w:tcPr>
          <w:p w14:paraId="4B005A2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85.7</w:t>
            </w:r>
          </w:p>
        </w:tc>
        <w:tc>
          <w:tcPr>
            <w:tcW w:w="990" w:type="dxa"/>
          </w:tcPr>
          <w:p w14:paraId="67900F9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.69</w:t>
            </w:r>
          </w:p>
        </w:tc>
      </w:tr>
      <w:tr w:rsidR="00F7044C" w:rsidRPr="00C421E4" w14:paraId="56BE4E26" w14:textId="77777777" w:rsidTr="00804E6B">
        <w:tc>
          <w:tcPr>
            <w:tcW w:w="2178" w:type="dxa"/>
          </w:tcPr>
          <w:p w14:paraId="1B9CC61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Headache (%)</w:t>
            </w:r>
          </w:p>
        </w:tc>
        <w:tc>
          <w:tcPr>
            <w:tcW w:w="1170" w:type="dxa"/>
          </w:tcPr>
          <w:p w14:paraId="68672FF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100</w:t>
            </w:r>
          </w:p>
        </w:tc>
        <w:tc>
          <w:tcPr>
            <w:tcW w:w="1170" w:type="dxa"/>
          </w:tcPr>
          <w:p w14:paraId="59A84D5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100</w:t>
            </w:r>
          </w:p>
        </w:tc>
        <w:tc>
          <w:tcPr>
            <w:tcW w:w="990" w:type="dxa"/>
          </w:tcPr>
          <w:p w14:paraId="28AB829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t>
            </w:r>
          </w:p>
        </w:tc>
      </w:tr>
      <w:tr w:rsidR="00F7044C" w:rsidRPr="00C421E4" w14:paraId="30C23630" w14:textId="77777777" w:rsidTr="00804E6B">
        <w:tc>
          <w:tcPr>
            <w:tcW w:w="2178" w:type="dxa"/>
          </w:tcPr>
          <w:p w14:paraId="5DC8D97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Fatigue (%)</w:t>
            </w:r>
          </w:p>
        </w:tc>
        <w:tc>
          <w:tcPr>
            <w:tcW w:w="1170" w:type="dxa"/>
          </w:tcPr>
          <w:p w14:paraId="7D4BF6B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95.0</w:t>
            </w:r>
          </w:p>
        </w:tc>
        <w:tc>
          <w:tcPr>
            <w:tcW w:w="1170" w:type="dxa"/>
          </w:tcPr>
          <w:p w14:paraId="6644725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85.7</w:t>
            </w:r>
          </w:p>
        </w:tc>
        <w:tc>
          <w:tcPr>
            <w:tcW w:w="0" w:type="auto"/>
          </w:tcPr>
          <w:p w14:paraId="6AE365B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.60</w:t>
            </w:r>
          </w:p>
        </w:tc>
      </w:tr>
      <w:tr w:rsidR="00F7044C" w:rsidRPr="00C421E4" w14:paraId="32B11929" w14:textId="77777777" w:rsidTr="00804E6B">
        <w:tc>
          <w:tcPr>
            <w:tcW w:w="2178" w:type="dxa"/>
          </w:tcPr>
          <w:p w14:paraId="25A58A1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Concentration (%)</w:t>
            </w:r>
          </w:p>
        </w:tc>
        <w:tc>
          <w:tcPr>
            <w:tcW w:w="1170" w:type="dxa"/>
          </w:tcPr>
          <w:p w14:paraId="5AB0104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80.0</w:t>
            </w:r>
          </w:p>
        </w:tc>
        <w:tc>
          <w:tcPr>
            <w:tcW w:w="1170" w:type="dxa"/>
          </w:tcPr>
          <w:p w14:paraId="2F6CCE1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66.6</w:t>
            </w:r>
          </w:p>
        </w:tc>
        <w:tc>
          <w:tcPr>
            <w:tcW w:w="0" w:type="auto"/>
          </w:tcPr>
          <w:p w14:paraId="7C2BADA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.48</w:t>
            </w:r>
          </w:p>
        </w:tc>
      </w:tr>
      <w:tr w:rsidR="00F7044C" w:rsidRPr="00C421E4" w14:paraId="384895D0" w14:textId="77777777" w:rsidTr="00804E6B">
        <w:tc>
          <w:tcPr>
            <w:tcW w:w="2178" w:type="dxa"/>
          </w:tcPr>
          <w:p w14:paraId="4F1F16B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 Issues (%)</w:t>
            </w:r>
          </w:p>
        </w:tc>
        <w:tc>
          <w:tcPr>
            <w:tcW w:w="1170" w:type="dxa"/>
          </w:tcPr>
          <w:p w14:paraId="76B7DFC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10.0</w:t>
            </w:r>
          </w:p>
        </w:tc>
        <w:tc>
          <w:tcPr>
            <w:tcW w:w="1170" w:type="dxa"/>
          </w:tcPr>
          <w:p w14:paraId="0711631D"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28.5</w:t>
            </w:r>
          </w:p>
        </w:tc>
        <w:tc>
          <w:tcPr>
            <w:tcW w:w="0" w:type="auto"/>
          </w:tcPr>
          <w:p w14:paraId="4114067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.23</w:t>
            </w:r>
          </w:p>
        </w:tc>
      </w:tr>
      <w:tr w:rsidR="00F7044C" w:rsidRPr="00C421E4" w14:paraId="5B862A83" w14:textId="77777777" w:rsidTr="00804E6B">
        <w:tc>
          <w:tcPr>
            <w:tcW w:w="2178" w:type="dxa"/>
          </w:tcPr>
          <w:p w14:paraId="53A8283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Total symptoms (#)</w:t>
            </w:r>
          </w:p>
        </w:tc>
        <w:tc>
          <w:tcPr>
            <w:tcW w:w="1170" w:type="dxa"/>
          </w:tcPr>
          <w:p w14:paraId="751B0BF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4.7±1.4</w:t>
            </w:r>
          </w:p>
        </w:tc>
        <w:tc>
          <w:tcPr>
            <w:tcW w:w="1170" w:type="dxa"/>
          </w:tcPr>
          <w:p w14:paraId="29A7AC1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4.4±1.0</w:t>
            </w:r>
          </w:p>
        </w:tc>
        <w:tc>
          <w:tcPr>
            <w:tcW w:w="0" w:type="auto"/>
          </w:tcPr>
          <w:p w14:paraId="2082F88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.56</w:t>
            </w:r>
          </w:p>
        </w:tc>
      </w:tr>
    </w:tbl>
    <w:p w14:paraId="4519D601" w14:textId="77777777" w:rsidR="00F7044C" w:rsidRPr="00C421E4" w:rsidRDefault="00F7044C" w:rsidP="00F7044C">
      <w:pPr>
        <w:widowControl w:val="0"/>
        <w:autoSpaceDE w:val="0"/>
        <w:autoSpaceDN w:val="0"/>
        <w:adjustRightInd w:val="0"/>
        <w:spacing w:after="240"/>
        <w:rPr>
          <w:rFonts w:ascii="Times" w:hAnsi="Times"/>
        </w:rPr>
      </w:pPr>
    </w:p>
    <w:p w14:paraId="0B33CC38" w14:textId="77777777" w:rsidR="00F7044C" w:rsidRPr="00C421E4" w:rsidRDefault="00F7044C" w:rsidP="00F7044C">
      <w:pPr>
        <w:widowControl w:val="0"/>
        <w:autoSpaceDE w:val="0"/>
        <w:autoSpaceDN w:val="0"/>
        <w:adjustRightInd w:val="0"/>
        <w:spacing w:after="240"/>
        <w:outlineLvl w:val="0"/>
        <w:rPr>
          <w:rFonts w:ascii="Times" w:hAnsi="Times"/>
        </w:rPr>
      </w:pPr>
      <w:r w:rsidRPr="00C421E4">
        <w:rPr>
          <w:rFonts w:ascii="Times" w:hAnsi="Times"/>
        </w:rPr>
        <w:t>LOC = loss of consciousness; PTA = post-traumatic amnesia</w:t>
      </w:r>
    </w:p>
    <w:p w14:paraId="5D2E2A61" w14:textId="77777777" w:rsidR="00F7044C" w:rsidRPr="00C421E4" w:rsidRDefault="00F7044C" w:rsidP="00F7044C">
      <w:pPr>
        <w:rPr>
          <w:rFonts w:ascii="Times" w:hAnsi="Times"/>
        </w:rPr>
      </w:pPr>
      <w:r w:rsidRPr="00C421E4">
        <w:rPr>
          <w:rFonts w:ascii="Times" w:hAnsi="Times"/>
        </w:rPr>
        <w:br w:type="page"/>
      </w:r>
    </w:p>
    <w:tbl>
      <w:tblPr>
        <w:tblStyle w:val="TableGrid"/>
        <w:tblpPr w:leftFromText="180" w:rightFromText="180" w:vertAnchor="page" w:horzAnchor="page" w:tblpX="1729" w:tblpY="1981"/>
        <w:tblW w:w="0" w:type="auto"/>
        <w:tblLayout w:type="fixed"/>
        <w:tblLook w:val="04A0" w:firstRow="1" w:lastRow="0" w:firstColumn="1" w:lastColumn="0" w:noHBand="0" w:noVBand="1"/>
      </w:tblPr>
      <w:tblGrid>
        <w:gridCol w:w="2268"/>
        <w:gridCol w:w="1350"/>
        <w:gridCol w:w="1350"/>
        <w:gridCol w:w="816"/>
      </w:tblGrid>
      <w:tr w:rsidR="00F7044C" w:rsidRPr="00C421E4" w14:paraId="5A011F65" w14:textId="77777777" w:rsidTr="00804E6B">
        <w:tc>
          <w:tcPr>
            <w:tcW w:w="2268" w:type="dxa"/>
          </w:tcPr>
          <w:p w14:paraId="4F1CA14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lastRenderedPageBreak/>
              <w:t>Sleep Parameter</w:t>
            </w:r>
          </w:p>
        </w:tc>
        <w:tc>
          <w:tcPr>
            <w:tcW w:w="1350" w:type="dxa"/>
          </w:tcPr>
          <w:p w14:paraId="1863288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Non-TBI</w:t>
            </w:r>
          </w:p>
          <w:p w14:paraId="2F16D52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14)</w:t>
            </w:r>
          </w:p>
        </w:tc>
        <w:tc>
          <w:tcPr>
            <w:tcW w:w="1350" w:type="dxa"/>
          </w:tcPr>
          <w:p w14:paraId="19FC1AA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TBI</w:t>
            </w:r>
          </w:p>
          <w:p w14:paraId="7797383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 = 16)</w:t>
            </w:r>
          </w:p>
        </w:tc>
        <w:tc>
          <w:tcPr>
            <w:tcW w:w="816" w:type="dxa"/>
          </w:tcPr>
          <w:p w14:paraId="7F54244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p-value</w:t>
            </w:r>
          </w:p>
        </w:tc>
      </w:tr>
      <w:tr w:rsidR="00F7044C" w:rsidRPr="00C421E4" w14:paraId="2FE5E645" w14:textId="77777777" w:rsidTr="00804E6B">
        <w:tc>
          <w:tcPr>
            <w:tcW w:w="2268" w:type="dxa"/>
          </w:tcPr>
          <w:p w14:paraId="781E50E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TST (min)</w:t>
            </w:r>
          </w:p>
        </w:tc>
        <w:tc>
          <w:tcPr>
            <w:tcW w:w="1350" w:type="dxa"/>
          </w:tcPr>
          <w:p w14:paraId="3E12F81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339.8±61.5</w:t>
            </w:r>
          </w:p>
        </w:tc>
        <w:tc>
          <w:tcPr>
            <w:tcW w:w="1350" w:type="dxa"/>
          </w:tcPr>
          <w:p w14:paraId="78C3CD7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365.8±51.2</w:t>
            </w:r>
          </w:p>
        </w:tc>
        <w:tc>
          <w:tcPr>
            <w:tcW w:w="816" w:type="dxa"/>
          </w:tcPr>
          <w:p w14:paraId="0AAD280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.21</w:t>
            </w:r>
          </w:p>
        </w:tc>
      </w:tr>
      <w:tr w:rsidR="00F7044C" w:rsidRPr="00C421E4" w14:paraId="1991480A" w14:textId="77777777" w:rsidTr="00804E6B">
        <w:tc>
          <w:tcPr>
            <w:tcW w:w="2268" w:type="dxa"/>
          </w:tcPr>
          <w:p w14:paraId="21BFA85B"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 Efficiency (%)</w:t>
            </w:r>
          </w:p>
        </w:tc>
        <w:tc>
          <w:tcPr>
            <w:tcW w:w="1350" w:type="dxa"/>
          </w:tcPr>
          <w:p w14:paraId="50AA62E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90.2±2.2</w:t>
            </w:r>
          </w:p>
        </w:tc>
        <w:tc>
          <w:tcPr>
            <w:tcW w:w="1350" w:type="dxa"/>
          </w:tcPr>
          <w:p w14:paraId="33A037F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88.2±6.2</w:t>
            </w:r>
          </w:p>
        </w:tc>
        <w:tc>
          <w:tcPr>
            <w:tcW w:w="816" w:type="dxa"/>
          </w:tcPr>
          <w:p w14:paraId="248EE91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.25</w:t>
            </w:r>
          </w:p>
        </w:tc>
      </w:tr>
      <w:tr w:rsidR="00F7044C" w:rsidRPr="00C421E4" w14:paraId="62A0E0DB" w14:textId="77777777" w:rsidTr="00804E6B">
        <w:tc>
          <w:tcPr>
            <w:tcW w:w="2268" w:type="dxa"/>
          </w:tcPr>
          <w:p w14:paraId="758566F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WASO (min)</w:t>
            </w:r>
          </w:p>
        </w:tc>
        <w:tc>
          <w:tcPr>
            <w:tcW w:w="1350" w:type="dxa"/>
          </w:tcPr>
          <w:p w14:paraId="19CB3E6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26.9±13.1</w:t>
            </w:r>
          </w:p>
        </w:tc>
        <w:tc>
          <w:tcPr>
            <w:tcW w:w="1350" w:type="dxa"/>
          </w:tcPr>
          <w:p w14:paraId="25261C9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27.7±15.2</w:t>
            </w:r>
          </w:p>
        </w:tc>
        <w:tc>
          <w:tcPr>
            <w:tcW w:w="816" w:type="dxa"/>
          </w:tcPr>
          <w:p w14:paraId="4223632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.87</w:t>
            </w:r>
          </w:p>
        </w:tc>
      </w:tr>
      <w:tr w:rsidR="00F7044C" w:rsidRPr="00C421E4" w14:paraId="5B30A477" w14:textId="77777777" w:rsidTr="00804E6B">
        <w:tc>
          <w:tcPr>
            <w:tcW w:w="2268" w:type="dxa"/>
          </w:tcPr>
          <w:p w14:paraId="50DF292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 Latency (min)</w:t>
            </w:r>
          </w:p>
        </w:tc>
        <w:tc>
          <w:tcPr>
            <w:tcW w:w="1350" w:type="dxa"/>
          </w:tcPr>
          <w:p w14:paraId="1C3A466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10.4±6.2</w:t>
            </w:r>
          </w:p>
        </w:tc>
        <w:tc>
          <w:tcPr>
            <w:tcW w:w="1350" w:type="dxa"/>
          </w:tcPr>
          <w:p w14:paraId="02AB048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18.9±17.0</w:t>
            </w:r>
          </w:p>
        </w:tc>
        <w:tc>
          <w:tcPr>
            <w:tcW w:w="816" w:type="dxa"/>
          </w:tcPr>
          <w:p w14:paraId="75DA851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.08</w:t>
            </w:r>
          </w:p>
        </w:tc>
      </w:tr>
      <w:tr w:rsidR="00F7044C" w:rsidRPr="00C421E4" w14:paraId="4B997FCD" w14:textId="77777777" w:rsidTr="00804E6B">
        <w:tc>
          <w:tcPr>
            <w:tcW w:w="2268" w:type="dxa"/>
          </w:tcPr>
          <w:p w14:paraId="7422435E"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REM Latency (min)</w:t>
            </w:r>
          </w:p>
        </w:tc>
        <w:tc>
          <w:tcPr>
            <w:tcW w:w="1350" w:type="dxa"/>
          </w:tcPr>
          <w:p w14:paraId="617F5AB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107.6±33.8</w:t>
            </w:r>
          </w:p>
        </w:tc>
        <w:tc>
          <w:tcPr>
            <w:tcW w:w="1350" w:type="dxa"/>
          </w:tcPr>
          <w:p w14:paraId="6DC727B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141.6±43.2</w:t>
            </w:r>
          </w:p>
        </w:tc>
        <w:tc>
          <w:tcPr>
            <w:tcW w:w="816" w:type="dxa"/>
          </w:tcPr>
          <w:p w14:paraId="0C4B9B8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.02*</w:t>
            </w:r>
          </w:p>
        </w:tc>
      </w:tr>
      <w:tr w:rsidR="00F7044C" w:rsidRPr="00C421E4" w14:paraId="224CD607" w14:textId="77777777" w:rsidTr="00804E6B">
        <w:tc>
          <w:tcPr>
            <w:tcW w:w="2268" w:type="dxa"/>
          </w:tcPr>
          <w:p w14:paraId="5AC8B07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N1 (%)</w:t>
            </w:r>
          </w:p>
        </w:tc>
        <w:tc>
          <w:tcPr>
            <w:tcW w:w="1350" w:type="dxa"/>
          </w:tcPr>
          <w:p w14:paraId="6025B82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2.4±1.7</w:t>
            </w:r>
          </w:p>
        </w:tc>
        <w:tc>
          <w:tcPr>
            <w:tcW w:w="1350" w:type="dxa"/>
          </w:tcPr>
          <w:p w14:paraId="221615C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2.3±1.9</w:t>
            </w:r>
          </w:p>
        </w:tc>
        <w:tc>
          <w:tcPr>
            <w:tcW w:w="816" w:type="dxa"/>
          </w:tcPr>
          <w:p w14:paraId="444EE8FC"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.89</w:t>
            </w:r>
          </w:p>
        </w:tc>
      </w:tr>
      <w:tr w:rsidR="00F7044C" w:rsidRPr="00C421E4" w14:paraId="296771D7" w14:textId="77777777" w:rsidTr="00804E6B">
        <w:tc>
          <w:tcPr>
            <w:tcW w:w="2268" w:type="dxa"/>
          </w:tcPr>
          <w:p w14:paraId="78BB932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N2 (%)</w:t>
            </w:r>
          </w:p>
        </w:tc>
        <w:tc>
          <w:tcPr>
            <w:tcW w:w="1350" w:type="dxa"/>
          </w:tcPr>
          <w:p w14:paraId="4F08F30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54.2±6.9</w:t>
            </w:r>
          </w:p>
        </w:tc>
        <w:tc>
          <w:tcPr>
            <w:tcW w:w="1350" w:type="dxa"/>
          </w:tcPr>
          <w:p w14:paraId="255FD4F8"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56.8±7.6</w:t>
            </w:r>
          </w:p>
        </w:tc>
        <w:tc>
          <w:tcPr>
            <w:tcW w:w="816" w:type="dxa"/>
          </w:tcPr>
          <w:p w14:paraId="6879F2E0"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.33</w:t>
            </w:r>
          </w:p>
        </w:tc>
      </w:tr>
      <w:tr w:rsidR="00F7044C" w:rsidRPr="00C421E4" w14:paraId="014BDF66" w14:textId="77777777" w:rsidTr="00804E6B">
        <w:tc>
          <w:tcPr>
            <w:tcW w:w="2268" w:type="dxa"/>
          </w:tcPr>
          <w:p w14:paraId="0086FF4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SWS (%)</w:t>
            </w:r>
          </w:p>
        </w:tc>
        <w:tc>
          <w:tcPr>
            <w:tcW w:w="1350" w:type="dxa"/>
          </w:tcPr>
          <w:p w14:paraId="55FB124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28.1±7.4</w:t>
            </w:r>
          </w:p>
        </w:tc>
        <w:tc>
          <w:tcPr>
            <w:tcW w:w="1350" w:type="dxa"/>
          </w:tcPr>
          <w:p w14:paraId="1BF98B23"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30.1±6.2</w:t>
            </w:r>
          </w:p>
        </w:tc>
        <w:tc>
          <w:tcPr>
            <w:tcW w:w="816" w:type="dxa"/>
          </w:tcPr>
          <w:p w14:paraId="4F5B6C0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.43</w:t>
            </w:r>
          </w:p>
        </w:tc>
      </w:tr>
      <w:tr w:rsidR="00F7044C" w:rsidRPr="00C421E4" w14:paraId="4DAB64A5" w14:textId="77777777" w:rsidTr="00804E6B">
        <w:tc>
          <w:tcPr>
            <w:tcW w:w="2268" w:type="dxa"/>
          </w:tcPr>
          <w:p w14:paraId="56C60EE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REM (%)</w:t>
            </w:r>
          </w:p>
        </w:tc>
        <w:tc>
          <w:tcPr>
            <w:tcW w:w="1350" w:type="dxa"/>
          </w:tcPr>
          <w:p w14:paraId="07361B9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15.4±3.7</w:t>
            </w:r>
          </w:p>
        </w:tc>
        <w:tc>
          <w:tcPr>
            <w:tcW w:w="1350" w:type="dxa"/>
          </w:tcPr>
          <w:p w14:paraId="41CC6DB5"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10.8±5.03</w:t>
            </w:r>
          </w:p>
        </w:tc>
        <w:tc>
          <w:tcPr>
            <w:tcW w:w="816" w:type="dxa"/>
          </w:tcPr>
          <w:p w14:paraId="5A997F0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.01*</w:t>
            </w:r>
          </w:p>
        </w:tc>
      </w:tr>
    </w:tbl>
    <w:p w14:paraId="4340E8C1" w14:textId="77777777" w:rsidR="00F7044C" w:rsidRPr="00C421E4" w:rsidRDefault="00F7044C" w:rsidP="00F7044C">
      <w:pPr>
        <w:rPr>
          <w:rFonts w:ascii="Times" w:hAnsi="Times"/>
        </w:rPr>
      </w:pPr>
      <w:r w:rsidRPr="00C421E4">
        <w:rPr>
          <w:rFonts w:ascii="Times" w:hAnsi="Times"/>
        </w:rPr>
        <w:t xml:space="preserve">Table 3: Sleep characteristics. </w:t>
      </w:r>
    </w:p>
    <w:p w14:paraId="2C2E13A6" w14:textId="77777777" w:rsidR="00F7044C" w:rsidRPr="00C421E4" w:rsidRDefault="00F7044C" w:rsidP="00F7044C">
      <w:pPr>
        <w:rPr>
          <w:rFonts w:ascii="Times" w:hAnsi="Times"/>
        </w:rPr>
      </w:pPr>
    </w:p>
    <w:p w14:paraId="7EB4917B" w14:textId="77777777" w:rsidR="00F7044C" w:rsidRPr="00C421E4" w:rsidRDefault="00F7044C" w:rsidP="00F7044C">
      <w:pPr>
        <w:rPr>
          <w:rFonts w:ascii="Times" w:hAnsi="Times"/>
        </w:rPr>
      </w:pPr>
    </w:p>
    <w:p w14:paraId="703E1524" w14:textId="77777777" w:rsidR="00F7044C" w:rsidRPr="00C421E4" w:rsidRDefault="00F7044C" w:rsidP="00F7044C">
      <w:pPr>
        <w:rPr>
          <w:rFonts w:ascii="Times" w:hAnsi="Times"/>
        </w:rPr>
      </w:pPr>
    </w:p>
    <w:p w14:paraId="18BDF0DB" w14:textId="77777777" w:rsidR="00F7044C" w:rsidRPr="00C421E4" w:rsidRDefault="00F7044C" w:rsidP="00F7044C">
      <w:pPr>
        <w:rPr>
          <w:rFonts w:ascii="Times" w:hAnsi="Times"/>
        </w:rPr>
      </w:pPr>
    </w:p>
    <w:p w14:paraId="49CDAEE4" w14:textId="77777777" w:rsidR="00F7044C" w:rsidRPr="00C421E4" w:rsidRDefault="00F7044C" w:rsidP="00F7044C">
      <w:pPr>
        <w:rPr>
          <w:rFonts w:ascii="Times" w:hAnsi="Times"/>
        </w:rPr>
      </w:pPr>
    </w:p>
    <w:p w14:paraId="72BB368B" w14:textId="77777777" w:rsidR="00F7044C" w:rsidRPr="00C421E4" w:rsidRDefault="00F7044C" w:rsidP="00F7044C">
      <w:pPr>
        <w:rPr>
          <w:rFonts w:ascii="Times" w:hAnsi="Times"/>
        </w:rPr>
      </w:pPr>
    </w:p>
    <w:p w14:paraId="13286AE9" w14:textId="77777777" w:rsidR="00F7044C" w:rsidRPr="00C421E4" w:rsidRDefault="00F7044C" w:rsidP="00F7044C">
      <w:pPr>
        <w:rPr>
          <w:rFonts w:ascii="Times" w:hAnsi="Times"/>
        </w:rPr>
      </w:pPr>
    </w:p>
    <w:p w14:paraId="109A1C3A" w14:textId="77777777" w:rsidR="00F7044C" w:rsidRPr="00C421E4" w:rsidRDefault="00F7044C" w:rsidP="00F7044C">
      <w:pPr>
        <w:rPr>
          <w:rFonts w:ascii="Times" w:hAnsi="Times"/>
        </w:rPr>
      </w:pPr>
    </w:p>
    <w:p w14:paraId="03399DAA" w14:textId="77777777" w:rsidR="00F7044C" w:rsidRPr="00C421E4" w:rsidRDefault="00F7044C" w:rsidP="00F7044C">
      <w:pPr>
        <w:rPr>
          <w:rFonts w:ascii="Times" w:hAnsi="Times"/>
        </w:rPr>
      </w:pPr>
    </w:p>
    <w:p w14:paraId="546225E6" w14:textId="77777777" w:rsidR="00F7044C" w:rsidRPr="00C421E4" w:rsidRDefault="00F7044C" w:rsidP="00F7044C">
      <w:pPr>
        <w:rPr>
          <w:rFonts w:ascii="Times" w:hAnsi="Times"/>
        </w:rPr>
      </w:pPr>
    </w:p>
    <w:p w14:paraId="5454C9AA" w14:textId="77777777" w:rsidR="00F7044C" w:rsidRPr="00C421E4" w:rsidRDefault="00F7044C" w:rsidP="00F7044C">
      <w:pPr>
        <w:rPr>
          <w:rFonts w:ascii="Times" w:hAnsi="Times"/>
        </w:rPr>
      </w:pPr>
    </w:p>
    <w:p w14:paraId="53C958D2" w14:textId="77777777" w:rsidR="00F7044C" w:rsidRPr="00C421E4" w:rsidRDefault="00F7044C" w:rsidP="00F7044C">
      <w:pPr>
        <w:rPr>
          <w:rFonts w:ascii="Times" w:hAnsi="Times"/>
        </w:rPr>
      </w:pPr>
    </w:p>
    <w:p w14:paraId="6E6156DD" w14:textId="77777777" w:rsidR="00F7044C" w:rsidRPr="00C421E4" w:rsidRDefault="00F7044C" w:rsidP="00F7044C">
      <w:pPr>
        <w:rPr>
          <w:rFonts w:ascii="Times" w:hAnsi="Times"/>
        </w:rPr>
      </w:pPr>
    </w:p>
    <w:p w14:paraId="274E4FAD" w14:textId="77777777" w:rsidR="00F7044C" w:rsidRPr="00C421E4" w:rsidRDefault="00F7044C" w:rsidP="00F7044C">
      <w:pPr>
        <w:spacing w:line="480" w:lineRule="auto"/>
        <w:rPr>
          <w:rFonts w:ascii="Times" w:hAnsi="Times"/>
        </w:rPr>
      </w:pPr>
      <w:r w:rsidRPr="00C421E4">
        <w:rPr>
          <w:rFonts w:ascii="Times" w:hAnsi="Times"/>
        </w:rPr>
        <w:t xml:space="preserve">TST = total sleep time; WASO = wake after sleep onset; N1 = non-REM stage 1; N2 = non-REM stage 2; SWS = slow wave sleep; REM = rapid eye movement sleep; * = p-value &lt; .05.  </w:t>
      </w:r>
      <w:r w:rsidRPr="00C421E4">
        <w:rPr>
          <w:rFonts w:ascii="Times" w:hAnsi="Times"/>
        </w:rPr>
        <w:br w:type="page"/>
      </w:r>
    </w:p>
    <w:p w14:paraId="02536F33" w14:textId="77777777" w:rsidR="00F7044C" w:rsidRPr="00C421E4" w:rsidRDefault="00F7044C" w:rsidP="00F7044C">
      <w:pPr>
        <w:rPr>
          <w:rFonts w:ascii="Times" w:hAnsi="Times"/>
        </w:rPr>
      </w:pPr>
      <w:r w:rsidRPr="00C421E4">
        <w:rPr>
          <w:rFonts w:ascii="Times" w:hAnsi="Times"/>
        </w:rPr>
        <w:lastRenderedPageBreak/>
        <w:t xml:space="preserve">Table 4: Valence Ratings. </w:t>
      </w:r>
    </w:p>
    <w:p w14:paraId="55DDB8B7" w14:textId="77777777" w:rsidR="00F7044C" w:rsidRPr="00C421E4" w:rsidRDefault="00F7044C" w:rsidP="00F7044C">
      <w:pPr>
        <w:rPr>
          <w:rFonts w:ascii="Times" w:hAnsi="Times"/>
        </w:rPr>
      </w:pPr>
    </w:p>
    <w:tbl>
      <w:tblPr>
        <w:tblStyle w:val="TableGrid"/>
        <w:tblW w:w="0" w:type="auto"/>
        <w:tblLook w:val="04A0" w:firstRow="1" w:lastRow="0" w:firstColumn="1" w:lastColumn="0" w:noHBand="0" w:noVBand="1"/>
      </w:tblPr>
      <w:tblGrid>
        <w:gridCol w:w="1771"/>
        <w:gridCol w:w="1430"/>
        <w:gridCol w:w="1428"/>
        <w:gridCol w:w="1509"/>
        <w:gridCol w:w="1530"/>
      </w:tblGrid>
      <w:tr w:rsidR="00F7044C" w:rsidRPr="00C421E4" w14:paraId="5E254279" w14:textId="77777777" w:rsidTr="00804E6B">
        <w:tc>
          <w:tcPr>
            <w:tcW w:w="1771" w:type="dxa"/>
          </w:tcPr>
          <w:p w14:paraId="36041F5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2858" w:type="dxa"/>
            <w:gridSpan w:val="2"/>
          </w:tcPr>
          <w:p w14:paraId="573456A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Non-TBI</w:t>
            </w:r>
          </w:p>
        </w:tc>
        <w:tc>
          <w:tcPr>
            <w:tcW w:w="3039" w:type="dxa"/>
            <w:gridSpan w:val="2"/>
          </w:tcPr>
          <w:p w14:paraId="0DED2807"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TBI</w:t>
            </w:r>
          </w:p>
        </w:tc>
      </w:tr>
      <w:tr w:rsidR="00F7044C" w:rsidRPr="00C421E4" w14:paraId="7A97752C" w14:textId="77777777" w:rsidTr="00804E6B">
        <w:tc>
          <w:tcPr>
            <w:tcW w:w="1771" w:type="dxa"/>
          </w:tcPr>
          <w:p w14:paraId="5674030F"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p>
        </w:tc>
        <w:tc>
          <w:tcPr>
            <w:tcW w:w="1430" w:type="dxa"/>
          </w:tcPr>
          <w:p w14:paraId="3BA62DE4"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Wake</w:t>
            </w:r>
          </w:p>
        </w:tc>
        <w:tc>
          <w:tcPr>
            <w:tcW w:w="1428" w:type="dxa"/>
          </w:tcPr>
          <w:p w14:paraId="713B5CB1"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w:t>
            </w:r>
          </w:p>
        </w:tc>
        <w:tc>
          <w:tcPr>
            <w:tcW w:w="1509" w:type="dxa"/>
          </w:tcPr>
          <w:p w14:paraId="0D5FDC7A"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Wake</w:t>
            </w:r>
          </w:p>
        </w:tc>
        <w:tc>
          <w:tcPr>
            <w:tcW w:w="1530" w:type="dxa"/>
          </w:tcPr>
          <w:p w14:paraId="3199F6A2"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Sleep</w:t>
            </w:r>
          </w:p>
        </w:tc>
      </w:tr>
      <w:tr w:rsidR="00F7044C" w:rsidRPr="00C421E4" w14:paraId="10D8BB49" w14:textId="77777777" w:rsidTr="00804E6B">
        <w:tc>
          <w:tcPr>
            <w:tcW w:w="1771" w:type="dxa"/>
          </w:tcPr>
          <w:p w14:paraId="1F770E66"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Valence (neg)</w:t>
            </w:r>
          </w:p>
        </w:tc>
        <w:tc>
          <w:tcPr>
            <w:tcW w:w="1430" w:type="dxa"/>
          </w:tcPr>
          <w:p w14:paraId="35702ACF" w14:textId="77777777" w:rsidR="00F7044C" w:rsidRPr="00C421E4" w:rsidRDefault="00F7044C" w:rsidP="00804E6B">
            <w:pPr>
              <w:jc w:val="center"/>
              <w:rPr>
                <w:rFonts w:ascii="Times" w:eastAsia="Times New Roman" w:hAnsi="Times"/>
              </w:rPr>
            </w:pPr>
            <w:r w:rsidRPr="00C421E4">
              <w:rPr>
                <w:rFonts w:ascii="Times" w:eastAsia="Times New Roman" w:hAnsi="Times"/>
              </w:rPr>
              <w:t>1.69±0.43</w:t>
            </w:r>
          </w:p>
        </w:tc>
        <w:tc>
          <w:tcPr>
            <w:tcW w:w="1428" w:type="dxa"/>
          </w:tcPr>
          <w:p w14:paraId="2B27132E" w14:textId="77777777" w:rsidR="00F7044C" w:rsidRPr="00C421E4" w:rsidRDefault="00F7044C" w:rsidP="00804E6B">
            <w:pPr>
              <w:jc w:val="center"/>
              <w:rPr>
                <w:rFonts w:ascii="Times" w:eastAsia="Times New Roman" w:hAnsi="Times"/>
              </w:rPr>
            </w:pPr>
            <w:r w:rsidRPr="00C421E4">
              <w:rPr>
                <w:rFonts w:ascii="Times" w:eastAsia="Times New Roman" w:hAnsi="Times"/>
              </w:rPr>
              <w:t>1.94±0.49</w:t>
            </w:r>
          </w:p>
        </w:tc>
        <w:tc>
          <w:tcPr>
            <w:tcW w:w="1509" w:type="dxa"/>
          </w:tcPr>
          <w:p w14:paraId="1517863C" w14:textId="77777777" w:rsidR="00F7044C" w:rsidRPr="00C421E4" w:rsidRDefault="00F7044C" w:rsidP="00804E6B">
            <w:pPr>
              <w:jc w:val="center"/>
              <w:rPr>
                <w:rFonts w:ascii="Times" w:eastAsia="Times New Roman" w:hAnsi="Times"/>
              </w:rPr>
            </w:pPr>
            <w:r w:rsidRPr="00C421E4">
              <w:rPr>
                <w:rFonts w:ascii="Times" w:eastAsia="Times New Roman" w:hAnsi="Times"/>
              </w:rPr>
              <w:t>1.94±0.46</w:t>
            </w:r>
          </w:p>
        </w:tc>
        <w:tc>
          <w:tcPr>
            <w:tcW w:w="1530" w:type="dxa"/>
          </w:tcPr>
          <w:p w14:paraId="428559F4" w14:textId="77777777" w:rsidR="00F7044C" w:rsidRPr="00C421E4" w:rsidRDefault="00F7044C" w:rsidP="00804E6B">
            <w:pPr>
              <w:jc w:val="center"/>
              <w:rPr>
                <w:rFonts w:ascii="Times" w:eastAsia="Times New Roman" w:hAnsi="Times"/>
              </w:rPr>
            </w:pPr>
            <w:r w:rsidRPr="00C421E4">
              <w:rPr>
                <w:rFonts w:ascii="Times" w:eastAsia="Times New Roman" w:hAnsi="Times"/>
              </w:rPr>
              <w:t>1.82±0.39</w:t>
            </w:r>
          </w:p>
        </w:tc>
      </w:tr>
      <w:tr w:rsidR="00F7044C" w:rsidRPr="00C421E4" w14:paraId="7EEEA29B" w14:textId="77777777" w:rsidTr="00804E6B">
        <w:tc>
          <w:tcPr>
            <w:tcW w:w="1771" w:type="dxa"/>
          </w:tcPr>
          <w:p w14:paraId="6595AA99" w14:textId="77777777" w:rsidR="00F7044C" w:rsidRPr="00C421E4" w:rsidRDefault="00F7044C" w:rsidP="00804E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rPr>
            </w:pPr>
            <w:r w:rsidRPr="00C421E4">
              <w:rPr>
                <w:rFonts w:ascii="Times" w:hAnsi="Times"/>
              </w:rPr>
              <w:t>Valence (neu)</w:t>
            </w:r>
          </w:p>
        </w:tc>
        <w:tc>
          <w:tcPr>
            <w:tcW w:w="1430" w:type="dxa"/>
          </w:tcPr>
          <w:p w14:paraId="39BE8992" w14:textId="77777777" w:rsidR="00F7044C" w:rsidRPr="00C421E4" w:rsidRDefault="00F7044C" w:rsidP="00804E6B">
            <w:pPr>
              <w:jc w:val="center"/>
              <w:rPr>
                <w:rFonts w:ascii="Times" w:eastAsia="Times New Roman" w:hAnsi="Times"/>
              </w:rPr>
            </w:pPr>
            <w:r w:rsidRPr="00C421E4">
              <w:rPr>
                <w:rFonts w:ascii="Times" w:eastAsia="Times New Roman" w:hAnsi="Times"/>
              </w:rPr>
              <w:t>4.96±0.15</w:t>
            </w:r>
          </w:p>
        </w:tc>
        <w:tc>
          <w:tcPr>
            <w:tcW w:w="1428" w:type="dxa"/>
          </w:tcPr>
          <w:p w14:paraId="5DB085A5" w14:textId="77777777" w:rsidR="00F7044C" w:rsidRPr="00C421E4" w:rsidRDefault="00F7044C" w:rsidP="00804E6B">
            <w:pPr>
              <w:jc w:val="center"/>
              <w:rPr>
                <w:rFonts w:ascii="Times" w:eastAsia="Times New Roman" w:hAnsi="Times"/>
              </w:rPr>
            </w:pPr>
            <w:r w:rsidRPr="00C421E4">
              <w:rPr>
                <w:rFonts w:ascii="Times" w:eastAsia="Times New Roman" w:hAnsi="Times"/>
              </w:rPr>
              <w:t>4.94±0.09</w:t>
            </w:r>
          </w:p>
        </w:tc>
        <w:tc>
          <w:tcPr>
            <w:tcW w:w="1509" w:type="dxa"/>
          </w:tcPr>
          <w:p w14:paraId="58040273" w14:textId="77777777" w:rsidR="00F7044C" w:rsidRPr="00C421E4" w:rsidRDefault="00F7044C" w:rsidP="00804E6B">
            <w:pPr>
              <w:jc w:val="center"/>
              <w:rPr>
                <w:rFonts w:ascii="Times" w:eastAsia="Times New Roman" w:hAnsi="Times"/>
              </w:rPr>
            </w:pPr>
            <w:r w:rsidRPr="00C421E4">
              <w:rPr>
                <w:rFonts w:ascii="Times" w:eastAsia="Times New Roman" w:hAnsi="Times"/>
              </w:rPr>
              <w:t>4.97±0.16</w:t>
            </w:r>
          </w:p>
        </w:tc>
        <w:tc>
          <w:tcPr>
            <w:tcW w:w="1530" w:type="dxa"/>
          </w:tcPr>
          <w:p w14:paraId="2CDEEB1E" w14:textId="77777777" w:rsidR="00F7044C" w:rsidRPr="00C421E4" w:rsidRDefault="00F7044C" w:rsidP="00804E6B">
            <w:pPr>
              <w:jc w:val="center"/>
              <w:rPr>
                <w:rFonts w:ascii="Times" w:eastAsia="Times New Roman" w:hAnsi="Times"/>
              </w:rPr>
            </w:pPr>
            <w:r w:rsidRPr="00C421E4">
              <w:rPr>
                <w:rFonts w:ascii="Times" w:eastAsia="Times New Roman" w:hAnsi="Times"/>
              </w:rPr>
              <w:t>5.0±0.13</w:t>
            </w:r>
          </w:p>
        </w:tc>
      </w:tr>
    </w:tbl>
    <w:p w14:paraId="23E103CE" w14:textId="77777777" w:rsidR="00F7044C" w:rsidRPr="00C421E4" w:rsidRDefault="00F7044C" w:rsidP="00F7044C">
      <w:pPr>
        <w:rPr>
          <w:rFonts w:ascii="Times" w:hAnsi="Times"/>
        </w:rPr>
      </w:pPr>
    </w:p>
    <w:p w14:paraId="0A5BB41B" w14:textId="77777777" w:rsidR="00F7044C" w:rsidRPr="00C421E4" w:rsidRDefault="00F7044C" w:rsidP="00F7044C">
      <w:pPr>
        <w:outlineLvl w:val="0"/>
        <w:rPr>
          <w:rFonts w:ascii="Times" w:hAnsi="Times"/>
        </w:rPr>
      </w:pPr>
      <w:r w:rsidRPr="00C421E4">
        <w:rPr>
          <w:rFonts w:ascii="Times" w:hAnsi="Times"/>
        </w:rPr>
        <w:t>Neg = negative; neu = neutral</w:t>
      </w:r>
    </w:p>
    <w:p w14:paraId="7B19211C" w14:textId="77777777" w:rsidR="00F7044C" w:rsidRPr="00C421E4" w:rsidRDefault="00F7044C" w:rsidP="00F7044C">
      <w:pPr>
        <w:rPr>
          <w:rFonts w:ascii="Times" w:hAnsi="Times"/>
        </w:rPr>
      </w:pPr>
      <w:r w:rsidRPr="00C421E4">
        <w:rPr>
          <w:rFonts w:ascii="Times" w:hAnsi="Times"/>
        </w:rPr>
        <w:br w:type="page"/>
      </w:r>
    </w:p>
    <w:p w14:paraId="0E181CF2" w14:textId="77777777" w:rsidR="00F7044C" w:rsidRPr="00C421E4" w:rsidRDefault="00F7044C" w:rsidP="00F7044C">
      <w:pPr>
        <w:widowControl w:val="0"/>
        <w:autoSpaceDE w:val="0"/>
        <w:autoSpaceDN w:val="0"/>
        <w:adjustRightInd w:val="0"/>
        <w:spacing w:after="240"/>
        <w:rPr>
          <w:rFonts w:ascii="Times" w:hAnsi="Times"/>
        </w:rPr>
      </w:pPr>
    </w:p>
    <w:p w14:paraId="4E1B276F" w14:textId="77777777" w:rsidR="00F7044C" w:rsidRPr="00C421E4" w:rsidRDefault="00F7044C" w:rsidP="00F7044C">
      <w:pPr>
        <w:widowControl w:val="0"/>
        <w:autoSpaceDE w:val="0"/>
        <w:autoSpaceDN w:val="0"/>
        <w:adjustRightInd w:val="0"/>
        <w:spacing w:after="240"/>
        <w:rPr>
          <w:rFonts w:ascii="Times" w:hAnsi="Times"/>
        </w:rPr>
      </w:pPr>
      <w:r w:rsidRPr="00C421E4">
        <w:rPr>
          <w:rFonts w:ascii="Times" w:hAnsi="Times"/>
          <w:noProof/>
        </w:rPr>
        <mc:AlternateContent>
          <mc:Choice Requires="wpg">
            <w:drawing>
              <wp:inline distT="0" distB="0" distL="0" distR="0" wp14:anchorId="39518715" wp14:editId="07B80933">
                <wp:extent cx="5486400" cy="2961333"/>
                <wp:effectExtent l="0" t="0" r="25400" b="36195"/>
                <wp:docPr id="24" name="Group 6"/>
                <wp:cNvGraphicFramePr/>
                <a:graphic xmlns:a="http://schemas.openxmlformats.org/drawingml/2006/main">
                  <a:graphicData uri="http://schemas.microsoft.com/office/word/2010/wordprocessingGroup">
                    <wpg:wgp>
                      <wpg:cNvGrpSpPr/>
                      <wpg:grpSpPr>
                        <a:xfrm>
                          <a:off x="0" y="0"/>
                          <a:ext cx="5486400" cy="2961333"/>
                          <a:chOff x="0" y="0"/>
                          <a:chExt cx="7945760" cy="4289378"/>
                        </a:xfrm>
                      </wpg:grpSpPr>
                      <wpg:grpSp>
                        <wpg:cNvPr id="25" name="Group 25"/>
                        <wpg:cNvGrpSpPr/>
                        <wpg:grpSpPr>
                          <a:xfrm>
                            <a:off x="0" y="0"/>
                            <a:ext cx="5920110" cy="3452262"/>
                            <a:chOff x="0" y="0"/>
                            <a:chExt cx="5920110" cy="3452262"/>
                          </a:xfrm>
                        </wpg:grpSpPr>
                        <pic:pic xmlns:pic="http://schemas.openxmlformats.org/drawingml/2006/picture">
                          <pic:nvPicPr>
                            <pic:cNvPr id="26" name="Picture 26" descr="fnint-06-00102-g001.jpg"/>
                            <pic:cNvPicPr>
                              <a:picLocks/>
                            </pic:cNvPicPr>
                          </pic:nvPicPr>
                          <pic:blipFill>
                            <a:blip r:embed="rId16">
                              <a:extLst>
                                <a:ext uri="{28A0092B-C50C-407E-A947-70E740481C1C}">
                                  <a14:useLocalDpi xmlns:a14="http://schemas.microsoft.com/office/drawing/2010/main" val="0"/>
                                </a:ext>
                              </a:extLst>
                            </a:blip>
                            <a:stretch>
                              <a:fillRect/>
                            </a:stretch>
                          </pic:blipFill>
                          <pic:spPr>
                            <a:xfrm>
                              <a:off x="3293533" y="404237"/>
                              <a:ext cx="1600200" cy="1371600"/>
                            </a:xfrm>
                            <a:prstGeom prst="rect">
                              <a:avLst/>
                            </a:prstGeom>
                          </pic:spPr>
                        </pic:pic>
                        <pic:pic xmlns:pic="http://schemas.openxmlformats.org/drawingml/2006/picture">
                          <pic:nvPicPr>
                            <pic:cNvPr id="27" name="Picture 27" descr="fnint-06-00102-g001.jpg"/>
                            <pic:cNvPicPr>
                              <a:picLocks/>
                            </pic:cNvPicPr>
                          </pic:nvPicPr>
                          <pic:blipFill>
                            <a:blip r:embed="rId16">
                              <a:extLst>
                                <a:ext uri="{28A0092B-C50C-407E-A947-70E740481C1C}">
                                  <a14:useLocalDpi xmlns:a14="http://schemas.microsoft.com/office/drawing/2010/main" val="0"/>
                                </a:ext>
                              </a:extLst>
                            </a:blip>
                            <a:stretch>
                              <a:fillRect/>
                            </a:stretch>
                          </pic:blipFill>
                          <pic:spPr>
                            <a:xfrm>
                              <a:off x="0" y="404237"/>
                              <a:ext cx="1600199" cy="1371600"/>
                            </a:xfrm>
                            <a:prstGeom prst="rect">
                              <a:avLst/>
                            </a:prstGeom>
                          </pic:spPr>
                        </pic:pic>
                        <wpg:grpSp>
                          <wpg:cNvPr id="28" name="Group 28"/>
                          <wpg:cNvGrpSpPr/>
                          <wpg:grpSpPr>
                            <a:xfrm>
                              <a:off x="1017910" y="1232163"/>
                              <a:ext cx="1600200" cy="1371600"/>
                              <a:chOff x="1017910" y="1232163"/>
                              <a:chExt cx="1600200" cy="1371600"/>
                            </a:xfrm>
                          </wpg:grpSpPr>
                          <wps:wsp>
                            <wps:cNvPr id="29" name="Rectangle 29"/>
                            <wps:cNvSpPr/>
                            <wps:spPr>
                              <a:xfrm>
                                <a:off x="1017910" y="1232163"/>
                                <a:ext cx="1600200" cy="1371600"/>
                              </a:xfrm>
                              <a:prstGeom prst="rect">
                                <a:avLst/>
                              </a:prstGeom>
                            </wps:spPr>
                            <wps:style>
                              <a:lnRef idx="2">
                                <a:schemeClr val="dk1"/>
                              </a:lnRef>
                              <a:fillRef idx="1">
                                <a:schemeClr val="lt1"/>
                              </a:fillRef>
                              <a:effectRef idx="0">
                                <a:schemeClr val="dk1"/>
                              </a:effectRef>
                              <a:fontRef idx="minor">
                                <a:schemeClr val="dk1"/>
                              </a:fontRef>
                            </wps:style>
                            <wps:txbx>
                              <w:txbxContent>
                                <w:p w14:paraId="192AC632" w14:textId="77777777" w:rsidR="00804E6B" w:rsidRDefault="00804E6B" w:rsidP="00F7044C"/>
                              </w:txbxContent>
                            </wps:txbx>
                            <wps:bodyPr rtlCol="0" anchor="ctr"/>
                          </wps:wsp>
                          <pic:pic xmlns:pic="http://schemas.openxmlformats.org/drawingml/2006/picture">
                            <pic:nvPicPr>
                              <pic:cNvPr id="30" name="Picture 30" descr="SAM-D-9.png"/>
                              <pic:cNvPicPr>
                                <a:picLocks noChangeAspect="1"/>
                              </pic:cNvPicPr>
                            </pic:nvPicPr>
                            <pic:blipFill rotWithShape="1">
                              <a:blip r:embed="rId17">
                                <a:extLst>
                                  <a:ext uri="{28A0092B-C50C-407E-A947-70E740481C1C}">
                                    <a14:useLocalDpi xmlns:a14="http://schemas.microsoft.com/office/drawing/2010/main" val="0"/>
                                  </a:ext>
                                </a:extLst>
                              </a:blip>
                              <a:srcRect l="44584" t="10604" r="2084" b="10343"/>
                              <a:stretch/>
                            </pic:blipFill>
                            <pic:spPr>
                              <a:xfrm>
                                <a:off x="1086008" y="1905263"/>
                                <a:ext cx="1455902" cy="310896"/>
                              </a:xfrm>
                              <a:prstGeom prst="rect">
                                <a:avLst/>
                              </a:prstGeom>
                            </pic:spPr>
                          </pic:pic>
                          <wps:wsp>
                            <wps:cNvPr id="31" name="Text Box 31"/>
                            <wps:cNvSpPr txBox="1"/>
                            <wps:spPr>
                              <a:xfrm>
                                <a:off x="1252859" y="1589594"/>
                                <a:ext cx="1118293" cy="387224"/>
                              </a:xfrm>
                              <a:prstGeom prst="rect">
                                <a:avLst/>
                              </a:prstGeom>
                              <a:noFill/>
                            </wps:spPr>
                            <wps:txbx>
                              <w:txbxContent>
                                <w:p w14:paraId="02DAB8DD"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Arousal</w:t>
                                  </w:r>
                                </w:p>
                              </w:txbxContent>
                            </wps:txbx>
                            <wps:bodyPr wrap="square" rtlCol="0">
                              <a:spAutoFit/>
                            </wps:bodyPr>
                          </wps:wsp>
                        </wpg:grpSp>
                        <wpg:grpSp>
                          <wpg:cNvPr id="32" name="Group 32"/>
                          <wpg:cNvGrpSpPr/>
                          <wpg:grpSpPr>
                            <a:xfrm>
                              <a:off x="2052960" y="2080662"/>
                              <a:ext cx="1600200" cy="1371600"/>
                              <a:chOff x="2052960" y="2080662"/>
                              <a:chExt cx="1600200" cy="1371600"/>
                            </a:xfrm>
                          </wpg:grpSpPr>
                          <wps:wsp>
                            <wps:cNvPr id="33" name="Rectangle 33"/>
                            <wps:cNvSpPr/>
                            <wps:spPr>
                              <a:xfrm>
                                <a:off x="2052960" y="2080662"/>
                                <a:ext cx="1600200" cy="1371600"/>
                              </a:xfrm>
                              <a:prstGeom prst="rect">
                                <a:avLst/>
                              </a:prstGeom>
                            </wps:spPr>
                            <wps:style>
                              <a:lnRef idx="2">
                                <a:schemeClr val="dk1"/>
                              </a:lnRef>
                              <a:fillRef idx="1">
                                <a:schemeClr val="lt1"/>
                              </a:fillRef>
                              <a:effectRef idx="0">
                                <a:schemeClr val="dk1"/>
                              </a:effectRef>
                              <a:fontRef idx="minor">
                                <a:schemeClr val="dk1"/>
                              </a:fontRef>
                            </wps:style>
                            <wps:txbx>
                              <w:txbxContent>
                                <w:p w14:paraId="489541EF" w14:textId="77777777" w:rsidR="00804E6B" w:rsidRDefault="00804E6B" w:rsidP="00F7044C"/>
                              </w:txbxContent>
                            </wps:txbx>
                            <wps:bodyPr rtlCol="0" anchor="ctr"/>
                          </wps:wsp>
                          <wps:wsp>
                            <wps:cNvPr id="34" name="Text Box 34"/>
                            <wps:cNvSpPr txBox="1"/>
                            <wps:spPr>
                              <a:xfrm>
                                <a:off x="2287909" y="2437790"/>
                                <a:ext cx="1117373" cy="387224"/>
                              </a:xfrm>
                              <a:prstGeom prst="rect">
                                <a:avLst/>
                              </a:prstGeom>
                              <a:noFill/>
                            </wps:spPr>
                            <wps:txbx>
                              <w:txbxContent>
                                <w:p w14:paraId="640341FF"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Valence</w:t>
                                  </w:r>
                                </w:p>
                              </w:txbxContent>
                            </wps:txbx>
                            <wps:bodyPr wrap="square" rtlCol="0">
                              <a:spAutoFit/>
                            </wps:bodyPr>
                          </wps:wsp>
                        </wpg:grpSp>
                        <wpg:grpSp>
                          <wpg:cNvPr id="35" name="Group 35"/>
                          <wpg:cNvGrpSpPr/>
                          <wpg:grpSpPr>
                            <a:xfrm>
                              <a:off x="4319910" y="1232163"/>
                              <a:ext cx="1600200" cy="1371600"/>
                              <a:chOff x="4319910" y="1232163"/>
                              <a:chExt cx="1600200" cy="1371600"/>
                            </a:xfrm>
                          </wpg:grpSpPr>
                          <wps:wsp>
                            <wps:cNvPr id="36" name="Rectangle 36"/>
                            <wps:cNvSpPr/>
                            <wps:spPr>
                              <a:xfrm>
                                <a:off x="4319910" y="1232163"/>
                                <a:ext cx="1600200" cy="1371600"/>
                              </a:xfrm>
                              <a:prstGeom prst="rect">
                                <a:avLst/>
                              </a:prstGeom>
                            </wps:spPr>
                            <wps:style>
                              <a:lnRef idx="2">
                                <a:schemeClr val="dk1"/>
                              </a:lnRef>
                              <a:fillRef idx="1">
                                <a:schemeClr val="lt1"/>
                              </a:fillRef>
                              <a:effectRef idx="0">
                                <a:schemeClr val="dk1"/>
                              </a:effectRef>
                              <a:fontRef idx="minor">
                                <a:schemeClr val="dk1"/>
                              </a:fontRef>
                            </wps:style>
                            <wps:txbx>
                              <w:txbxContent>
                                <w:p w14:paraId="7DADF1F4" w14:textId="77777777" w:rsidR="00804E6B" w:rsidRDefault="00804E6B" w:rsidP="00F7044C"/>
                              </w:txbxContent>
                            </wps:txbx>
                            <wps:bodyPr rtlCol="0" anchor="ctr"/>
                          </wps:wsp>
                          <pic:pic xmlns:pic="http://schemas.openxmlformats.org/drawingml/2006/picture">
                            <pic:nvPicPr>
                              <pic:cNvPr id="37" name="Picture 37" descr="SAM-D-9.png"/>
                              <pic:cNvPicPr>
                                <a:picLocks noChangeAspect="1"/>
                              </pic:cNvPicPr>
                            </pic:nvPicPr>
                            <pic:blipFill rotWithShape="1">
                              <a:blip r:embed="rId17">
                                <a:extLst>
                                  <a:ext uri="{28A0092B-C50C-407E-A947-70E740481C1C}">
                                    <a14:useLocalDpi xmlns:a14="http://schemas.microsoft.com/office/drawing/2010/main" val="0"/>
                                  </a:ext>
                                </a:extLst>
                              </a:blip>
                              <a:srcRect l="44584" t="10604" r="2084" b="10343"/>
                              <a:stretch/>
                            </pic:blipFill>
                            <pic:spPr>
                              <a:xfrm>
                                <a:off x="4388008" y="1905263"/>
                                <a:ext cx="1455902" cy="310896"/>
                              </a:xfrm>
                              <a:prstGeom prst="rect">
                                <a:avLst/>
                              </a:prstGeom>
                            </pic:spPr>
                          </pic:pic>
                          <wps:wsp>
                            <wps:cNvPr id="38" name="Text Box 38"/>
                            <wps:cNvSpPr txBox="1"/>
                            <wps:spPr>
                              <a:xfrm>
                                <a:off x="4554856" y="1589594"/>
                                <a:ext cx="1117373" cy="387224"/>
                              </a:xfrm>
                              <a:prstGeom prst="rect">
                                <a:avLst/>
                              </a:prstGeom>
                              <a:noFill/>
                            </wps:spPr>
                            <wps:txbx>
                              <w:txbxContent>
                                <w:p w14:paraId="3FD1306C"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Arousal</w:t>
                                  </w:r>
                                </w:p>
                              </w:txbxContent>
                            </wps:txbx>
                            <wps:bodyPr wrap="square" rtlCol="0">
                              <a:spAutoFit/>
                            </wps:bodyPr>
                          </wps:wsp>
                        </wpg:grpSp>
                        <wps:wsp>
                          <wps:cNvPr id="39" name="Text Box 39"/>
                          <wps:cNvSpPr txBox="1"/>
                          <wps:spPr>
                            <a:xfrm>
                              <a:off x="287660" y="1489"/>
                              <a:ext cx="1117373" cy="387224"/>
                            </a:xfrm>
                            <a:prstGeom prst="rect">
                              <a:avLst/>
                            </a:prstGeom>
                            <a:noFill/>
                          </wps:spPr>
                          <wps:txbx>
                            <w:txbxContent>
                              <w:p w14:paraId="1EDA4880"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Session 1</w:t>
                                </w:r>
                              </w:p>
                            </w:txbxContent>
                          </wps:txbx>
                          <wps:bodyPr wrap="square" rtlCol="0">
                            <a:spAutoFit/>
                          </wps:bodyPr>
                        </wps:wsp>
                        <wps:wsp>
                          <wps:cNvPr id="40" name="Text Box 40"/>
                          <wps:cNvSpPr txBox="1"/>
                          <wps:spPr>
                            <a:xfrm>
                              <a:off x="3576958" y="0"/>
                              <a:ext cx="1118292" cy="387224"/>
                            </a:xfrm>
                            <a:prstGeom prst="rect">
                              <a:avLst/>
                            </a:prstGeom>
                            <a:noFill/>
                          </wps:spPr>
                          <wps:txbx>
                            <w:txbxContent>
                              <w:p w14:paraId="4C04D2FB"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Session 2</w:t>
                                </w:r>
                              </w:p>
                            </w:txbxContent>
                          </wps:txbx>
                          <wps:bodyPr wrap="square" rtlCol="0">
                            <a:spAutoFit/>
                          </wps:bodyPr>
                        </wps:wsp>
                      </wpg:grpSp>
                      <wps:wsp>
                        <wps:cNvPr id="41" name="Rectangle 41"/>
                        <wps:cNvSpPr/>
                        <wps:spPr>
                          <a:xfrm>
                            <a:off x="5334000" y="2080637"/>
                            <a:ext cx="1600200" cy="1371600"/>
                          </a:xfrm>
                          <a:prstGeom prst="rect">
                            <a:avLst/>
                          </a:prstGeom>
                        </wps:spPr>
                        <wps:style>
                          <a:lnRef idx="2">
                            <a:schemeClr val="dk1"/>
                          </a:lnRef>
                          <a:fillRef idx="1">
                            <a:schemeClr val="lt1"/>
                          </a:fillRef>
                          <a:effectRef idx="0">
                            <a:schemeClr val="dk1"/>
                          </a:effectRef>
                          <a:fontRef idx="minor">
                            <a:schemeClr val="dk1"/>
                          </a:fontRef>
                        </wps:style>
                        <wps:txbx>
                          <w:txbxContent>
                            <w:p w14:paraId="66AEF70C" w14:textId="77777777" w:rsidR="00804E6B" w:rsidRDefault="00804E6B" w:rsidP="00F7044C"/>
                          </w:txbxContent>
                        </wps:txbx>
                        <wps:bodyPr rtlCol="0" anchor="ctr"/>
                      </wps:wsp>
                      <pic:pic xmlns:pic="http://schemas.openxmlformats.org/drawingml/2006/picture">
                        <pic:nvPicPr>
                          <pic:cNvPr id="42" name="Picture 42" descr="SAM-D-9.png"/>
                          <pic:cNvPicPr>
                            <a:picLocks noChangeAspect="1"/>
                          </pic:cNvPicPr>
                        </pic:nvPicPr>
                        <pic:blipFill rotWithShape="1">
                          <a:blip r:embed="rId17">
                            <a:extLst>
                              <a:ext uri="{28A0092B-C50C-407E-A947-70E740481C1C}">
                                <a14:useLocalDpi xmlns:a14="http://schemas.microsoft.com/office/drawing/2010/main" val="0"/>
                              </a:ext>
                            </a:extLst>
                          </a:blip>
                          <a:srcRect l="44584" t="10604" r="2084" b="10343"/>
                          <a:stretch/>
                        </pic:blipFill>
                        <pic:spPr>
                          <a:xfrm>
                            <a:off x="2121058" y="2753762"/>
                            <a:ext cx="1455902" cy="310896"/>
                          </a:xfrm>
                          <a:prstGeom prst="rect">
                            <a:avLst/>
                          </a:prstGeom>
                        </pic:spPr>
                      </pic:pic>
                      <pic:pic xmlns:pic="http://schemas.openxmlformats.org/drawingml/2006/picture">
                        <pic:nvPicPr>
                          <pic:cNvPr id="43" name="Picture 43" descr="SAM-D-9.png"/>
                          <pic:cNvPicPr>
                            <a:picLocks noChangeAspect="1"/>
                          </pic:cNvPicPr>
                        </pic:nvPicPr>
                        <pic:blipFill rotWithShape="1">
                          <a:blip r:embed="rId17">
                            <a:extLst>
                              <a:ext uri="{28A0092B-C50C-407E-A947-70E740481C1C}">
                                <a14:useLocalDpi xmlns:a14="http://schemas.microsoft.com/office/drawing/2010/main" val="0"/>
                              </a:ext>
                            </a:extLst>
                          </a:blip>
                          <a:srcRect l="44584" t="10604" r="2084" b="10343"/>
                          <a:stretch/>
                        </pic:blipFill>
                        <pic:spPr>
                          <a:xfrm>
                            <a:off x="5410200" y="2766437"/>
                            <a:ext cx="1455902" cy="310896"/>
                          </a:xfrm>
                          <a:prstGeom prst="rect">
                            <a:avLst/>
                          </a:prstGeom>
                        </pic:spPr>
                      </pic:pic>
                      <wps:wsp>
                        <wps:cNvPr id="44" name="Text Box 44"/>
                        <wps:cNvSpPr txBox="1"/>
                        <wps:spPr>
                          <a:xfrm>
                            <a:off x="5511797" y="2457779"/>
                            <a:ext cx="1118292" cy="387225"/>
                          </a:xfrm>
                          <a:prstGeom prst="rect">
                            <a:avLst/>
                          </a:prstGeom>
                          <a:noFill/>
                        </wps:spPr>
                        <wps:txbx>
                          <w:txbxContent>
                            <w:p w14:paraId="35773D24"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Valence</w:t>
                              </w:r>
                            </w:p>
                          </w:txbxContent>
                        </wps:txbx>
                        <wps:bodyPr wrap="square" rtlCol="0">
                          <a:spAutoFit/>
                        </wps:bodyPr>
                      </wps:wsp>
                      <wps:wsp>
                        <wps:cNvPr id="45" name="Rectangle 45"/>
                        <wps:cNvSpPr/>
                        <wps:spPr>
                          <a:xfrm>
                            <a:off x="6345560" y="2917778"/>
                            <a:ext cx="1600200" cy="1371600"/>
                          </a:xfrm>
                          <a:prstGeom prst="rect">
                            <a:avLst/>
                          </a:prstGeom>
                        </wps:spPr>
                        <wps:style>
                          <a:lnRef idx="2">
                            <a:schemeClr val="dk1"/>
                          </a:lnRef>
                          <a:fillRef idx="1">
                            <a:schemeClr val="lt1"/>
                          </a:fillRef>
                          <a:effectRef idx="0">
                            <a:schemeClr val="dk1"/>
                          </a:effectRef>
                          <a:fontRef idx="minor">
                            <a:schemeClr val="dk1"/>
                          </a:fontRef>
                        </wps:style>
                        <wps:txbx>
                          <w:txbxContent>
                            <w:p w14:paraId="2C2AEE5B" w14:textId="77777777" w:rsidR="00804E6B" w:rsidRDefault="00804E6B" w:rsidP="00F7044C"/>
                          </w:txbxContent>
                        </wps:txbx>
                        <wps:bodyPr rtlCol="0" anchor="ctr"/>
                      </wps:wsp>
                      <wps:wsp>
                        <wps:cNvPr id="46" name="Text Box 46"/>
                        <wps:cNvSpPr txBox="1"/>
                        <wps:spPr>
                          <a:xfrm>
                            <a:off x="6290393" y="3016216"/>
                            <a:ext cx="1655367" cy="1152476"/>
                          </a:xfrm>
                          <a:prstGeom prst="rect">
                            <a:avLst/>
                          </a:prstGeom>
                          <a:noFill/>
                        </wps:spPr>
                        <wps:txbx>
                          <w:txbxContent>
                            <w:p w14:paraId="4F62A41C" w14:textId="77777777" w:rsidR="00804E6B" w:rsidRPr="00016029" w:rsidRDefault="00804E6B" w:rsidP="00F7044C">
                              <w:pPr>
                                <w:pStyle w:val="NormalWeb"/>
                                <w:spacing w:before="0" w:beforeAutospacing="0" w:after="0" w:afterAutospacing="0"/>
                                <w:jc w:val="center"/>
                                <w:rPr>
                                  <w:sz w:val="24"/>
                                  <w:szCs w:val="24"/>
                                </w:rPr>
                              </w:pPr>
                              <w:r w:rsidRPr="00016029">
                                <w:rPr>
                                  <w:rFonts w:cs="Times"/>
                                  <w:color w:val="404040"/>
                                  <w:kern w:val="24"/>
                                  <w:sz w:val="24"/>
                                  <w:szCs w:val="24"/>
                                </w:rPr>
                                <w:t>Have you seen this image before?</w:t>
                              </w:r>
                            </w:p>
                            <w:p w14:paraId="163EB6CB" w14:textId="77777777" w:rsidR="00804E6B" w:rsidRPr="00016029" w:rsidRDefault="00804E6B" w:rsidP="00F7044C">
                              <w:pPr>
                                <w:pStyle w:val="NormalWeb"/>
                                <w:spacing w:before="0" w:beforeAutospacing="0" w:after="0" w:afterAutospacing="0"/>
                                <w:jc w:val="center"/>
                                <w:rPr>
                                  <w:sz w:val="24"/>
                                  <w:szCs w:val="24"/>
                                </w:rPr>
                              </w:pPr>
                              <w:r w:rsidRPr="00016029">
                                <w:rPr>
                                  <w:rFonts w:cs="Times"/>
                                  <w:color w:val="404040"/>
                                  <w:kern w:val="24"/>
                                  <w:sz w:val="24"/>
                                  <w:szCs w:val="24"/>
                                </w:rPr>
                                <w:t>Y       N</w:t>
                              </w:r>
                            </w:p>
                          </w:txbxContent>
                        </wps:txbx>
                        <wps:bodyPr wrap="square" rtlCol="0">
                          <a:spAutoFit/>
                        </wps:bodyPr>
                      </wps:wsp>
                    </wpg:wgp>
                  </a:graphicData>
                </a:graphic>
              </wp:inline>
            </w:drawing>
          </mc:Choice>
          <mc:Fallback>
            <w:pict>
              <v:group w14:anchorId="39518715" id="Group 6" o:spid="_x0000_s1026" style="width:6in;height:233.2pt;mso-position-horizontal-relative:char;mso-position-vertical-relative:line" coordsize="7945760,4289378" o:gfxdata="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">
                <v:group id="Group 25" o:spid="_x0000_s1027" style="position:absolute;width:5920110;height:3452262" coordsize="5920110,345226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MyarP8UAAADbAAAA&#10;DwAAAAAAAAAAAAAAAACp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 o:spid="_x0000_s1028" type="#_x0000_t75" alt="fnint-06-00102-g001.jpg" style="position:absolute;left:3293533;top:404237;width:1600200;height:13716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3W&#10;qyG/AAAA2wAAAA8AAABkcnMvZG93bnJldi54bWxEj8EKwjAQRO+C/xBW8GZTPYhUo4gg1JNaxfPS&#10;rG2x2dQmav17Iwgeh9l5s7NYdaYWT2pdZVnBOIpBEOdWV1woOJ+2oxkI55E11pZJwZscrJb93gIT&#10;bV98pGfmCxEg7BJUUHrfJFK6vCSDLrINcfCutjXog2wLqVt8Bbip5SSOp9JgxaGhxIY2JeW37GHC&#10;G7vsmB3ul7TZb/bpWvL2fYprpYaDbj0H4anz/+NfOtUKJlP4bgkAkMsPAA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C91qshvwAAANsAAAAPAAAAAAAAAAAAAAAAAJwCAABkcnMv&#10;ZG93bnJldi54bWxQSwUGAAAAAAQABAD3AAAAiAMAAAAA&#10;">
                    <v:imagedata r:id="rId18" o:title="fnint-06-00102-g001.jpg"/>
                    <v:path arrowok="t"/>
                    <o:lock v:ext="edit" aspectratio="f"/>
                  </v:shape>
                  <v:shape id="Picture 27" o:spid="_x0000_s1029" type="#_x0000_t75" alt="fnint-06-00102-g001.jpg" style="position:absolute;top:404237;width:1600199;height:13716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Ka&#10;Drq/AAAA2wAAAA8AAABkcnMvZG93bnJldi54bWxEj8EKwjAQRO+C/xBW8KapHlSqUUQQ6kmt4nlp&#10;1rbYbGoTtf69EQSPw+y82VmsWlOJJzWutKxgNIxAEGdWl5wrOJ+2gxkI55E1VpZJwZscrJbdzgJj&#10;bV98pGfqcxEg7GJUUHhfx1K6rCCDbmhr4uBdbWPQB9nkUjf4CnBTyXEUTaTBkkNDgTVtCspu6cOE&#10;N3bpMT3cL0m93+yTteTt+xRVSvV77XoOwlPr/8e/dKIVjKfw3RIAIJcfAA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DSmg66vwAAANsAAAAPAAAAAAAAAAAAAAAAAJwCAABkcnMv&#10;ZG93bnJldi54bWxQSwUGAAAAAAQABAD3AAAAiAMAAAAA&#10;">
                    <v:imagedata r:id="rId18" o:title="fnint-06-00102-g001.jpg"/>
                    <v:path arrowok="t"/>
                    <o:lock v:ext="edit" aspectratio="f"/>
                  </v:shape>
                  <v:group id="Group 28" o:spid="_x0000_s1030" style="position:absolute;left:1017910;top:1232163;width:1600200;height:1371600" coordorigin="1017910,1232163" coordsize="1600200,1371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3ScEocIAAADbAAAADwAA&#10;AAAAAAAAAAAAAACpAgAAZHJzL2Rvd25yZXYueG1sUEsFBgAAAAAEAAQA+gAAAJgDAAAAAA==&#10;">
                    <v:rect id="Rectangle 29" o:spid="_x0000_s1031" style="position:absolute;left:1017910;top:1232163;width:1600200;height:1371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R11fwgAA&#10;ANsAAAAPAAAAZHJzL2Rvd25yZXYueG1sRI9Bi8IwFITvgv8hPMGbpnoQrUaRgqzoya4evD2aZ1ts&#10;XkqTra2/3iws7HGYmW+Yza4zlWipcaVlBbNpBII4s7rkXMH1+zBZgnAeWWNlmRT05GC3HQ42GGv7&#10;4gu1qc9FgLCLUUHhfR1L6bKCDLqprYmD97CNQR9kk0vd4CvATSXnUbSQBksOCwXWlBSUPdMfo+Dc&#10;S99eb4vVu03KXqf35OtEiVLjUbdfg/DU+f/wX/uoFcxX8Psl/AC5/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1HXV/CAAAA2wAAAA8AAAAAAAAAAAAAAAAAlwIAAGRycy9kb3du&#10;cmV2LnhtbFBLBQYAAAAABAAEAPUAAACGAwAAAAA=&#10;" fillcolor="white [3201]" strokecolor="black [3200]" strokeweight="2pt">
                      <v:textbox>
                        <w:txbxContent>
                          <w:p w14:paraId="192AC632" w14:textId="77777777" w:rsidR="00804E6B" w:rsidRDefault="00804E6B" w:rsidP="00F7044C"/>
                        </w:txbxContent>
                      </v:textbox>
                    </v:rect>
                    <v:shape id="Picture 30" o:spid="_x0000_s1032" type="#_x0000_t75" alt="SAM-D-9.png" style="position:absolute;left:1086008;top:1905263;width:1455902;height:31089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oT&#10;r8XBAAAA2wAAAA8AAABkcnMvZG93bnJldi54bWxET89rwjAUvg/8H8ITdpupG3NSTUstDoanmQle&#10;H82zLTYvpYm121+/HAY7fny/t/lkOzHS4FvHCpaLBARx5UzLtYLT1/vTGoQPyAY7x6Tgmzzk2exh&#10;i6lxdz7SqEMtYgj7FBU0IfSplL5qyKJfuJ44chc3WAwRDrU0A95juO3kc5KspMWWY0ODPZUNVVd9&#10;swo6vQ/F6u1T7372NzqP5eEV9UGpx/lUbEAEmsK/+M/9YRS8xPXxS/wBMvsF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HoTr8XBAAAA2wAAAA8AAAAAAAAAAAAAAAAAnAIAAGRy&#10;cy9kb3ducmV2LnhtbFBLBQYAAAAABAAEAPcAAACKAwAAAAA=&#10;">
                      <v:imagedata r:id="rId19" o:title="SAM-D-9.png" croptop="6949f" cropbottom="6778f" cropleft="29219f" cropright="1366f"/>
                      <v:path arrowok="t"/>
                    </v:shape>
                    <v:shapetype id="_x0000_t202" coordsize="21600,21600" o:spt="202" path="m0,0l0,21600,21600,21600,21600,0xe">
                      <v:stroke joinstyle="miter"/>
                      <v:path gradientshapeok="t" o:connecttype="rect"/>
                    </v:shapetype>
                    <v:shape id="Text Box 31" o:spid="_x0000_s1033" type="#_x0000_t202" style="position:absolute;left:1252859;top:1589594;width:1118293;height:38722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ep7DwgAA&#10;ANsAAAAPAAAAZHJzL2Rvd25yZXYueG1sRI/NasMwEITvhb6D2EJvjeyUhuJECSE/kEMvSZ37Ym0t&#10;U2tlrE3svH0UKPQ4zMw3zGI1+lZdqY9NYAP5JANFXAXbcG2g/N6/fYKKgmyxDUwGbhRhtXx+WmBh&#10;w8BHup6kVgnCsUADTqQrtI6VI49xEjri5P2E3qMk2dfa9jgkuG/1NMtm2mPDacFhRxtH1e/p4g2I&#10;2HV+K3c+Hs7j13ZwWfWBpTGvL+N6DkpolP/wX/tgDbzn8PiSfoBe3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56nsPCAAAA2wAAAA8AAAAAAAAAAAAAAAAAlwIAAGRycy9kb3du&#10;cmV2LnhtbFBLBQYAAAAABAAEAPUAAACGAwAAAAA=&#10;" filled="f" stroked="f">
                      <v:textbox style="mso-fit-shape-to-text:t">
                        <w:txbxContent>
                          <w:p w14:paraId="02DAB8DD"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Arousal</w:t>
                            </w:r>
                          </w:p>
                        </w:txbxContent>
                      </v:textbox>
                    </v:shape>
                  </v:group>
                  <v:group id="Group 32" o:spid="_x0000_s1034" style="position:absolute;left:2052960;top:2080662;width:1600200;height:1371600" coordorigin="2052960,2080662" coordsize="1600200,1371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5FqWWxAAAANsAAAAP&#10;AAAAAAAAAAAAAAAAAKkCAABkcnMvZG93bnJldi54bWxQSwUGAAAAAAQABAD6AAAAmgMAAAAA&#10;">
                    <v:rect id="Rectangle 33" o:spid="_x0000_s1035" style="position:absolute;left:2052960;top:2080662;width:1600200;height:1371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5dvxowwAA&#10;ANsAAAAPAAAAZHJzL2Rvd25yZXYueG1sRI9Bi8IwFITvC/6H8ARva+oKslajSEEUPW3Vg7dH82yL&#10;zUtpsrX11xthYY/DzHzDLNedqURLjSstK5iMIxDEmdUl5wrOp+3nNwjnkTVWlklBTw7Wq8HHEmNt&#10;H/xDbepzESDsYlRQeF/HUrqsIINubGvi4N1sY9AH2eRSN/gIcFPJryiaSYMlh4UCa0oKyu7pr1Fw&#10;7KVvz5fZ/NkmZa/Ta7I7UKLUaNhtFiA8df4//NfeawXTKby/hB8gVy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5dvxowwAAANsAAAAPAAAAAAAAAAAAAAAAAJcCAABkcnMvZG93&#10;bnJldi54bWxQSwUGAAAAAAQABAD1AAAAhwMAAAAA&#10;" fillcolor="white [3201]" strokecolor="black [3200]" strokeweight="2pt">
                      <v:textbox>
                        <w:txbxContent>
                          <w:p w14:paraId="489541EF" w14:textId="77777777" w:rsidR="00804E6B" w:rsidRDefault="00804E6B" w:rsidP="00F7044C"/>
                        </w:txbxContent>
                      </v:textbox>
                    </v:rect>
                    <v:shape id="Text Box 34" o:spid="_x0000_s1036" type="#_x0000_t202" style="position:absolute;left:2287909;top:2437790;width:1117373;height:38722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T1bwgAA&#10;ANsAAAAPAAAAZHJzL2Rvd25yZXYueG1sRI9Ba8JAFITvBf/D8oTe6kZtpaSuImrBg5dqvD+yr9nQ&#10;7NuQfZr477uFgsdhZr5hluvBN+pGXawDG5hOMlDEZbA1VwaK8+fLO6goyBabwGTgThHWq9HTEnMb&#10;ev6i20kqlSAcczTgRNpc61g68hgnoSVO3nfoPEqSXaVth32C+0bPsmyhPdacFhy2tHVU/pyu3oCI&#10;3Uzvxd7Hw2U47nqXlW9YGPM8HjYfoIQGeYT/2wdrYP4Kf1/SD9Cr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4NPVvCAAAA2wAAAA8AAAAAAAAAAAAAAAAAlwIAAGRycy9kb3du&#10;cmV2LnhtbFBLBQYAAAAABAAEAPUAAACGAwAAAAA=&#10;" filled="f" stroked="f">
                      <v:textbox style="mso-fit-shape-to-text:t">
                        <w:txbxContent>
                          <w:p w14:paraId="640341FF"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Valence</w:t>
                            </w:r>
                          </w:p>
                        </w:txbxContent>
                      </v:textbox>
                    </v:shape>
                  </v:group>
                  <v:group id="Group 35" o:spid="_x0000_s1037" style="position:absolute;left:4319910;top:1232163;width:1600200;height:1371600" coordorigin="4319910,1232163" coordsize="1600200,1371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tv894sUAAADbAAAA&#10;DwAAAAAAAAAAAAAAAACpAgAAZHJzL2Rvd25yZXYueG1sUEsFBgAAAAAEAAQA+gAAAJsDAAAAAA==&#10;">
                    <v:rect id="Rectangle 36" o:spid="_x0000_s1038" style="position:absolute;left:4319910;top:1232163;width:1600200;height:1371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AV/wxAAA&#10;ANsAAAAPAAAAZHJzL2Rvd25yZXYueG1sRI9Ba8JAFITvhf6H5RW81Y0VQpu6CRIoij0Z7aG3R/aZ&#10;BLNvQ3aNib/eLQg9DjPzDbPKRtOKgXrXWFawmEcgiEurG64UHA9fr+8gnEfW2FomBRM5yNLnpxUm&#10;2l55T0PhKxEg7BJUUHvfJVK6siaDbm474uCdbG/QB9lXUvd4DXDTyrcoiqXBhsNCjR3lNZXn4mIU&#10;fE/SD8ef+OM25M2ki998s6NcqdnLuP4E4Wn0/+FHe6sVLGP4+xJ+gEz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QFf8MQAAADbAAAADwAAAAAAAAAAAAAAAACXAgAAZHJzL2Rv&#10;d25yZXYueG1sUEsFBgAAAAAEAAQA9QAAAIgDAAAAAA==&#10;" fillcolor="white [3201]" strokecolor="black [3200]" strokeweight="2pt">
                      <v:textbox>
                        <w:txbxContent>
                          <w:p w14:paraId="7DADF1F4" w14:textId="77777777" w:rsidR="00804E6B" w:rsidRDefault="00804E6B" w:rsidP="00F7044C"/>
                        </w:txbxContent>
                      </v:textbox>
                    </v:rect>
                    <v:shape id="Picture 37" o:spid="_x0000_s1039" type="#_x0000_t75" alt="SAM-D-9.png" style="position:absolute;left:4388008;top:1905263;width:1455902;height:31089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X6&#10;N7HDAAAA2wAAAA8AAABkcnMvZG93bnJldi54bWxEj0FrwkAUhO+F/oflFbzVTRW1RFexoiCe7Lbg&#10;9ZF9JsHs25BdY/TXu4LgcZiZb5jZorOVaKnxpWMFX/0EBHHmTMm5gv+/zec3CB+QDVaOScGVPCzm&#10;728zTI278C+1OuQiQtinqKAIoU6l9FlBFn3f1cTRO7rGYoiyyaVp8BLhtpKDJBlLiyXHhQJrWhWU&#10;nfTZKqj0OizHk73+ua3PdGhXuxHqnVK9j245BRGoC6/ws701CoYTeHyJP0DO7w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9fo3scMAAADbAAAADwAAAAAAAAAAAAAAAACcAgAA&#10;ZHJzL2Rvd25yZXYueG1sUEsFBgAAAAAEAAQA9wAAAIwDAAAAAA==&#10;">
                      <v:imagedata r:id="rId19" o:title="SAM-D-9.png" croptop="6949f" cropbottom="6778f" cropleft="29219f" cropright="1366f"/>
                      <v:path arrowok="t"/>
                    </v:shape>
                    <v:shape id="Text Box 38" o:spid="_x0000_s1040" type="#_x0000_t202" style="position:absolute;left:4554856;top:1589594;width:1117373;height:38722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" filled="f" stroked="f">
                      <v:textbox style="mso-fit-shape-to-text:t">
                        <w:txbxContent>
                          <w:p w14:paraId="3FD1306C"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Arousal</w:t>
                            </w:r>
                          </w:p>
                        </w:txbxContent>
                      </v:textbox>
                    </v:shape>
                  </v:group>
                  <v:shape id="Text Box 39" o:spid="_x0000_s1041" type="#_x0000_t202" style="position:absolute;left:287660;top:1489;width:1117373;height:38722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DJLFwgAA&#10;ANsAAAAPAAAAZHJzL2Rvd25yZXYueG1sRI9Ba8JAFITvBf/D8oTe6kalxaauImrBg5dqvD+yr9nQ&#10;7NuQfZr477uFgsdhZr5hluvBN+pGXawDG5hOMlDEZbA1VwaK8+fLAlQUZItNYDJwpwjr1ehpibkN&#10;PX/R7SSVShCOORpwIm2udSwdeYyT0BIn7zt0HiXJrtK2wz7BfaNnWfamPdacFhy2tHVU/pyu3oCI&#10;3Uzvxd7Hw2U47nqXla9YGPM8HjYfoIQGeYT/2wdrYP4Of1/SD9Cr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AMksXCAAAA2wAAAA8AAAAAAAAAAAAAAAAAlwIAAGRycy9kb3du&#10;cmV2LnhtbFBLBQYAAAAABAAEAPUAAACGAwAAAAA=&#10;" filled="f" stroked="f">
                    <v:textbox style="mso-fit-shape-to-text:t">
                      <w:txbxContent>
                        <w:p w14:paraId="1EDA4880"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Session 1</w:t>
                          </w:r>
                        </w:p>
                      </w:txbxContent>
                    </v:textbox>
                  </v:shape>
                  <v:shape id="Text Box 40" o:spid="_x0000_s1042" type="#_x0000_t202" style="position:absolute;left:3576958;width:1118292;height:38722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" filled="f" stroked="f">
                    <v:textbox style="mso-fit-shape-to-text:t">
                      <w:txbxContent>
                        <w:p w14:paraId="4C04D2FB"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Session 2</w:t>
                          </w:r>
                        </w:p>
                      </w:txbxContent>
                    </v:textbox>
                  </v:shape>
                </v:group>
                <v:rect id="Rectangle 41" o:spid="_x0000_s1043" style="position:absolute;left:5334000;top:2080637;width:1600200;height:1371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rT5wwAA&#10;ANsAAAAPAAAAZHJzL2Rvd25yZXYueG1sRI9Bi8IwFITvwv6H8Ba8aaqIuNUoUpAVPdl1D3t7NM+2&#10;2LyUJltbf70RBI/DzHzDrDadqURLjSstK5iMIxDEmdUl5wrOP7vRAoTzyBory6SgJweb9cdghbG2&#10;Nz5Rm/pcBAi7GBUU3texlC4ryKAb25o4eBfbGPRBNrnUDd4C3FRyGkVzabDksFBgTUlB2TX9NwqO&#10;vfTt+Xf+dW+TstfpX/J9oESp4We3XYLw1Pl3+NXeawWzCTy/hB8g1w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7rT5wwAAANsAAAAPAAAAAAAAAAAAAAAAAJcCAABkcnMvZG93&#10;bnJldi54bWxQSwUGAAAAAAQABAD1AAAAhwMAAAAA&#10;" fillcolor="white [3201]" strokecolor="black [3200]" strokeweight="2pt">
                  <v:textbox>
                    <w:txbxContent>
                      <w:p w14:paraId="66AEF70C" w14:textId="77777777" w:rsidR="00804E6B" w:rsidRDefault="00804E6B" w:rsidP="00F7044C"/>
                    </w:txbxContent>
                  </v:textbox>
                </v:rect>
                <v:shape id="Picture 42" o:spid="_x0000_s1044" type="#_x0000_t75" alt="SAM-D-9.png" style="position:absolute;left:2121058;top:2753762;width:1455902;height:31089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2L&#10;51TDAAAA2wAAAA8AAABkcnMvZG93bnJldi54bWxEj0FrwkAUhO8F/8PyBG9mo6iV1FVULIgn3Qq9&#10;PrKvSWj2bciuMfXXu4VCj8PMfMOsNr2tRUetrxwrmCQpCOLcmYoLBdeP9/EShA/IBmvHpOCHPGzW&#10;g5cVZsbd+UKdDoWIEPYZKihDaDIpfV6SRZ+4hjh6X661GKJsC2lavEe4reU0TRfSYsVxocSG9iXl&#10;3/pmFdT6ELaL17PePQ43+uz2pznqk1KjYb99AxGoD//hv/bRKJhN4fdL/AFy/QQ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vYvnVMMAAADbAAAADwAAAAAAAAAAAAAAAACcAgAA&#10;ZHJzL2Rvd25yZXYueG1sUEsFBgAAAAAEAAQA9wAAAIwDAAAAAA==&#10;">
                  <v:imagedata r:id="rId19" o:title="SAM-D-9.png" croptop="6949f" cropbottom="6778f" cropleft="29219f" cropright="1366f"/>
                  <v:path arrowok="t"/>
                </v:shape>
                <v:shape id="Picture 43" o:spid="_x0000_s1045" type="#_x0000_t75" alt="SAM-D-9.png" style="position:absolute;left:5410200;top:2766437;width:1455902;height:31089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LH&#10;Qs/DAAAA2wAAAA8AAABkcnMvZG93bnJldi54bWxEj0FrwkAUhO+C/2F5Qm9101Ztia5iRUE86Vro&#10;9ZF9JqHZtyG7xuivd4WCx2FmvmFmi85WoqXGl44VvA0TEMSZMyXnCn6Om9cvED4gG6wck4IreVjM&#10;+70ZpsZd+ECtDrmIEPYpKihCqFMpfVaQRT90NXH0Tq6xGKJscmkavES4reR7kkykxZLjQoE1rQrK&#10;/vTZKqj0Oiwnn3v9fVuf6bdd7caod0q9DLrlFESgLjzD/+2tUTD6gMeX+APk/A4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0sdCz8MAAADbAAAADwAAAAAAAAAAAAAAAACcAgAA&#10;ZHJzL2Rvd25yZXYueG1sUEsFBgAAAAAEAAQA9wAAAIwDAAAAAA==&#10;">
                  <v:imagedata r:id="rId19" o:title="SAM-D-9.png" croptop="6949f" cropbottom="6778f" cropleft="29219f" cropright="1366f"/>
                  <v:path arrowok="t"/>
                </v:shape>
                <v:shape id="Text Box 44" o:spid="_x0000_s1046" type="#_x0000_t202" style="position:absolute;left:5511797;top:2457779;width:1118292;height:38722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C04mwQAA&#10;ANsAAAAPAAAAZHJzL2Rvd25yZXYueG1sRI9Ba8JAFITvBf/D8gre6kaxIqmriFbw0Isa74/sazY0&#10;+zZkX038992C4HGYmW+Y1WbwjbpRF+vABqaTDBRxGWzNlYHicnhbgoqCbLEJTAbuFGGzHr2sMLeh&#10;5xPdzlKpBOGYowEn0uZax9KRxzgJLXHyvkPnUZLsKm077BPcN3qWZQvtsea04LClnaPy5/zrDYjY&#10;7fRefPp4vA5f+95l5TsWxoxfh+0HKKFBnuFH+2gNzOfw/yX9AL3+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pgtOJsEAAADbAAAADwAAAAAAAAAAAAAAAACXAgAAZHJzL2Rvd25y&#10;ZXYueG1sUEsFBgAAAAAEAAQA9QAAAIUDAAAAAA==&#10;" filled="f" stroked="f">
                  <v:textbox style="mso-fit-shape-to-text:t">
                    <w:txbxContent>
                      <w:p w14:paraId="35773D24" w14:textId="77777777" w:rsidR="00804E6B" w:rsidRPr="00ED2D5C" w:rsidRDefault="00804E6B" w:rsidP="00F7044C">
                        <w:pPr>
                          <w:pStyle w:val="NormalWeb"/>
                          <w:spacing w:before="0" w:beforeAutospacing="0" w:after="0" w:afterAutospacing="0"/>
                          <w:jc w:val="center"/>
                          <w:rPr>
                            <w:sz w:val="24"/>
                            <w:szCs w:val="24"/>
                          </w:rPr>
                        </w:pPr>
                        <w:r w:rsidRPr="00ED2D5C">
                          <w:rPr>
                            <w:rFonts w:cs="Times"/>
                            <w:color w:val="404040"/>
                            <w:kern w:val="24"/>
                            <w:sz w:val="24"/>
                            <w:szCs w:val="24"/>
                          </w:rPr>
                          <w:t>Valence</w:t>
                        </w:r>
                      </w:p>
                    </w:txbxContent>
                  </v:textbox>
                </v:shape>
                <v:rect id="Rectangle 45" o:spid="_x0000_s1047" style="position:absolute;left:6345560;top:2917778;width:1600200;height:13716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1bL6xAAA&#10;ANsAAAAPAAAAZHJzL2Rvd25yZXYueG1sRI9Pa8JAFMTvQr/D8gq96cbSBo2uUgLSYk+mevD2yD6T&#10;YPZtyK7546fvFoQeh5n5DbPeDqYWHbWusqxgPotAEOdWV1woOP7spgsQziNrrC2TgpEcbDdPkzUm&#10;2vZ8oC7zhQgQdgkqKL1vEildXpJBN7MNcfAutjXog2wLqVvsA9zU8jWKYmmw4rBQYkNpSfk1uxkF&#10;36P03fEUL+9dWo06O6efe0qVenkePlYgPA3+P/xof2kFb+/w9yX8ALn5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gdWy+sQAAADbAAAADwAAAAAAAAAAAAAAAACXAgAAZHJzL2Rv&#10;d25yZXYueG1sUEsFBgAAAAAEAAQA9QAAAIgDAAAAAA==&#10;" fillcolor="white [3201]" strokecolor="black [3200]" strokeweight="2pt">
                  <v:textbox>
                    <w:txbxContent>
                      <w:p w14:paraId="2C2AEE5B" w14:textId="77777777" w:rsidR="00804E6B" w:rsidRDefault="00804E6B" w:rsidP="00F7044C"/>
                    </w:txbxContent>
                  </v:textbox>
                </v:rect>
                <v:shape id="Text Box 46" o:spid="_x0000_s1048" type="#_x0000_t202" style="position:absolute;left:6290393;top:3016216;width:1655367;height:115247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5lXXKwgAA&#10;ANsAAAAPAAAAZHJzL2Rvd25yZXYueG1sRI/NasMwEITvhb6D2EBujZzShuBENqE/kEMvTZz7Ym0s&#10;E2tlrG3svH1UKPQ4zMw3zLacfKeuNMQ2sIHlIgNFXAfbcmOgOn4+rUFFQbbYBSYDN4pQFo8PW8xt&#10;GPmbrgdpVIJwzNGAE+lzrWPtyGNchJ44eecweJQkh0bbAccE951+zrKV9thyWnDY05uj+nL48QZE&#10;7G55qz583J+mr/fRZfUrVsbMZ9NuA0pokv/wX3tvDbys4PdL+gG6uA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mVdcrCAAAA2wAAAA8AAAAAAAAAAAAAAAAAlwIAAGRycy9kb3du&#10;cmV2LnhtbFBLBQYAAAAABAAEAPUAAACGAwAAAAA=&#10;" filled="f" stroked="f">
                  <v:textbox style="mso-fit-shape-to-text:t">
                    <w:txbxContent>
                      <w:p w14:paraId="4F62A41C" w14:textId="77777777" w:rsidR="00804E6B" w:rsidRPr="00016029" w:rsidRDefault="00804E6B" w:rsidP="00F7044C">
                        <w:pPr>
                          <w:pStyle w:val="NormalWeb"/>
                          <w:spacing w:before="0" w:beforeAutospacing="0" w:after="0" w:afterAutospacing="0"/>
                          <w:jc w:val="center"/>
                          <w:rPr>
                            <w:sz w:val="24"/>
                            <w:szCs w:val="24"/>
                          </w:rPr>
                        </w:pPr>
                        <w:r w:rsidRPr="00016029">
                          <w:rPr>
                            <w:rFonts w:cs="Times"/>
                            <w:color w:val="404040"/>
                            <w:kern w:val="24"/>
                            <w:sz w:val="24"/>
                            <w:szCs w:val="24"/>
                          </w:rPr>
                          <w:t>Have you seen this image before?</w:t>
                        </w:r>
                      </w:p>
                      <w:p w14:paraId="163EB6CB" w14:textId="77777777" w:rsidR="00804E6B" w:rsidRPr="00016029" w:rsidRDefault="00804E6B" w:rsidP="00F7044C">
                        <w:pPr>
                          <w:pStyle w:val="NormalWeb"/>
                          <w:spacing w:before="0" w:beforeAutospacing="0" w:after="0" w:afterAutospacing="0"/>
                          <w:jc w:val="center"/>
                          <w:rPr>
                            <w:sz w:val="24"/>
                            <w:szCs w:val="24"/>
                          </w:rPr>
                        </w:pPr>
                        <w:r w:rsidRPr="00016029">
                          <w:rPr>
                            <w:rFonts w:cs="Times"/>
                            <w:color w:val="404040"/>
                            <w:kern w:val="24"/>
                            <w:sz w:val="24"/>
                            <w:szCs w:val="24"/>
                          </w:rPr>
                          <w:t>Y       N</w:t>
                        </w:r>
                      </w:p>
                    </w:txbxContent>
                  </v:textbox>
                </v:shape>
                <w10:anchorlock/>
              </v:group>
            </w:pict>
          </mc:Fallback>
        </mc:AlternateContent>
      </w:r>
    </w:p>
    <w:p w14:paraId="02C4BE05" w14:textId="77777777" w:rsidR="00F7044C" w:rsidRPr="00C421E4" w:rsidRDefault="00F7044C" w:rsidP="00F7044C">
      <w:pPr>
        <w:widowControl w:val="0"/>
        <w:autoSpaceDE w:val="0"/>
        <w:autoSpaceDN w:val="0"/>
        <w:adjustRightInd w:val="0"/>
        <w:spacing w:after="240"/>
        <w:rPr>
          <w:rFonts w:ascii="Times" w:hAnsi="Times"/>
        </w:rPr>
      </w:pPr>
      <w:r>
        <w:rPr>
          <w:rFonts w:ascii="Times" w:hAnsi="Times"/>
        </w:rPr>
        <w:t>Figure 1</w:t>
      </w:r>
      <w:r w:rsidRPr="00C421E4">
        <w:rPr>
          <w:rFonts w:ascii="Times" w:hAnsi="Times"/>
        </w:rPr>
        <w:t>: Emotional memory consolidation and memory processing task.</w:t>
      </w:r>
    </w:p>
    <w:p w14:paraId="50BA807C" w14:textId="77777777" w:rsidR="00F7044C" w:rsidRPr="00C421E4" w:rsidRDefault="00F7044C" w:rsidP="00F7044C">
      <w:pPr>
        <w:rPr>
          <w:rFonts w:ascii="Times" w:hAnsi="Times"/>
        </w:rPr>
      </w:pPr>
    </w:p>
    <w:p w14:paraId="1DDFF782" w14:textId="77777777" w:rsidR="00F7044C" w:rsidRPr="00C421E4" w:rsidRDefault="00F7044C" w:rsidP="00F7044C">
      <w:pPr>
        <w:rPr>
          <w:rFonts w:ascii="Times" w:hAnsi="Times"/>
        </w:rPr>
      </w:pPr>
      <w:r w:rsidRPr="00C421E4">
        <w:rPr>
          <w:rFonts w:ascii="Times" w:hAnsi="Times"/>
        </w:rPr>
        <w:br w:type="page"/>
      </w:r>
    </w:p>
    <w:p w14:paraId="3426F445" w14:textId="77777777" w:rsidR="00F7044C" w:rsidRPr="00C421E4" w:rsidRDefault="00F7044C" w:rsidP="00F7044C">
      <w:pPr>
        <w:rPr>
          <w:rFonts w:ascii="Times" w:hAnsi="Times"/>
        </w:rPr>
      </w:pPr>
      <w:r w:rsidRPr="00C421E4">
        <w:rPr>
          <w:noProof/>
        </w:rPr>
        <w:lastRenderedPageBreak/>
        <mc:AlternateContent>
          <mc:Choice Requires="wps">
            <w:drawing>
              <wp:anchor distT="0" distB="0" distL="114300" distR="114300" simplePos="0" relativeHeight="251664384" behindDoc="0" locked="0" layoutInCell="1" allowOverlap="1" wp14:anchorId="3A459177" wp14:editId="19EA54F4">
                <wp:simplePos x="0" y="0"/>
                <wp:positionH relativeFrom="column">
                  <wp:posOffset>-96520</wp:posOffset>
                </wp:positionH>
                <wp:positionV relativeFrom="paragraph">
                  <wp:posOffset>-114300</wp:posOffset>
                </wp:positionV>
                <wp:extent cx="342900" cy="342900"/>
                <wp:effectExtent l="0" t="0" r="0" b="12700"/>
                <wp:wrapNone/>
                <wp:docPr id="47" name="Text Box 47"/>
                <wp:cNvGraphicFramePr/>
                <a:graphic xmlns:a="http://schemas.openxmlformats.org/drawingml/2006/main">
                  <a:graphicData uri="http://schemas.microsoft.com/office/word/2010/wordprocessingShape">
                    <wps:wsp>
                      <wps:cNvSpPr txBox="1"/>
                      <wps:spPr>
                        <a:xfrm>
                          <a:off x="0" y="0"/>
                          <a:ext cx="3429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FD24FD" w14:textId="77777777" w:rsidR="00804E6B" w:rsidRPr="005D0933" w:rsidRDefault="00804E6B" w:rsidP="00F7044C">
                            <w:pPr>
                              <w:rPr>
                                <w:rFonts w:ascii="Times" w:hAnsi="Times"/>
                                <w:b/>
                                <w:sz w:val="26"/>
                                <w:szCs w:val="26"/>
                              </w:rPr>
                            </w:pPr>
                            <w:r w:rsidRPr="005D0933">
                              <w:rPr>
                                <w:rFonts w:ascii="Times" w:hAnsi="Times"/>
                                <w:b/>
                                <w:sz w:val="26"/>
                                <w:szCs w:val="2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459177" id="Text Box 47" o:spid="_x0000_s1049" type="#_x0000_t202" style="position:absolute;margin-left:-7.6pt;margin-top:-8.95pt;width:27pt;height:2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" filled="f" stroked="f">
                <v:textbox>
                  <w:txbxContent>
                    <w:p w14:paraId="6DFD24FD" w14:textId="77777777" w:rsidR="00804E6B" w:rsidRPr="005D0933" w:rsidRDefault="00804E6B" w:rsidP="00F7044C">
                      <w:pPr>
                        <w:rPr>
                          <w:rFonts w:ascii="Times" w:hAnsi="Times"/>
                          <w:b/>
                          <w:sz w:val="26"/>
                          <w:szCs w:val="26"/>
                        </w:rPr>
                      </w:pPr>
                      <w:r w:rsidRPr="005D0933">
                        <w:rPr>
                          <w:rFonts w:ascii="Times" w:hAnsi="Times"/>
                          <w:b/>
                          <w:sz w:val="26"/>
                          <w:szCs w:val="26"/>
                        </w:rPr>
                        <w:t>A</w:t>
                      </w:r>
                    </w:p>
                  </w:txbxContent>
                </v:textbox>
              </v:shape>
            </w:pict>
          </mc:Fallback>
        </mc:AlternateContent>
      </w:r>
      <w:r w:rsidRPr="00C421E4">
        <w:rPr>
          <w:noProof/>
        </w:rPr>
        <mc:AlternateContent>
          <mc:Choice Requires="wps">
            <w:drawing>
              <wp:anchor distT="0" distB="0" distL="114300" distR="114300" simplePos="0" relativeHeight="251663360" behindDoc="1" locked="0" layoutInCell="1" allowOverlap="1" wp14:anchorId="4DC9DC7F" wp14:editId="541CD565">
                <wp:simplePos x="0" y="0"/>
                <wp:positionH relativeFrom="column">
                  <wp:posOffset>800100</wp:posOffset>
                </wp:positionH>
                <wp:positionV relativeFrom="paragraph">
                  <wp:posOffset>-228600</wp:posOffset>
                </wp:positionV>
                <wp:extent cx="3429000" cy="228600"/>
                <wp:effectExtent l="0" t="0" r="0" b="0"/>
                <wp:wrapNone/>
                <wp:docPr id="48" name="Text Box 48"/>
                <wp:cNvGraphicFramePr/>
                <a:graphic xmlns:a="http://schemas.openxmlformats.org/drawingml/2006/main">
                  <a:graphicData uri="http://schemas.microsoft.com/office/word/2010/wordprocessingShape">
                    <wps:wsp>
                      <wps:cNvSpPr txBox="1"/>
                      <wps:spPr>
                        <a:xfrm>
                          <a:off x="0" y="0"/>
                          <a:ext cx="34290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4B8C645" w14:textId="77777777" w:rsidR="00804E6B" w:rsidRPr="001133D5" w:rsidRDefault="00804E6B" w:rsidP="00F7044C">
                            <w:pPr>
                              <w:rPr>
                                <w:rFonts w:ascii="Times" w:hAnsi="Times"/>
                                <w:b/>
                                <w:sz w:val="20"/>
                                <w:szCs w:val="20"/>
                              </w:rPr>
                            </w:pPr>
                            <w:r w:rsidRPr="001133D5">
                              <w:rPr>
                                <w:rFonts w:ascii="Times" w:hAnsi="Times"/>
                                <w:b/>
                                <w:sz w:val="20"/>
                                <w:szCs w:val="20"/>
                              </w:rPr>
                              <w:t>N</w:t>
                            </w:r>
                            <w:r>
                              <w:rPr>
                                <w:rFonts w:ascii="Times" w:hAnsi="Times"/>
                                <w:b/>
                                <w:sz w:val="20"/>
                                <w:szCs w:val="20"/>
                              </w:rPr>
                              <w:t xml:space="preserve">eutral </w:t>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sidRPr="001133D5">
                              <w:rPr>
                                <w:rFonts w:ascii="Times" w:hAnsi="Times"/>
                                <w:b/>
                                <w:sz w:val="20"/>
                                <w:szCs w:val="20"/>
                              </w:rPr>
                              <w:t>Negative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DC9DC7F" id="Text Box 48" o:spid="_x0000_s1050" type="#_x0000_t202" style="position:absolute;margin-left:63pt;margin-top:-17.95pt;width:270pt;height:1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" filled="f" stroked="f">
                <v:textbox>
                  <w:txbxContent>
                    <w:p w14:paraId="24B8C645" w14:textId="77777777" w:rsidR="00804E6B" w:rsidRPr="001133D5" w:rsidRDefault="00804E6B" w:rsidP="00F7044C">
                      <w:pPr>
                        <w:rPr>
                          <w:rFonts w:ascii="Times" w:hAnsi="Times"/>
                          <w:b/>
                          <w:sz w:val="20"/>
                          <w:szCs w:val="20"/>
                        </w:rPr>
                      </w:pPr>
                      <w:r w:rsidRPr="001133D5">
                        <w:rPr>
                          <w:rFonts w:ascii="Times" w:hAnsi="Times"/>
                          <w:b/>
                          <w:sz w:val="20"/>
                          <w:szCs w:val="20"/>
                        </w:rPr>
                        <w:t>N</w:t>
                      </w:r>
                      <w:r>
                        <w:rPr>
                          <w:rFonts w:ascii="Times" w:hAnsi="Times"/>
                          <w:b/>
                          <w:sz w:val="20"/>
                          <w:szCs w:val="20"/>
                        </w:rPr>
                        <w:t xml:space="preserve">eutral </w:t>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sidRPr="001133D5">
                        <w:rPr>
                          <w:rFonts w:ascii="Times" w:hAnsi="Times"/>
                          <w:b/>
                          <w:sz w:val="20"/>
                          <w:szCs w:val="20"/>
                        </w:rPr>
                        <w:t>Negative</w:t>
                      </w:r>
                    </w:p>
                  </w:txbxContent>
                </v:textbox>
              </v:shape>
            </w:pict>
          </mc:Fallback>
        </mc:AlternateContent>
      </w:r>
      <w:r w:rsidRPr="00C421E4">
        <w:rPr>
          <w:noProof/>
        </w:rPr>
        <w:drawing>
          <wp:inline distT="0" distB="0" distL="0" distR="0" wp14:anchorId="713354B0" wp14:editId="5944CB56">
            <wp:extent cx="2438400" cy="1828800"/>
            <wp:effectExtent l="0" t="0" r="0" b="0"/>
            <wp:docPr id="55" name="Chart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C421E4">
        <w:rPr>
          <w:noProof/>
        </w:rPr>
        <w:drawing>
          <wp:inline distT="0" distB="0" distL="0" distR="0" wp14:anchorId="3F39958F" wp14:editId="1F2B5755">
            <wp:extent cx="2438400" cy="1828800"/>
            <wp:effectExtent l="0" t="0" r="0" b="0"/>
            <wp:docPr id="56" name="Chart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575BDD4" w14:textId="77777777" w:rsidR="00F7044C" w:rsidRPr="00C421E4" w:rsidRDefault="00F7044C" w:rsidP="00F7044C">
      <w:pPr>
        <w:rPr>
          <w:rFonts w:ascii="Times" w:hAnsi="Times"/>
        </w:rPr>
      </w:pPr>
      <w:r w:rsidRPr="00C421E4">
        <w:rPr>
          <w:noProof/>
        </w:rPr>
        <mc:AlternateContent>
          <mc:Choice Requires="wps">
            <w:drawing>
              <wp:anchor distT="0" distB="0" distL="114300" distR="114300" simplePos="0" relativeHeight="251666432" behindDoc="0" locked="0" layoutInCell="1" allowOverlap="1" wp14:anchorId="5CC21D30" wp14:editId="1DE694F4">
                <wp:simplePos x="0" y="0"/>
                <wp:positionH relativeFrom="column">
                  <wp:posOffset>-139065</wp:posOffset>
                </wp:positionH>
                <wp:positionV relativeFrom="paragraph">
                  <wp:posOffset>1714500</wp:posOffset>
                </wp:positionV>
                <wp:extent cx="342900" cy="342900"/>
                <wp:effectExtent l="0" t="0" r="0" b="12700"/>
                <wp:wrapNone/>
                <wp:docPr id="50" name="Text Box 50"/>
                <wp:cNvGraphicFramePr/>
                <a:graphic xmlns:a="http://schemas.openxmlformats.org/drawingml/2006/main">
                  <a:graphicData uri="http://schemas.microsoft.com/office/word/2010/wordprocessingShape">
                    <wps:wsp>
                      <wps:cNvSpPr txBox="1"/>
                      <wps:spPr>
                        <a:xfrm>
                          <a:off x="0" y="0"/>
                          <a:ext cx="3429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9B90196" w14:textId="77777777" w:rsidR="00804E6B" w:rsidRPr="005D0933" w:rsidRDefault="00804E6B" w:rsidP="00F7044C">
                            <w:pPr>
                              <w:rPr>
                                <w:rFonts w:ascii="Times" w:hAnsi="Times"/>
                                <w:b/>
                                <w:sz w:val="26"/>
                                <w:szCs w:val="26"/>
                              </w:rPr>
                            </w:pPr>
                            <w:r w:rsidRPr="005D0933">
                              <w:rPr>
                                <w:rFonts w:ascii="Times" w:hAnsi="Times"/>
                                <w:b/>
                                <w:sz w:val="26"/>
                                <w:szCs w:val="2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C21D30" id="Text Box 50" o:spid="_x0000_s1051" type="#_x0000_t202" style="position:absolute;margin-left:-10.95pt;margin-top:135pt;width:27pt;height:27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" filled="f" stroked="f">
                <v:textbox>
                  <w:txbxContent>
                    <w:p w14:paraId="59B90196" w14:textId="77777777" w:rsidR="00804E6B" w:rsidRPr="005D0933" w:rsidRDefault="00804E6B" w:rsidP="00F7044C">
                      <w:pPr>
                        <w:rPr>
                          <w:rFonts w:ascii="Times" w:hAnsi="Times"/>
                          <w:b/>
                          <w:sz w:val="26"/>
                          <w:szCs w:val="26"/>
                        </w:rPr>
                      </w:pPr>
                      <w:r w:rsidRPr="005D0933">
                        <w:rPr>
                          <w:rFonts w:ascii="Times" w:hAnsi="Times"/>
                          <w:b/>
                          <w:sz w:val="26"/>
                          <w:szCs w:val="26"/>
                        </w:rPr>
                        <w:t>C</w:t>
                      </w:r>
                    </w:p>
                  </w:txbxContent>
                </v:textbox>
              </v:shape>
            </w:pict>
          </mc:Fallback>
        </mc:AlternateContent>
      </w:r>
      <w:r w:rsidRPr="00C421E4">
        <w:rPr>
          <w:noProof/>
        </w:rPr>
        <mc:AlternateContent>
          <mc:Choice Requires="wps">
            <w:drawing>
              <wp:anchor distT="0" distB="0" distL="114300" distR="114300" simplePos="0" relativeHeight="251665408" behindDoc="0" locked="0" layoutInCell="1" allowOverlap="1" wp14:anchorId="31ED184D" wp14:editId="6FCA1CA2">
                <wp:simplePos x="0" y="0"/>
                <wp:positionH relativeFrom="column">
                  <wp:posOffset>-114300</wp:posOffset>
                </wp:positionH>
                <wp:positionV relativeFrom="paragraph">
                  <wp:posOffset>0</wp:posOffset>
                </wp:positionV>
                <wp:extent cx="342900" cy="228600"/>
                <wp:effectExtent l="0" t="0" r="0" b="0"/>
                <wp:wrapNone/>
                <wp:docPr id="51" name="Text Box 51"/>
                <wp:cNvGraphicFramePr/>
                <a:graphic xmlns:a="http://schemas.openxmlformats.org/drawingml/2006/main">
                  <a:graphicData uri="http://schemas.microsoft.com/office/word/2010/wordprocessingShape">
                    <wps:wsp>
                      <wps:cNvSpPr txBox="1"/>
                      <wps:spPr>
                        <a:xfrm>
                          <a:off x="0" y="0"/>
                          <a:ext cx="3429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DD2EB1F" w14:textId="77777777" w:rsidR="00804E6B" w:rsidRPr="005D0933" w:rsidRDefault="00804E6B" w:rsidP="00F7044C">
                            <w:pPr>
                              <w:rPr>
                                <w:rFonts w:ascii="Times" w:hAnsi="Times"/>
                                <w:b/>
                                <w:sz w:val="26"/>
                                <w:szCs w:val="26"/>
                              </w:rPr>
                            </w:pPr>
                            <w:r w:rsidRPr="005D0933">
                              <w:rPr>
                                <w:rFonts w:ascii="Times" w:hAnsi="Times"/>
                                <w:b/>
                                <w:sz w:val="26"/>
                                <w:szCs w:val="2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ED184D" id="Text Box 51" o:spid="_x0000_s1052" type="#_x0000_t202" style="position:absolute;margin-left:-9pt;margin-top:0;width:27pt;height:1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" filled="f" stroked="f">
                <v:textbox>
                  <w:txbxContent>
                    <w:p w14:paraId="7DD2EB1F" w14:textId="77777777" w:rsidR="00804E6B" w:rsidRPr="005D0933" w:rsidRDefault="00804E6B" w:rsidP="00F7044C">
                      <w:pPr>
                        <w:rPr>
                          <w:rFonts w:ascii="Times" w:hAnsi="Times"/>
                          <w:b/>
                          <w:sz w:val="26"/>
                          <w:szCs w:val="26"/>
                        </w:rPr>
                      </w:pPr>
                      <w:r w:rsidRPr="005D0933">
                        <w:rPr>
                          <w:rFonts w:ascii="Times" w:hAnsi="Times"/>
                          <w:b/>
                          <w:sz w:val="26"/>
                          <w:szCs w:val="26"/>
                        </w:rPr>
                        <w:t>B</w:t>
                      </w:r>
                    </w:p>
                  </w:txbxContent>
                </v:textbox>
              </v:shape>
            </w:pict>
          </mc:Fallback>
        </mc:AlternateContent>
      </w:r>
      <w:r w:rsidRPr="00C421E4">
        <w:rPr>
          <w:noProof/>
        </w:rPr>
        <w:drawing>
          <wp:inline distT="0" distB="0" distL="0" distR="0" wp14:anchorId="37B96AD0" wp14:editId="5F43800F">
            <wp:extent cx="2438400" cy="1828800"/>
            <wp:effectExtent l="0" t="0" r="0" b="0"/>
            <wp:docPr id="57" name="Chart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C421E4">
        <w:rPr>
          <w:noProof/>
        </w:rPr>
        <w:drawing>
          <wp:inline distT="0" distB="0" distL="0" distR="0" wp14:anchorId="3B9498C4" wp14:editId="4EB55E76">
            <wp:extent cx="2438400" cy="1828800"/>
            <wp:effectExtent l="0" t="0" r="0" b="0"/>
            <wp:docPr id="58" name="Chart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10041CA" w14:textId="77777777" w:rsidR="00F7044C" w:rsidRPr="00C421E4" w:rsidRDefault="00F7044C" w:rsidP="00F7044C">
      <w:pPr>
        <w:rPr>
          <w:rFonts w:ascii="Times" w:hAnsi="Times"/>
        </w:rPr>
      </w:pPr>
      <w:r w:rsidRPr="00C421E4">
        <w:rPr>
          <w:noProof/>
        </w:rPr>
        <w:drawing>
          <wp:inline distT="0" distB="0" distL="0" distR="0" wp14:anchorId="1EF5A4BE" wp14:editId="50BDD8A0">
            <wp:extent cx="2438400" cy="1828800"/>
            <wp:effectExtent l="0" t="0" r="0" b="0"/>
            <wp:docPr id="59" name="Chart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C421E4">
        <w:rPr>
          <w:noProof/>
        </w:rPr>
        <w:drawing>
          <wp:inline distT="0" distB="0" distL="0" distR="0" wp14:anchorId="1E2C5688" wp14:editId="2600622B">
            <wp:extent cx="2438400" cy="1828800"/>
            <wp:effectExtent l="0" t="0" r="0" b="0"/>
            <wp:docPr id="60" name="Chart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1E898B5" w14:textId="77777777" w:rsidR="00F7044C" w:rsidRPr="00C421E4" w:rsidRDefault="00F7044C" w:rsidP="00F7044C">
      <w:pPr>
        <w:rPr>
          <w:rFonts w:ascii="Times" w:hAnsi="Times"/>
        </w:rPr>
      </w:pPr>
    </w:p>
    <w:p w14:paraId="733725AD" w14:textId="77777777" w:rsidR="00F7044C" w:rsidRPr="00C421E4" w:rsidRDefault="00F7044C" w:rsidP="00F7044C">
      <w:pPr>
        <w:widowControl w:val="0"/>
        <w:autoSpaceDE w:val="0"/>
        <w:autoSpaceDN w:val="0"/>
        <w:adjustRightInd w:val="0"/>
        <w:spacing w:after="240" w:line="480" w:lineRule="auto"/>
        <w:rPr>
          <w:rFonts w:ascii="Times" w:hAnsi="Times"/>
        </w:rPr>
      </w:pPr>
      <w:r>
        <w:rPr>
          <w:rFonts w:ascii="Times" w:hAnsi="Times"/>
        </w:rPr>
        <w:t>Figure 2</w:t>
      </w:r>
      <w:r w:rsidRPr="00C421E4">
        <w:rPr>
          <w:rFonts w:ascii="Times" w:hAnsi="Times"/>
        </w:rPr>
        <w:t>: Emotional memory consolidation (Panel A: Corrected Recognition; Panel B: False Alarms; Panel C: Hit Rate) for neutral and negative stimuli. Marginal means (not raw values) are plotted.</w:t>
      </w:r>
    </w:p>
    <w:p w14:paraId="25AD5A75" w14:textId="77777777" w:rsidR="00F7044C" w:rsidRPr="00C421E4" w:rsidRDefault="00F7044C" w:rsidP="00F7044C">
      <w:pPr>
        <w:rPr>
          <w:rFonts w:ascii="Times" w:hAnsi="Times"/>
        </w:rPr>
      </w:pPr>
      <w:r w:rsidRPr="00C421E4">
        <w:rPr>
          <w:rFonts w:ascii="Times" w:hAnsi="Times"/>
        </w:rPr>
        <w:br w:type="page"/>
      </w:r>
    </w:p>
    <w:p w14:paraId="0673F0AE" w14:textId="77777777" w:rsidR="00F7044C" w:rsidRPr="00C421E4" w:rsidRDefault="00F7044C" w:rsidP="00F7044C">
      <w:pPr>
        <w:rPr>
          <w:noProof/>
        </w:rPr>
      </w:pPr>
      <w:r w:rsidRPr="00C421E4">
        <w:rPr>
          <w:noProof/>
        </w:rPr>
        <w:lastRenderedPageBreak/>
        <mc:AlternateContent>
          <mc:Choice Requires="wps">
            <w:drawing>
              <wp:anchor distT="0" distB="0" distL="114300" distR="114300" simplePos="0" relativeHeight="251662336" behindDoc="0" locked="0" layoutInCell="1" allowOverlap="1" wp14:anchorId="77C2DF63" wp14:editId="0A00DC05">
                <wp:simplePos x="0" y="0"/>
                <wp:positionH relativeFrom="column">
                  <wp:posOffset>1028700</wp:posOffset>
                </wp:positionH>
                <wp:positionV relativeFrom="paragraph">
                  <wp:posOffset>-228600</wp:posOffset>
                </wp:positionV>
                <wp:extent cx="3429000" cy="228600"/>
                <wp:effectExtent l="0" t="0" r="0" b="0"/>
                <wp:wrapSquare wrapText="bothSides"/>
                <wp:docPr id="52" name="Text Box 52"/>
                <wp:cNvGraphicFramePr/>
                <a:graphic xmlns:a="http://schemas.openxmlformats.org/drawingml/2006/main">
                  <a:graphicData uri="http://schemas.microsoft.com/office/word/2010/wordprocessingShape">
                    <wps:wsp>
                      <wps:cNvSpPr txBox="1"/>
                      <wps:spPr>
                        <a:xfrm>
                          <a:off x="0" y="0"/>
                          <a:ext cx="34290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81BE402" w14:textId="77777777" w:rsidR="00804E6B" w:rsidRPr="001133D5" w:rsidRDefault="00804E6B" w:rsidP="00F7044C">
                            <w:pPr>
                              <w:rPr>
                                <w:rFonts w:ascii="Times" w:hAnsi="Times"/>
                                <w:b/>
                                <w:sz w:val="20"/>
                                <w:szCs w:val="20"/>
                              </w:rPr>
                            </w:pPr>
                            <w:r w:rsidRPr="001133D5">
                              <w:rPr>
                                <w:rFonts w:ascii="Times" w:hAnsi="Times"/>
                                <w:b/>
                                <w:sz w:val="20"/>
                                <w:szCs w:val="20"/>
                              </w:rPr>
                              <w:t>N</w:t>
                            </w:r>
                            <w:r>
                              <w:rPr>
                                <w:rFonts w:ascii="Times" w:hAnsi="Times"/>
                                <w:b/>
                                <w:sz w:val="20"/>
                                <w:szCs w:val="20"/>
                              </w:rPr>
                              <w:t xml:space="preserve">eutral </w:t>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sidRPr="001133D5">
                              <w:rPr>
                                <w:rFonts w:ascii="Times" w:hAnsi="Times"/>
                                <w:b/>
                                <w:sz w:val="20"/>
                                <w:szCs w:val="20"/>
                              </w:rPr>
                              <w:t>Negative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7C2DF63" id="Text Box 52" o:spid="_x0000_s1053" type="#_x0000_t202" style="position:absolute;margin-left:81pt;margin-top:-17.95pt;width:270pt;height:18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" filled="f" stroked="f">
                <v:textbox>
                  <w:txbxContent>
                    <w:p w14:paraId="681BE402" w14:textId="77777777" w:rsidR="00804E6B" w:rsidRPr="001133D5" w:rsidRDefault="00804E6B" w:rsidP="00F7044C">
                      <w:pPr>
                        <w:rPr>
                          <w:rFonts w:ascii="Times" w:hAnsi="Times"/>
                          <w:b/>
                          <w:sz w:val="20"/>
                          <w:szCs w:val="20"/>
                        </w:rPr>
                      </w:pPr>
                      <w:r w:rsidRPr="001133D5">
                        <w:rPr>
                          <w:rFonts w:ascii="Times" w:hAnsi="Times"/>
                          <w:b/>
                          <w:sz w:val="20"/>
                          <w:szCs w:val="20"/>
                        </w:rPr>
                        <w:t>N</w:t>
                      </w:r>
                      <w:r>
                        <w:rPr>
                          <w:rFonts w:ascii="Times" w:hAnsi="Times"/>
                          <w:b/>
                          <w:sz w:val="20"/>
                          <w:szCs w:val="20"/>
                        </w:rPr>
                        <w:t xml:space="preserve">eutral </w:t>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Pr>
                          <w:rFonts w:ascii="Times" w:hAnsi="Times"/>
                          <w:b/>
                          <w:sz w:val="20"/>
                          <w:szCs w:val="20"/>
                        </w:rPr>
                        <w:tab/>
                      </w:r>
                      <w:r w:rsidRPr="001133D5">
                        <w:rPr>
                          <w:rFonts w:ascii="Times" w:hAnsi="Times"/>
                          <w:b/>
                          <w:sz w:val="20"/>
                          <w:szCs w:val="20"/>
                        </w:rPr>
                        <w:t>Negative</w:t>
                      </w:r>
                    </w:p>
                  </w:txbxContent>
                </v:textbox>
                <w10:wrap type="square"/>
              </v:shape>
            </w:pict>
          </mc:Fallback>
        </mc:AlternateContent>
      </w:r>
      <w:r w:rsidRPr="00C421E4">
        <w:rPr>
          <w:noProof/>
        </w:rPr>
        <w:drawing>
          <wp:inline distT="0" distB="0" distL="0" distR="0" wp14:anchorId="5E055374" wp14:editId="0D5F665B">
            <wp:extent cx="2438400" cy="1828800"/>
            <wp:effectExtent l="0" t="0" r="0" b="0"/>
            <wp:docPr id="61" name="Chart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C421E4">
        <w:rPr>
          <w:noProof/>
        </w:rPr>
        <w:t xml:space="preserve"> </w:t>
      </w:r>
      <w:r w:rsidRPr="00C421E4">
        <w:rPr>
          <w:noProof/>
        </w:rPr>
        <w:drawing>
          <wp:inline distT="0" distB="0" distL="0" distR="0" wp14:anchorId="1FE6630A" wp14:editId="64723007">
            <wp:extent cx="2438400" cy="1828800"/>
            <wp:effectExtent l="0" t="0" r="0" b="0"/>
            <wp:docPr id="62" name="Chart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8E50334" w14:textId="77777777" w:rsidR="00F7044C" w:rsidRPr="00C421E4" w:rsidRDefault="00F7044C" w:rsidP="00F7044C">
      <w:pPr>
        <w:rPr>
          <w:noProof/>
        </w:rPr>
      </w:pPr>
      <w:r w:rsidRPr="00C421E4">
        <w:rPr>
          <w:noProof/>
        </w:rPr>
        <w:drawing>
          <wp:inline distT="0" distB="0" distL="0" distR="0" wp14:anchorId="0BA95BA1" wp14:editId="7B2CF638">
            <wp:extent cx="2438400" cy="1828800"/>
            <wp:effectExtent l="0" t="0" r="0" b="0"/>
            <wp:docPr id="63" name="Chart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C421E4">
        <w:rPr>
          <w:noProof/>
        </w:rPr>
        <w:t xml:space="preserve"> </w:t>
      </w:r>
      <w:r w:rsidRPr="00C421E4">
        <w:rPr>
          <w:noProof/>
        </w:rPr>
        <w:drawing>
          <wp:inline distT="0" distB="0" distL="0" distR="0" wp14:anchorId="06EEAE2B" wp14:editId="0D9C69C9">
            <wp:extent cx="2438400" cy="1828800"/>
            <wp:effectExtent l="0" t="0" r="0" b="0"/>
            <wp:docPr id="64" name="Chart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4B89A02" w14:textId="77777777" w:rsidR="00F7044C" w:rsidRPr="00C421E4" w:rsidRDefault="00F7044C" w:rsidP="00F7044C">
      <w:pPr>
        <w:rPr>
          <w:noProof/>
        </w:rPr>
      </w:pPr>
    </w:p>
    <w:p w14:paraId="68F940CD" w14:textId="77777777" w:rsidR="00F7044C" w:rsidRPr="00C421E4" w:rsidRDefault="00F7044C" w:rsidP="00F7044C">
      <w:pPr>
        <w:widowControl w:val="0"/>
        <w:autoSpaceDE w:val="0"/>
        <w:autoSpaceDN w:val="0"/>
        <w:adjustRightInd w:val="0"/>
        <w:spacing w:after="240" w:line="480" w:lineRule="auto"/>
        <w:rPr>
          <w:rFonts w:ascii="Times" w:hAnsi="Times"/>
        </w:rPr>
      </w:pPr>
      <w:r>
        <w:rPr>
          <w:rFonts w:ascii="Times" w:hAnsi="Times"/>
        </w:rPr>
        <w:t>Figure 3</w:t>
      </w:r>
      <w:r w:rsidRPr="00C421E4">
        <w:rPr>
          <w:rFonts w:ascii="Times" w:hAnsi="Times"/>
        </w:rPr>
        <w:t>: Change in valence and arousal for neutral and negative stimuli (Panel A: ΔValence; Panel B: ΔArousal). Marginal means (not raw values) are plotted.</w:t>
      </w:r>
    </w:p>
    <w:p w14:paraId="3D37DEE6" w14:textId="77777777" w:rsidR="00F7044C" w:rsidRPr="00C421E4" w:rsidRDefault="00F7044C" w:rsidP="00F7044C">
      <w:pPr>
        <w:widowControl w:val="0"/>
        <w:autoSpaceDE w:val="0"/>
        <w:autoSpaceDN w:val="0"/>
        <w:adjustRightInd w:val="0"/>
        <w:spacing w:after="240"/>
        <w:rPr>
          <w:rFonts w:ascii="Times" w:hAnsi="Times"/>
        </w:rPr>
      </w:pPr>
    </w:p>
    <w:p w14:paraId="236F0302" w14:textId="77777777" w:rsidR="00F7044C" w:rsidRPr="00C421E4" w:rsidRDefault="00F7044C" w:rsidP="00F7044C">
      <w:pPr>
        <w:rPr>
          <w:rFonts w:ascii="Times" w:hAnsi="Times"/>
        </w:rPr>
      </w:pPr>
      <w:r w:rsidRPr="00C421E4">
        <w:rPr>
          <w:rFonts w:ascii="Times" w:hAnsi="Times"/>
        </w:rPr>
        <w:br w:type="page"/>
      </w:r>
    </w:p>
    <w:p w14:paraId="74D33B51" w14:textId="77777777" w:rsidR="00F7044C" w:rsidRDefault="00F7044C" w:rsidP="00F7044C">
      <w:pPr>
        <w:spacing w:line="480" w:lineRule="auto"/>
        <w:jc w:val="center"/>
        <w:outlineLvl w:val="0"/>
        <w:rPr>
          <w:rFonts w:ascii="Times" w:hAnsi="Times"/>
          <w:b/>
        </w:rPr>
      </w:pPr>
      <w:r>
        <w:rPr>
          <w:rFonts w:ascii="Times" w:hAnsi="Times"/>
          <w:b/>
        </w:rPr>
        <w:lastRenderedPageBreak/>
        <w:t>CHAPTER</w:t>
      </w:r>
      <w:r w:rsidRPr="00C421E4">
        <w:rPr>
          <w:rFonts w:ascii="Times" w:hAnsi="Times"/>
          <w:b/>
        </w:rPr>
        <w:t xml:space="preserve"> 4</w:t>
      </w:r>
    </w:p>
    <w:p w14:paraId="6697793A" w14:textId="77777777" w:rsidR="00F7044C" w:rsidRPr="00C421E4" w:rsidRDefault="00F7044C" w:rsidP="00F7044C">
      <w:pPr>
        <w:spacing w:line="480" w:lineRule="auto"/>
        <w:jc w:val="center"/>
        <w:outlineLvl w:val="0"/>
        <w:rPr>
          <w:rFonts w:ascii="Times" w:hAnsi="Times"/>
          <w:b/>
        </w:rPr>
      </w:pPr>
      <w:r>
        <w:rPr>
          <w:rFonts w:ascii="Times" w:hAnsi="Times"/>
          <w:b/>
        </w:rPr>
        <w:t>EMOTION HABITUATION IN CHRONIC MILD TRAUMATIC BRAIN INJURY</w:t>
      </w:r>
    </w:p>
    <w:p w14:paraId="5C128800" w14:textId="77777777" w:rsidR="00F7044C" w:rsidRPr="00C421E4" w:rsidRDefault="00F7044C" w:rsidP="00F7044C">
      <w:pPr>
        <w:spacing w:line="480" w:lineRule="auto"/>
        <w:jc w:val="center"/>
        <w:rPr>
          <w:rFonts w:ascii="Times" w:hAnsi="Times"/>
          <w:i/>
        </w:rPr>
      </w:pPr>
    </w:p>
    <w:p w14:paraId="4DF85159" w14:textId="77777777" w:rsidR="00F7044C" w:rsidRPr="006334A2" w:rsidRDefault="00F7044C" w:rsidP="00F7044C">
      <w:pPr>
        <w:spacing w:line="480" w:lineRule="auto"/>
        <w:jc w:val="center"/>
        <w:outlineLvl w:val="0"/>
        <w:rPr>
          <w:rFonts w:ascii="Times" w:hAnsi="Times"/>
          <w:b/>
          <w:u w:val="single"/>
        </w:rPr>
      </w:pPr>
      <w:r w:rsidRPr="006334A2">
        <w:rPr>
          <w:rFonts w:ascii="Times" w:hAnsi="Times"/>
          <w:b/>
          <w:u w:val="single"/>
        </w:rPr>
        <w:t>A. Introduction</w:t>
      </w:r>
    </w:p>
    <w:p w14:paraId="4A55AC02" w14:textId="77777777" w:rsidR="00F7044C" w:rsidRPr="00C421E4" w:rsidRDefault="00F7044C" w:rsidP="00F7044C">
      <w:pPr>
        <w:spacing w:line="480" w:lineRule="auto"/>
        <w:rPr>
          <w:rFonts w:ascii="Times" w:hAnsi="Times"/>
        </w:rPr>
      </w:pPr>
      <w:r w:rsidRPr="00C421E4">
        <w:rPr>
          <w:rFonts w:ascii="Times" w:hAnsi="Times"/>
        </w:rPr>
        <w:t xml:space="preserve">A traumatic brain injury (TBI) is any change in mental status due to a blunt or penetrating force </w:t>
      </w:r>
      <w:r w:rsidRPr="00C421E4">
        <w:rPr>
          <w:rFonts w:ascii="Times" w:hAnsi="Times"/>
        </w:rPr>
        <w:fldChar w:fldCharType="begin" w:fldLock="1"/>
      </w:r>
      <w:r w:rsidRPr="00C421E4">
        <w:rPr>
          <w:rFonts w:ascii="Times" w:hAnsi="Times"/>
        </w:rPr>
        <w:instrText xml:space="preserve"> ADDIN ZOTERO_ITEM CSL_CITATION {"citationID":"m5tgahqS","properties":{"formattedCitation":"(Silver et al., 2005)","plainCitation":"(Silver et al., 2005)"},"citationItems":[{"id":"ITEM-1","uris":["http://www.mendeley.com/documents/?uuid=96242a45-918e-449e-b606-cc54458e7238"],"uri":["http://www.mendeley.com/documents/?uuid=96242a45-918e-449e-b606-cc54458e7238"],"itemData":{"DOI":"10.1001/jama.293.17.2161-a","ISBN":"1585621056","ISSN":"00987484","abstract":"Extensively updated and expanded by recognized experts, this comprehensive textbook contains 40 chapters, including 15 new for this, and more than 100 informative figures and illustrations. New chapters address structural and functional imaging, electrophysiologic techniques, neuropsychological assessment, social issues, systems of care, and treatment modalities, including alternative therapies. Expanded chapters discuss the multiple neuropsychiatric sequelae but not encompassed by the usual psychiatric syndromes, including apathy, reduced awareness of deficits, fatigue, pain, headaches, balance problems, visual difficulties, and sports injuries.","author":[{"dropping-particle":"","family":"Silver","given":"Jonathan M","non-dropping-particle":"","parse-names":false,"suffix":""},{"dropping-particle":"","family":"McAllister","given":"Thomas W","non-dropping-particle":"","parse-names":false,"suffix":""},{"dropping-particle":"","family":"Yudofsky","given":"Stuart C","non-dropping-particle":"","parse-names":false,"suffix":""}],"container-title":"Jama The Journal Of The American Medical Association","id":"ITEM-1","issued":{"date-parts":[["2005"]]},"number-of-pages":"771","title":"Textbook of traumatic brain injury","type":"book","volume":"293"}}],"schema":"https://github.com/citation-style-language/schema/raw/master/csl-citation.json"} </w:instrText>
      </w:r>
      <w:r w:rsidRPr="00C421E4">
        <w:rPr>
          <w:rFonts w:ascii="Times" w:hAnsi="Times"/>
        </w:rPr>
        <w:fldChar w:fldCharType="separate"/>
      </w:r>
      <w:r w:rsidRPr="00C421E4">
        <w:rPr>
          <w:rFonts w:ascii="Times" w:hAnsi="Times"/>
          <w:noProof/>
        </w:rPr>
        <w:t>(Silver et al., 2005)</w:t>
      </w:r>
      <w:r w:rsidRPr="00C421E4">
        <w:rPr>
          <w:rFonts w:ascii="Times" w:hAnsi="Times"/>
        </w:rPr>
        <w:fldChar w:fldCharType="end"/>
      </w:r>
      <w:r w:rsidRPr="00C421E4">
        <w:rPr>
          <w:rFonts w:ascii="Times" w:hAnsi="Times"/>
        </w:rPr>
        <w:t xml:space="preserve">. In 2003, the Centers for Disease Control and Prevention (CDC) presented a report to the US Congress stating that mTBI is a “silent epidemic,” the prevalence and severity of which are underestimated </w:t>
      </w:r>
      <w:r w:rsidRPr="00C421E4">
        <w:rPr>
          <w:rFonts w:ascii="Times" w:hAnsi="Times"/>
        </w:rPr>
        <w:fldChar w:fldCharType="begin" w:fldLock="1"/>
      </w:r>
      <w:r w:rsidRPr="00C421E4">
        <w:rPr>
          <w:rFonts w:ascii="Times" w:hAnsi="Times"/>
        </w:rPr>
        <w:instrText xml:space="preserve"> ADDIN ZOTERO_ITEM CSL_CITATION {"citationID":"APan7PfP","properties":{"formattedCitation":"(Gerberding JL, 2003)","plainCitation":"(Gerberding JL, 2003)"},"citationItems":[{"id":"ITEM-1","uris":["http://www.mendeley.com/documents/?uuid=9e6039d0-2ea5-4395-8873-e40bc1adcdbe"],"uri":["http://www.mendeley.com/documents/?uuid=9e6039d0-2ea5-4395-8873-e40bc1adcdbe"],"itemData":{"abstract":"According to existing data, more than 1.5 million people experience a traumatic brain injury (TBI) each year in the United States. Of them, as many as 75 percent sustain a mild traumatic brain injury—or MTBI. These injuries may cause long-term or permanent impairments and disabilities. Many people with MTBI have difficulty returning to rou- tine, daily activities and may be unable to return to work for many weeks or months. In addition to the human toll of these injuries, MTBI costs the nation nearly $17 billion each year. These data, however, likely underestimate the problem of MTBI in this country—for several reasons. First, no standard definitions exist for MTBI and MTBI-related impair- ments and disabilities. The existing Centers for Disease Control and Prevention (CDC) definition for TBI surveillance is designed to identify cases of TBI that result in hospital- ization, which tend to be more severe. MTBI is most often treated in emergency depart- ments or in non-hospital medical settings, or it is not treated at all. Few states conduct emergency department-based surveillance, and current efforts do not capture data about persons with MTBI who receive no medical treatment. Additionally, neither hospital- nor emergency department-based data can provide estimates of the long-term consequences of MTBI. In response to concerns about this public health problem, Congress passed the Children’s Health Act of 2000, which required CDC to determine how best to measure the incidence (i.e., rate at which new cases of MTBI occur) and the prevalence (i.e., proportion of the U.S. population at any given time that is experiencing the effects) of MTBI and to report the findings to Congress. To that end, CDC formed the Mild Traumatic Brain Injury Work Group to determine appropriate and feasible methods for assessing the incidence and prevalence of MTBI in the United States.","author":[{"dropping-particle":"","family":"Gerberding JL","given":"Binder S.","non-dropping-particle":"","parse-names":false,"suffix":""}],"container-title":"Centers for Disease Control and Prevention","id":"ITEM-1","issue":"September","issued":{"date-parts":[["2003"]]},"page":"9-11","title":"Report to Congress on Mild Traumatic Brain Injury in the United States: Steps to prevent a serious public health problem","type":"article-journal"}}],"schema":"https://github.com/citation-style-language/schema/raw/master/csl-citation.json"} </w:instrText>
      </w:r>
      <w:r w:rsidRPr="00C421E4">
        <w:rPr>
          <w:rFonts w:ascii="Times" w:hAnsi="Times"/>
        </w:rPr>
        <w:fldChar w:fldCharType="separate"/>
      </w:r>
      <w:r w:rsidRPr="00C421E4">
        <w:rPr>
          <w:rFonts w:ascii="Times" w:hAnsi="Times"/>
          <w:noProof/>
        </w:rPr>
        <w:t>(Gerberding, 2003)</w:t>
      </w:r>
      <w:r w:rsidRPr="00C421E4">
        <w:rPr>
          <w:rFonts w:ascii="Times" w:hAnsi="Times"/>
        </w:rPr>
        <w:fldChar w:fldCharType="end"/>
      </w:r>
      <w:r w:rsidRPr="00C421E4">
        <w:rPr>
          <w:rFonts w:ascii="Times" w:hAnsi="Times"/>
        </w:rPr>
        <w:t xml:space="preserve">. The report calls for an increase in research to identify and evaluate the long-lasting sequelae of mTBI, which hinder quality of life and well-being </w:t>
      </w:r>
      <w:r w:rsidRPr="00C421E4">
        <w:rPr>
          <w:rFonts w:ascii="Times" w:hAnsi="Times"/>
        </w:rPr>
        <w:fldChar w:fldCharType="begin" w:fldLock="1"/>
      </w:r>
      <w:r w:rsidRPr="00C421E4">
        <w:rPr>
          <w:rFonts w:ascii="Times" w:hAnsi="Times"/>
        </w:rPr>
        <w:instrText xml:space="preserve"> ADDIN ZOTERO_ITEM CSL_CITATION {"citationID":"RmtROJVB","properties":{"formattedCitation":"(Vanderploeg et al., 2007)","plainCitation":"(Vanderploeg et al., 2007)"},"citationItems":[{"id":"ITEM-1","uris":["http://www.mendeley.com/documents/?uuid=e2368a35-e807-4d04-aff5-b68d312cd10a"],"uri":["http://www.mendeley.com/documents/?uuid=e2368a35-e807-4d04-aff5-b68d312cd10a"],"itemData":{"DOI":"10.1080/13803390600826587","ISBN":"1380-3395","ISSN":"1380-3395","PMID":"17691031","abstract":"The objective of this study was to examine the prevalence of long-term psychiatric, neurologic, and psychosocial morbidities of self-reported mild traumatic brain injury (MTBI). A cross-sectional cohort sample of three groups was examined: those who had not been injured in a motor vehicle accident nor had a MTBI (n = 3,214); those who had been injured in an accident but did not have a MTBI (n = 539); and those who had a MTBI with altered consciousness (n = 254). Logistic regression analyses were used to model odds ratios for the association between group and outcome variables while controlling demographic characteristics, comorbid medical conditions, and early-life psychiatric problems. Compared with uninjured controls, MTBI increased the likelihood of depression and postconcussion syndrome. MTBI also was associated with peripheral visual imperceptions and impaired tandem gait. Similarly, the MTBI group had poorer psychosocial outcomes including an increased likelihood of self-reported disability, underemployment, low income, and marital problems. Results suggest that MTBI can have adverse long-term psychiatric, neurologic, and psychosocial morbidities.","author":[{"dropping-particle":"","family":"Vanderploeg","given":"Rodney D","non-dropping-particle":"","parse-names":false,"suffix":""},{"dropping-particle":"","family":"Curtiss","given":"Glenn","non-dropping-particle":"","parse-names":false,"suffix":""},{"dropping-particle":"","family":"Luis","given":"Cheryl a","non-dropping-particle":"","parse-names":false,"suffix":""},{"dropping-particle":"","family":"Salazar","given":"Andres M","non-dropping-particle":"","parse-names":false,"suffix":""}],"container-title":"Journal of clinical and experimental neuropsychology","id":"ITEM-1","issue":"6","issued":{"date-parts":[["2007"]]},"page":"585-98","title":"Long-term morbidities following self-reported mild traumatic brain injury.","type":"article-journal","volume":"29"}}],"schema":"https://github.com/citation-style-language/schema/raw/master/csl-citation.json"} </w:instrText>
      </w:r>
      <w:r w:rsidRPr="00C421E4">
        <w:rPr>
          <w:rFonts w:ascii="Times" w:hAnsi="Times"/>
        </w:rPr>
        <w:fldChar w:fldCharType="separate"/>
      </w:r>
      <w:r w:rsidRPr="00C421E4">
        <w:rPr>
          <w:rFonts w:ascii="Times" w:hAnsi="Times"/>
          <w:noProof/>
        </w:rPr>
        <w:t>(Vanderploeg et al., 2007)</w:t>
      </w:r>
      <w:r w:rsidRPr="00C421E4">
        <w:rPr>
          <w:rFonts w:ascii="Times" w:hAnsi="Times"/>
        </w:rPr>
        <w:fldChar w:fldCharType="end"/>
      </w:r>
      <w:r w:rsidRPr="00C421E4">
        <w:rPr>
          <w:rFonts w:ascii="Times" w:hAnsi="Times"/>
        </w:rPr>
        <w:t xml:space="preserve">. </w:t>
      </w:r>
    </w:p>
    <w:p w14:paraId="53B4990C" w14:textId="77777777" w:rsidR="00F7044C" w:rsidRPr="00C421E4" w:rsidRDefault="00F7044C" w:rsidP="00F7044C">
      <w:pPr>
        <w:spacing w:line="480" w:lineRule="auto"/>
        <w:rPr>
          <w:rFonts w:ascii="Times" w:hAnsi="Times"/>
        </w:rPr>
      </w:pPr>
    </w:p>
    <w:p w14:paraId="526056C5" w14:textId="77777777" w:rsidR="00F7044C" w:rsidRPr="006334A2" w:rsidRDefault="00F7044C" w:rsidP="00F7044C">
      <w:pPr>
        <w:spacing w:line="480" w:lineRule="auto"/>
        <w:jc w:val="center"/>
        <w:outlineLvl w:val="0"/>
        <w:rPr>
          <w:rFonts w:ascii="Times" w:hAnsi="Times"/>
          <w:b/>
        </w:rPr>
      </w:pPr>
      <w:r>
        <w:rPr>
          <w:rFonts w:ascii="Times" w:hAnsi="Times"/>
          <w:b/>
        </w:rPr>
        <w:t xml:space="preserve">1. </w:t>
      </w:r>
      <w:r w:rsidRPr="006334A2">
        <w:rPr>
          <w:rFonts w:ascii="Times" w:hAnsi="Times"/>
          <w:b/>
        </w:rPr>
        <w:t>Mood Disturbances and mTBI</w:t>
      </w:r>
    </w:p>
    <w:p w14:paraId="54EDB59B" w14:textId="77777777" w:rsidR="00F7044C" w:rsidRPr="00C421E4" w:rsidRDefault="00F7044C" w:rsidP="00F7044C">
      <w:pPr>
        <w:spacing w:line="480" w:lineRule="auto"/>
        <w:rPr>
          <w:rFonts w:ascii="Times" w:hAnsi="Times"/>
        </w:rPr>
      </w:pPr>
      <w:r w:rsidRPr="00C421E4">
        <w:rPr>
          <w:rFonts w:ascii="Times" w:hAnsi="Times"/>
        </w:rPr>
        <w:t xml:space="preserve">One of the prominent long-term effects of mTBI is an increased risk for mood disturbances. Depressive symptoms are increased following an mTBI, even in the chronic stages (&gt;1 year since injury). For instance, a recent investigation found 30% of a chronic mTBI sample endorsed clinically relevant depressive symptoms (i.e., Center for Epidemiologic Studies Depression [CESD] Scale scores ≥16) 3-5 years after head injury </w:t>
      </w:r>
      <w:r w:rsidRPr="00C421E4">
        <w:rPr>
          <w:rFonts w:ascii="Times" w:hAnsi="Times"/>
        </w:rPr>
        <w:fldChar w:fldCharType="begin" w:fldLock="1"/>
      </w:r>
      <w:r w:rsidRPr="00C421E4">
        <w:rPr>
          <w:rFonts w:ascii="Times" w:hAnsi="Times"/>
        </w:rPr>
        <w:instrText xml:space="preserve"> ADDIN ZOTERO_ITEM CSL_CITATION {"citationID":"xkfX4iIz","properties":{"formattedCitation":"(Dikmen, Bombardier, MacHamer, Fann, &amp; Temkin, 2004)","plainCitation":"(Dikmen, Bombardier, MacHamer, Fann, &amp; Temkin, 2004)"},"citationItems":[{"id":"ITEM-1","uris":["http://www.mendeley.com/documents/?uuid=cdcd4807-81d8-40de-87de-8e992caf1095"],"uri":["http://www.mendeley.com/documents/?uuid=cdcd4807-81d8-40de-87de-8e992caf1095"],"itemData":{"DOI":"10.1016/j.apmr.2003.12.041","ISBN":"0003-9993","ISSN":"00039993","PMID":"15375816","abstract":"Dikmen SS, Bombardier CH, Machamer JE, Fann JR, Temkin NR. Natural history of depression in traumatic brain injury. Arch Phys Med Rehabil 2004;85:1457-64. Objective To examine prospectively the rates, risk factors, and phenomenology of depression over 3 to 5 years after traumatic brain injury (TBI). Design Inception cohort longitudinal study. Setting Level I trauma center. Participants Consecutive admissions of 283 adults with moderate to severe TBI. Interventions Not applicable. Main outcome measure Center for Epidemiologic Studies Depression (CES-D) Scale. Results The rates of moderate to severe depression ranged from 31% at 1 month to 17% at 3 to 5 years. With 1 exception, the relation between brain injury severity and depression was negligible. Less than high school education, preinjury unstable work history, and alcohol abuse predicted depression after injury. Examination of CES-D factors indicate that, in addition to somatic symptoms, both depressed affect and lack of positive affect contribute to elevated CES-D scores. Conclusions High rates of depressive symptoms cannot be dismissed on grounds that somatic symptoms related to brain injury are mistaken for depression. Depressed affect and lack of positive affect are also elevated in persons with TBI. Preinjury psychosocial factors are predictive of depression and knowing them should facilitate efforts to detect, prevent, and treat depression after TBI. © 2004 by the American Congress of Rehabilitation Medicine and the American Academy of Physical Medicine and Rehabilitation.","author":[{"dropping-particle":"","family":"Dikmen","given":"Sureyya S.","non-dropping-particle":"","parse-names":false,"suffix":""},{"dropping-particle":"","family":"Bombardier","given":"Charles H.","non-dropping-particle":"","parse-names":false,"suffix":""},{"dropping-particle":"","family":"MacHamer","given":"Joan E.","non-dropping-particle":"","parse-names":false,"suffix":""},{"dropping-particle":"","family":"Fann","given":"Jesse R.","non-dropping-particle":"","parse-names":false,"suffix":""},{"dropping-particle":"","family":"Temkin","given":"Nancy R.","non-dropping-particle":"","parse-names":false,"suffix":""}],"container-title":"Archives of Physical Medicine and Rehabilitation","id":"ITEM-1","issue":"9","issued":{"date-parts":[["2004"]]},"page":"1457-1464","title":"Natural history of depression in traumatic brain injury","type":"article-journal","volume":"85"}}],"schema":"https://github.com/citation-style-language/schema/raw/master/csl-citation.json"} </w:instrText>
      </w:r>
      <w:r w:rsidRPr="00C421E4">
        <w:rPr>
          <w:rFonts w:ascii="Times" w:hAnsi="Times"/>
        </w:rPr>
        <w:fldChar w:fldCharType="separate"/>
      </w:r>
      <w:r w:rsidRPr="00C421E4">
        <w:rPr>
          <w:rFonts w:ascii="Times" w:hAnsi="Times"/>
          <w:noProof/>
        </w:rPr>
        <w:t>(Dikmen, Bombardier, MacHamer, Fann, &amp; Temkin, 2004)</w:t>
      </w:r>
      <w:r w:rsidRPr="00C421E4">
        <w:rPr>
          <w:rFonts w:ascii="Times" w:hAnsi="Times"/>
        </w:rPr>
        <w:fldChar w:fldCharType="end"/>
      </w:r>
      <w:r w:rsidRPr="00C421E4">
        <w:rPr>
          <w:rFonts w:ascii="Times" w:hAnsi="Times"/>
        </w:rPr>
        <w:t xml:space="preserve">. Comparatively, about 17% of the general population has CESD scores in that range </w:t>
      </w:r>
      <w:r w:rsidRPr="00C421E4">
        <w:rPr>
          <w:rFonts w:ascii="Times" w:hAnsi="Times"/>
        </w:rPr>
        <w:fldChar w:fldCharType="begin" w:fldLock="1"/>
      </w:r>
      <w:r w:rsidRPr="00C421E4">
        <w:rPr>
          <w:rFonts w:ascii="Times" w:hAnsi="Times"/>
        </w:rPr>
        <w:instrText xml:space="preserve"> ADDIN ZOTERO_ITEM CSL_CITATION {"citationID":"l3iX6JWH","properties":{"formattedCitation":"(Comstock &amp; Helsing, 1976)","plainCitation":"(Comstock &amp; Helsing, 1976)"},"citationItems":[{"id":"ITEM-1","uris":["http://www.mendeley.com/documents/?uuid=0df213c2-ee97-4b55-b42d-2567213680dd"],"uri":["http://www.mendeley.com/documents/?uuid=0df213c2-ee97-4b55-b42d-2567213680dd"],"itemData":{"DOI":"10.1017/S0033291700018171","ISBN":"0033-2917 (Print)\\r0033-2917 (Linking)","ISSN":"0033-2917","PMID":"1005571","abstract":"Histories of depression-related symptoms were obtained from 3845 randomly selected adult residents of Kansas City, Missouri, and Washington County, Maryland. Depressed persons were slightly more common in Kansas City than in Washington County but within the latter area no urban-rural differences were observed. More depressed persons were found among blacks than among whites. Slightly more white females than males were depressed; no significant differences were found between black females and males. After adjustment for the effects of other independent variables, the probability of having symptoms of depression was highest among persons who were young adults, unmarried, not employed outside the home, poorly paid, and not well educated.","author":[{"dropping-particle":"","family":"Comstock","given":"G W","non-dropping-particle":"","parse-names":false,"suffix":""},{"dropping-particle":"","family":"Helsing","given":"K J","non-dropping-particle":"","parse-names":false,"suffix":""}],"container-title":"Psychol Med","id":"ITEM-1","issue":"4","issued":{"date-parts":[["1976"]]},"page":"551-63.","title":"Symptoms of depression in two communities","type":"article-journal","volume":"6"}}],"schema":"https://github.com/citation-style-language/schema/raw/master/csl-citation.json"} </w:instrText>
      </w:r>
      <w:r w:rsidRPr="00C421E4">
        <w:rPr>
          <w:rFonts w:ascii="Times" w:hAnsi="Times"/>
        </w:rPr>
        <w:fldChar w:fldCharType="separate"/>
      </w:r>
      <w:r w:rsidRPr="00C421E4">
        <w:rPr>
          <w:rFonts w:ascii="Times" w:hAnsi="Times"/>
          <w:noProof/>
        </w:rPr>
        <w:t>(Comstock &amp; Helsing, 1976)</w:t>
      </w:r>
      <w:r w:rsidRPr="00C421E4">
        <w:rPr>
          <w:rFonts w:ascii="Times" w:hAnsi="Times"/>
        </w:rPr>
        <w:fldChar w:fldCharType="end"/>
      </w:r>
      <w:r w:rsidRPr="00C421E4">
        <w:rPr>
          <w:rFonts w:ascii="Times" w:hAnsi="Times"/>
        </w:rPr>
        <w:t xml:space="preserve">. Similarly, six years after injury, subjects with no detectable brain damage had increased depressive symptoms (according to the Beck Depression Inventory) and an increased occurrence of depressive episodes (via the Structured Clinical Interview for the DSM) relative to controls </w:t>
      </w:r>
      <w:r w:rsidRPr="00C421E4">
        <w:rPr>
          <w:rFonts w:ascii="Times" w:hAnsi="Times"/>
        </w:rPr>
        <w:fldChar w:fldCharType="begin" w:fldLock="1"/>
      </w:r>
      <w:r w:rsidRPr="00C421E4">
        <w:rPr>
          <w:rFonts w:ascii="Times" w:hAnsi="Times"/>
        </w:rPr>
        <w:instrText xml:space="preserve"> ADDIN ZOTERO_ITEM CSL_CITATION {"citationID":"h6PMnXXM","properties":{"formattedCitation":"(Konrad et al., 2011)","plainCitation":"(Konrad et al., 2011)"},"citationItems":[{"id":"ITEM-1","uris":["http://www.mendeley.com/documents/?uuid=28f0f7e5-c429-4cea-9c8b-b629b0032703"],"uri":["http://www.mendeley.com/documents/?uuid=28f0f7e5-c429-4cea-9c8b-b629b0032703"],"itemData":{"DOI":"10.1017/S0033291710001728","ISBN":"1469-8978 (Electronic)\\r0033-2917 (Linking)","ISSN":"1469-8978","PMID":"20860865","abstract":"BACKGROUND: The objective of this study was to investigate long-term cognitive and emotional sequelae of mild traumatic brain injury (mTBI), as previous research has remained inconclusive with respect to their prevalence and extent.\\n\\nMETHOD: Thirty-three individuals who had sustained mTBI on average 6 years prior to the study and 33 healthy control subjects were matched according to age, gender and education. Structural brain damage at time of testing was excluded by magnetic resonance imaging (MRI). A comprehensive neuropsychological test battery was conducted to assess learning, recall, working memory, attention and executive function. Psychiatric symptoms were assessed by the Structured Clinical Interview for DSM-IV Axis I Disorders (SCID-I) and the Beck Depression Inventory (BDI). Possible negative response bias was ruled out by implementing the Word Memory Test (WMT).\\n\\nRESULTS: The mTBI individuals had significant impairments in all cognitive domains compared to the healthy control subjects. Effect sizes of cognitive deficits were medium to large, and could not be accounted for by self-perceived deficits, depression, compensation claims or negative response bias. BDI scores were significantly higher in the patient group, and three patients fulfilled DSM-IV criteria for a mild episode of major depression.\\n\\nCONCLUSIONS: Primarily, well-recovered individuals who had sustained a minor trauma more than half a decade ago continue to have long-term cognitive and emotional sequelae relevant for everyday social and professional life. mTBI may lead to a lasting disruption of neurofunctional circuits not detectable by standard structural MRI and needs to be taken seriously in clinical and forensic evaluations.","author":[{"dropping-particle":"","family":"Konrad","given":"C.","non-dropping-particle":"","parse-names":false,"suffix":""},{"dropping-particle":"","family":"Geburek","given":"a. J.","non-dropping-particle":"","parse-names":false,"suffix":""},{"dropping-particle":"","family":"Rist","given":"F.","non-dropping-particle":"","parse-names":false,"suffix":""},{"dropping-particle":"","family":"Blumenroth","given":"H.","non-dropping-particle":"","parse-names":false,"suffix":""},{"dropping-particle":"","family":"Fischer","given":"B.","non-dropping-particle":"","parse-names":false,"suffix":""},{"dropping-particle":"","family":"Husstedt","given":"I.","non-dropping-particle":"","parse-names":false,"suffix":""},{"dropping-particle":"","family":"Arolt","given":"V.","non-dropping-particle":"","parse-names":false,"suffix":""},{"dropping-particle":"","family":"Schiffbauer","given":"H.","non-dropping-particle":"","parse-names":false,"suffix":""},{"dropping-particle":"","family":"Lohmann","given":"H.","non-dropping-particle":"","parse-names":false,"suffix":""}],"container-title":"Psychological medicine","id":"ITEM-1","issue":"6","issued":{"date-parts":[["2011"]]},"page":"1197-1211","title":"Long-term cognitive and emotional consequences of mild traumatic brain injury.","type":"article-journal","volume":"41"}}],"schema":"https://github.com/citation-style-language/schema/raw/master/csl-citation.json"} </w:instrText>
      </w:r>
      <w:r w:rsidRPr="00C421E4">
        <w:rPr>
          <w:rFonts w:ascii="Times" w:hAnsi="Times"/>
        </w:rPr>
        <w:fldChar w:fldCharType="separate"/>
      </w:r>
      <w:r w:rsidRPr="00C421E4">
        <w:rPr>
          <w:rFonts w:ascii="Times" w:hAnsi="Times"/>
          <w:noProof/>
        </w:rPr>
        <w:t>(Konrad et al., 2011)</w:t>
      </w:r>
      <w:r w:rsidRPr="00C421E4">
        <w:rPr>
          <w:rFonts w:ascii="Times" w:hAnsi="Times"/>
        </w:rPr>
        <w:fldChar w:fldCharType="end"/>
      </w:r>
      <w:r w:rsidRPr="00C421E4">
        <w:rPr>
          <w:rFonts w:ascii="Times" w:hAnsi="Times"/>
        </w:rPr>
        <w:t xml:space="preserve">. These individuals also had elevated levels of </w:t>
      </w:r>
      <w:r w:rsidRPr="00C421E4">
        <w:rPr>
          <w:rFonts w:ascii="Times" w:hAnsi="Times"/>
        </w:rPr>
        <w:lastRenderedPageBreak/>
        <w:t xml:space="preserve">anxiety, which is highly co-morbid with depression. Finally, a recent large cohort study (&gt;68,000 individuals) found risk for major depression incidence is increased by 1.4 times 6 years after brain injury </w:t>
      </w:r>
      <w:r w:rsidRPr="00C421E4">
        <w:rPr>
          <w:rFonts w:ascii="Times" w:hAnsi="Times"/>
        </w:rPr>
        <w:fldChar w:fldCharType="begin" w:fldLock="1"/>
      </w:r>
      <w:r w:rsidRPr="00C421E4">
        <w:rPr>
          <w:rFonts w:ascii="Times" w:hAnsi="Times"/>
        </w:rPr>
        <w:instrText xml:space="preserve"> ADDIN ZOTERO_ITEM CSL_CITATION {"citationID":"RgT6srSi","properties":{"formattedCitation":"(Chi et al., 2016)","plainCitation":"(Chi et al., 2016)"},"citationItems":[{"id":"ITEM-1","uris":["http://www.mendeley.com/documents/?uuid=0fb57a08-a54b-4be9-9994-68523499f49d"],"uri":["http://www.mendeley.com/documents/?uuid=0fb57a08-a54b-4be9-9994-68523499f49d"],"itemData":{"DOI":"10.1016/j.jad.2015.11.035","ISSN":"01650327","PMID":"26650968","abstract":"BACKGROUND: Studies investigating the relationship between head injury and the subsequent onset of affective disorders often show conflicting results.\\n\\nAIMS: To investigate the risk of affective disorders following traumatic brain injury in a large Taiwanese cohort.\\n\\nMETHOD: This retrospective cohort study makes use of the National Health Insurance Research Database. A cohort containing 68,376 individuals who experienced traumatic brain injury (TBI) during 2000-2010 and had no prior history of mental disorders before the injury was identified. Using Cox Proportional Hazards regression, the subsequent risk of affective disorders was determined.\\n\\nRESULTS: TBI was associated with a higher risk of both bipolar disorder (Hazard Ratio [HR]=1.42, 95% Confidence Interval [CI]=[1.26, 1.59]) and major depression (HR=1.41, 95% CI=[1.28, 1.54]). More severe injury was associated with greater risk. The first year following the injury was the highest risk period for major depression, while the highest risk period for bipolar disorder was delayed until two to four years following the injury.\\n\\nLIMITATIONS: Using a claims database, we were unable to assess confounding variables that were not contained in the data set.\\n\\nCONCLUSIONS: The elevated risks of affective disorders after TBI speak to the psychiatric need of individuals who suffer from brain injury. Early detection and timely intervention may help prevent secondary and tertiary disability associated with head trauma.","author":[{"dropping-particle":"","family":"Chi","given":"Ying-Chen","non-dropping-particle":"","parse-names":false,"suffix":""},{"dropping-particle":"","family":"Wu","given":"Hyun-Ling","non-dropping-particle":"","parse-names":false,"suffix":""},{"dropping-particle":"","family":"Chu","given":"Chih-Pang","non-dropping-particle":"","parse-names":false,"suffix":""},{"dropping-particle":"","family":"Huang","given":"Ming-Chyi","non-dropping-particle":"","parse-names":false,"suffix":""},{"dropping-particle":"","family":"Lee","given":"Pei-Chen","non-dropping-particle":"","parse-names":false,"suffix":""},{"dropping-particle":"","family":"Chen","given":"Ying-Yeh","non-dropping-particle":"","parse-names":false,"suffix":""}],"container-title":"Journal of Affective Disorders","id":"ITEM-1","issued":{"date-parts":[["2016"]]},"page":"56-61","title":"Traumatic brain injury and affective disorder: A nationwide cohort study in Taiwan, 2000–2010","type":"article-journal","volume":"191"}}],"schema":"https://github.com/citation-style-language/schema/raw/master/csl-citation.json"} </w:instrText>
      </w:r>
      <w:r w:rsidRPr="00C421E4">
        <w:rPr>
          <w:rFonts w:ascii="Times" w:hAnsi="Times"/>
        </w:rPr>
        <w:fldChar w:fldCharType="separate"/>
      </w:r>
      <w:r w:rsidRPr="00C421E4">
        <w:rPr>
          <w:rFonts w:ascii="Times" w:hAnsi="Times"/>
          <w:noProof/>
        </w:rPr>
        <w:t>(Chi et al., 2016)</w:t>
      </w:r>
      <w:r w:rsidRPr="00C421E4">
        <w:rPr>
          <w:rFonts w:ascii="Times" w:hAnsi="Times"/>
        </w:rPr>
        <w:fldChar w:fldCharType="end"/>
      </w:r>
      <w:r w:rsidRPr="00C421E4">
        <w:rPr>
          <w:rFonts w:ascii="Times" w:hAnsi="Times"/>
        </w:rPr>
        <w:t xml:space="preserve">. </w:t>
      </w:r>
    </w:p>
    <w:p w14:paraId="3E5CE6AE" w14:textId="77777777" w:rsidR="00F7044C" w:rsidRPr="00C421E4" w:rsidRDefault="00F7044C" w:rsidP="00F7044C">
      <w:pPr>
        <w:spacing w:line="480" w:lineRule="auto"/>
        <w:rPr>
          <w:rFonts w:ascii="Times" w:hAnsi="Times"/>
        </w:rPr>
      </w:pPr>
    </w:p>
    <w:p w14:paraId="0D0A8638" w14:textId="77777777" w:rsidR="00F7044C" w:rsidRPr="00C421E4" w:rsidRDefault="00F7044C" w:rsidP="00F7044C">
      <w:pPr>
        <w:spacing w:line="480" w:lineRule="auto"/>
        <w:rPr>
          <w:rFonts w:ascii="Times" w:hAnsi="Times"/>
        </w:rPr>
      </w:pPr>
      <w:r w:rsidRPr="00C421E4">
        <w:rPr>
          <w:rFonts w:ascii="Times" w:hAnsi="Times"/>
        </w:rPr>
        <w:t xml:space="preserve">Despite evidence linking mTBI with mood disturbances, an investigation of emotional processes that are disrupted following mTBI – and might be associated with the increased risk for depression – has not been conducted. There are many known alterations in emotion functioning associated with depression, and, incidentally, we detected one of these alterations in a chronic mTBI population. Specifically, we found emotion habituation might be disrupted following mTBI. The current study will further probe this process through the use of self-reported and physiological measures and will expand the original results by probing (1) emotion reactivity, (2) both negative and positive affect in an mTBI population, and (3) potential circadian influences on emotion ratings.  </w:t>
      </w:r>
    </w:p>
    <w:p w14:paraId="67CBC01F"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E9664CB" w14:textId="77777777" w:rsidR="00F7044C" w:rsidRPr="006334A2" w:rsidRDefault="00F7044C" w:rsidP="00F7044C">
      <w:pPr>
        <w:spacing w:line="480" w:lineRule="auto"/>
        <w:jc w:val="center"/>
        <w:outlineLvl w:val="0"/>
        <w:rPr>
          <w:rFonts w:ascii="Times" w:hAnsi="Times"/>
          <w:b/>
        </w:rPr>
      </w:pPr>
      <w:r>
        <w:rPr>
          <w:rFonts w:ascii="Times" w:hAnsi="Times"/>
          <w:b/>
        </w:rPr>
        <w:t xml:space="preserve">2. </w:t>
      </w:r>
      <w:r w:rsidRPr="006334A2">
        <w:rPr>
          <w:rFonts w:ascii="Times" w:hAnsi="Times"/>
          <w:b/>
        </w:rPr>
        <w:t>Habituation to Emotion in mTBI and Depression</w:t>
      </w:r>
    </w:p>
    <w:p w14:paraId="3AA57911" w14:textId="77777777" w:rsidR="00F7044C" w:rsidRPr="00C421E4" w:rsidRDefault="00F7044C" w:rsidP="00F7044C">
      <w:pPr>
        <w:spacing w:line="480" w:lineRule="auto"/>
        <w:rPr>
          <w:rFonts w:ascii="Times" w:hAnsi="Times"/>
        </w:rPr>
      </w:pPr>
      <w:r w:rsidRPr="00C421E4">
        <w:rPr>
          <w:rFonts w:ascii="Times" w:hAnsi="Times"/>
        </w:rPr>
        <w:t xml:space="preserve">Emotion habituation, also known as emotion desensitization, plays a critical role in adaptive emotional functioning. According to the original definition outlined by Thomson and Spencer </w:t>
      </w:r>
      <w:r w:rsidRPr="00C421E4">
        <w:rPr>
          <w:rFonts w:ascii="Times" w:hAnsi="Times"/>
        </w:rPr>
        <w:fldChar w:fldCharType="begin"/>
      </w:r>
      <w:r w:rsidRPr="00C421E4">
        <w:rPr>
          <w:rFonts w:ascii="Times" w:hAnsi="Times"/>
        </w:rPr>
        <w:instrText xml:space="preserve"> ADDIN ZOTERO_ITEM CSL_CITATION {"citationID":"2ojmordgap","properties":{"formattedCitation":"(Thompson &amp; Spencer, 1966)","plainCitation":"(Thompson &amp; Spencer, 1966)"},"citationItems":[{"id":961,"uris":["http://zotero.org/users/4141602/items/35VWEDB3"],"uri":["http://zotero.org/users/4141602/items/35VWEDB3"],"itemData":{"id":961,"type":"article-journal","title":"Habituation: a model phenomenon for the study of neuronal substrates of behavior.","container-title":"Psychological review","page":"16","volume":"73","issue":"1","author":[{"family":"Thompson","given":"Richard F."},{"family":"Spencer","given":"William A."}],"issued":{"date-parts":[["1966"]]}}}],"schema":"https://github.com/citation-style-language/schema/raw/master/csl-citation.json"} </w:instrText>
      </w:r>
      <w:r w:rsidRPr="00C421E4">
        <w:rPr>
          <w:rFonts w:ascii="Times" w:hAnsi="Times"/>
        </w:rPr>
        <w:fldChar w:fldCharType="separate"/>
      </w:r>
      <w:r w:rsidRPr="00C421E4">
        <w:rPr>
          <w:rFonts w:ascii="Times" w:hAnsi="Times"/>
          <w:noProof/>
        </w:rPr>
        <w:t>(1966)</w:t>
      </w:r>
      <w:r w:rsidRPr="00C421E4">
        <w:rPr>
          <w:rFonts w:ascii="Times" w:hAnsi="Times"/>
        </w:rPr>
        <w:fldChar w:fldCharType="end"/>
      </w:r>
      <w:r w:rsidRPr="00C421E4">
        <w:rPr>
          <w:rFonts w:ascii="Times" w:hAnsi="Times"/>
        </w:rPr>
        <w:t xml:space="preserve">, habituation is a non-associative form of learning that occurs when a neural or behavioral response weakens when the same stimulus is repeatedly presented. Habituation is strongest when the repeated stimuli are themselves not overlapping (i.e., dissimilar in content), and when the presentations of stimuli are close temporally (i.e., presented rapidly). Habituation, which is considered to be the “simplest form of learning,” is adaptive because neural resources need not be wasted on a </w:t>
      </w:r>
      <w:r w:rsidRPr="00C421E4">
        <w:rPr>
          <w:rFonts w:ascii="Times" w:hAnsi="Times"/>
        </w:rPr>
        <w:lastRenderedPageBreak/>
        <w:t xml:space="preserve">stimulus deemed familiar or non-threatening </w:t>
      </w:r>
      <w:r w:rsidRPr="00C421E4">
        <w:rPr>
          <w:rFonts w:ascii="Times" w:hAnsi="Times"/>
        </w:rPr>
        <w:fldChar w:fldCharType="begin" w:fldLock="1"/>
      </w:r>
      <w:r w:rsidRPr="00C421E4">
        <w:rPr>
          <w:rFonts w:ascii="Times" w:hAnsi="Times"/>
        </w:rPr>
        <w:instrText xml:space="preserve"> ADDIN ZOTERO_ITEM CSL_CITATION {"citationID":"DR4HwlwW","properties":{"formattedCitation":"(Wedig, Rauch, Albert, &amp; Wright, 2005)","plainCitation":"(Wedig, Rauch, Albert, &amp; Wright, 2005)"},"citationItems":[{"id":"ITEM-1","uris":["http://www.mendeley.com/documents/?uuid=e8ca71da-f737-4896-b1f7-889a229ef592"],"uri":["http://www.mendeley.com/documents/?uuid=e8ca71da-f737-4896-b1f7-889a229ef592"],"itemData":{"DOI":"10.1016/j.neulet.2005.05.039","ISSN":"03043940","PMID":"15961229","abstract":"Habituation is a highly adaptive property of the nervous system, which allows for the allocation of attention and other cognitive resources to more imperative environmental events. The amygdala is an important site of habituation in humans, but no studies to date have examined the effects of aging on amygdala habituation. Given the amygdala's role in evaluating the salience of a stimulus and initiating behavioral responses, the potential importance of amygdala habituation in aging may be far-reaching. Therefore, we assessed for differences in habituation in the amygdalae of healthy young and elderly adults during repeated presentations of neutral human faces using functional magnetic resonance imaging (fMRI). In addition, we evaluated the relationship between amygdala volume and habituation, to examine the effects of atrophy. Eighteen healthy young controls and 18 healthy elderly subjects were scanned with fMRI during viewing of repeatedly presented neutral human face stimuli. Significant fMRI signal decrement was observed across all subjects for early versus late face presentations. Analysis of group, condition, and hemisphere revealed a significant three-way interaction, with right greater than left habituation in the young, but left greater than right amygdala habituation in the elderly. Volumetric and correlational analyses demonstrated that amygdala volume is associated with habituation in the right, but not left, hemisphere. We conclude that, in healthy elderly adults, the amygdala retains its adaptive habituation response, but speculate that intrinsic changes in amygdala anatomy during aging may modulate its laterality. ?? 2005 Elsevier Ireland Ltd. All rights reserved.","author":[{"dropping-particle":"","family":"Wedig","given":"Michelle M.","non-dropping-particle":"","parse-names":false,"suffix":""},{"dropping-particle":"","family":"Rauch","given":"Scott L.","non-dropping-particle":"","parse-names":false,"suffix":""},{"dropping-particle":"","family":"Albert","given":"Marilyn S.","non-dropping-particle":"","parse-names":false,"suffix":""},{"dropping-particle":"","family":"Wright","given":"Christopher I.","non-dropping-particle":"","parse-names":false,"suffix":""}],"container-title":"Neuroscience Letters","id":"ITEM-1","issue":"2","issued":{"date-parts":[["2005"]]},"page":"114-119","title":"Differential amygdala habituation to neutral faces in young and elderly adults","type":"article-journal","volume":"385"}}],"schema":"https://github.com/citation-style-language/schema/raw/master/csl-citation.json"} </w:instrText>
      </w:r>
      <w:r w:rsidRPr="00C421E4">
        <w:rPr>
          <w:rFonts w:ascii="Times" w:hAnsi="Times"/>
        </w:rPr>
        <w:fldChar w:fldCharType="separate"/>
      </w:r>
      <w:r w:rsidRPr="00C421E4">
        <w:rPr>
          <w:rFonts w:ascii="Times" w:hAnsi="Times"/>
          <w:noProof/>
        </w:rPr>
        <w:t>(Wedig, Rauch, Albert, &amp; Wright, 2005)</w:t>
      </w:r>
      <w:r w:rsidRPr="00C421E4">
        <w:rPr>
          <w:rFonts w:ascii="Times" w:hAnsi="Times"/>
        </w:rPr>
        <w:fldChar w:fldCharType="end"/>
      </w:r>
      <w:r w:rsidRPr="00C421E4">
        <w:rPr>
          <w:rFonts w:ascii="Times" w:hAnsi="Times"/>
        </w:rPr>
        <w:t xml:space="preserve">. It is hypothesized that habituation occurs because a lack of negative feedback is associated with previous stimulus exposure </w:t>
      </w:r>
      <w:r w:rsidRPr="00C421E4">
        <w:rPr>
          <w:rFonts w:ascii="Times" w:hAnsi="Times"/>
        </w:rPr>
        <w:fldChar w:fldCharType="begin" w:fldLock="1"/>
      </w:r>
      <w:r w:rsidRPr="00C421E4">
        <w:rPr>
          <w:rFonts w:ascii="Times" w:hAnsi="Times"/>
        </w:rPr>
        <w:instrText xml:space="preserve"> ADDIN ZOTERO_ITEM CSL_CITATION {"citationID":"s1IiBxcr","properties":{"formattedCitation":"(Zald, 2003)","plainCitation":"(Zald, 2003)"},"citationItems":[{"id":"ITEM-1","uris":["http://www.mendeley.com/documents/?uuid=36a6c9c2-ecab-4135-91b6-b5f2ec172777"],"uri":["http://www.mendeley.com/documents/?uuid=36a6c9c2-ecab-4135-91b6-b5f2ec172777"],"itemData":{"author":[{"dropping-particle":"","family":"Zald","given":"D.H.","non-dropping-particle":"","parse-names":false,"suffix":""}],"container-title":"Brain Research Reviews","id":"ITEM-1","issue":"1","issued":{"date-parts":[["2003"]]},"page":"88-123","title":"The human amygdala and the emotional evaluation of sensory stimuli","type":"article-journal","volume":"41"}}],"schema":"https://github.com/citation-style-language/schema/raw/master/csl-citation.json"} </w:instrText>
      </w:r>
      <w:r w:rsidRPr="00C421E4">
        <w:rPr>
          <w:rFonts w:ascii="Times" w:hAnsi="Times"/>
        </w:rPr>
        <w:fldChar w:fldCharType="separate"/>
      </w:r>
      <w:r w:rsidRPr="00C421E4">
        <w:rPr>
          <w:rFonts w:ascii="Times" w:hAnsi="Times"/>
          <w:noProof/>
        </w:rPr>
        <w:t>(Zald, 2003)</w:t>
      </w:r>
      <w:r w:rsidRPr="00C421E4">
        <w:rPr>
          <w:rFonts w:ascii="Times" w:hAnsi="Times"/>
        </w:rPr>
        <w:fldChar w:fldCharType="end"/>
      </w:r>
      <w:r w:rsidRPr="00C421E4">
        <w:rPr>
          <w:rFonts w:ascii="Times" w:hAnsi="Times"/>
        </w:rPr>
        <w:t xml:space="preserve">. A disruption to this process, often manifesting as a prolongation of arousal to familiar stimuli, is maladaptive, because it is an inflexible response, and emotion malleability/flexibility is regarded as important for proper emotional functioning </w:t>
      </w:r>
      <w:r w:rsidRPr="00C421E4">
        <w:rPr>
          <w:rFonts w:ascii="Times" w:hAnsi="Times"/>
        </w:rPr>
        <w:fldChar w:fldCharType="begin" w:fldLock="1"/>
      </w:r>
      <w:r w:rsidRPr="00C421E4">
        <w:rPr>
          <w:rFonts w:ascii="Times" w:hAnsi="Times"/>
        </w:rPr>
        <w:instrText xml:space="preserve"> ADDIN ZOTERO_ITEM CSL_CITATION {"citationID":"BF7UGBHB","properties":{"formattedCitation":"(Kuppens, Allen, &amp; Sheeber, 2010)","plainCitation":"(Kuppens, Allen, &amp; Sheeber, 2010)"},"citationItems":[{"id":"ITEM-1","uris":["http://www.mendeley.com/documents/?uuid=8fc421f8-2de7-4ac3-ab4c-eeaa658998df"],"uri":["http://www.mendeley.com/documents/?uuid=8fc421f8-2de7-4ac3-ab4c-eeaa658998df"],"itemData":{"DOI":"10.1177/0956797610372634","ISBN":"1467-9280\\r0956-7976","ISSN":"1467-9280","PMID":"20501521","abstract":"In this article, we examine the concept of emotional inertia as a fundamental property of the emotion dynamics that characterize psychological maladjustment. Emotional inertia refers to the degree to which emotional states are resistant to change. Because psychological maladjustment has been associated with both emotional underreactivity and ineffective emotion-regulation skills, we hypothesized that its overall emotion dynamics would be characterized by high levels of inertia. We provide evidence from two naturalistic studies that, using different methods, showed that the emotional fluctuations of individuals who exhibited low self-esteem (Study 1) and depression (Study 2) were characterized by higher levels of inertia in both positive and negative emotions than the emotional fluctuations of people who did not exhibit low self-esteem and depression. We also discuss the usefulness of the concept of emotional inertia as a hallmark of maladaptive emotion dynamics.","author":[{"dropping-particle":"","family":"Kuppens","given":"Peter","non-dropping-particle":"","parse-names":false,"suffix":""},{"dropping-particle":"","family":"Allen","given":"Nicholas B","non-dropping-particle":"","parse-names":false,"suffix":""},{"dropping-particle":"","family":"Sheeber","given":"Lisa B","non-dropping-particle":"","parse-names":false,"suffix":""}],"container-title":"Psychological science","id":"ITEM-1","issue":"7","issued":{"date-parts":[["2010"]]},"page":"984-91","title":"Emotional inertia and psychological maladjustment.","type":"article-journal","volume":"21"}}],"schema":"https://github.com/citation-style-language/schema/raw/master/csl-citation.json"} </w:instrText>
      </w:r>
      <w:r w:rsidRPr="00C421E4">
        <w:rPr>
          <w:rFonts w:ascii="Times" w:hAnsi="Times"/>
        </w:rPr>
        <w:fldChar w:fldCharType="separate"/>
      </w:r>
      <w:r w:rsidRPr="00C421E4">
        <w:rPr>
          <w:rFonts w:ascii="Times" w:hAnsi="Times"/>
          <w:noProof/>
        </w:rPr>
        <w:t>(Kuppens, Allen, &amp; Sheeber, 2010)</w:t>
      </w:r>
      <w:r w:rsidRPr="00C421E4">
        <w:rPr>
          <w:rFonts w:ascii="Times" w:hAnsi="Times"/>
        </w:rPr>
        <w:fldChar w:fldCharType="end"/>
      </w:r>
      <w:r w:rsidRPr="00C421E4">
        <w:rPr>
          <w:rFonts w:ascii="Times" w:hAnsi="Times"/>
        </w:rPr>
        <w:t xml:space="preserve">. Consequently, clinical treatments that utilize and promote habituation (e.g., exposure therapy; </w:t>
      </w:r>
      <w:r w:rsidRPr="00C421E4">
        <w:rPr>
          <w:rFonts w:ascii="Times" w:hAnsi="Times"/>
        </w:rPr>
        <w:fldChar w:fldCharType="begin"/>
      </w:r>
      <w:r w:rsidRPr="00C421E4">
        <w:rPr>
          <w:rFonts w:ascii="Times" w:hAnsi="Times"/>
        </w:rPr>
        <w:instrText xml:space="preserve"> ADDIN ZOTERO_ITEM CSL_CITATION {"citationID":"1ujqjtg8ht","properties":{"formattedCitation":"(Arntz, Tiesema, &amp; Kindt, 2007)","plainCitation":"(Arntz, Tiesema, &amp; Kindt, 2007)"},"citationItems":[{"id":410,"uris":["http://zotero.org/users/4141602/items/JQPQ4FQ3"],"uri":["http://zotero.org/users/4141602/items/JQPQ4FQ3"],"itemData":{"id":410,"type":"article-journal","title":"Treatment of PTSD: A comparison of imaginal exposure with and without imagery rescripting","container-title":"Journal of Behavior Therapy and Experimental Psychiatry","page":"345-370","volume":"38","issue":"4","abstract":"We tested whether the effectiveness of imaginal exposure (IE) treatment for posttraumatic stress disorder (PTSD) was enhanced by combining IE with imagery rescripting (IE+IR). It was hypothesized that IE+IR would be more effective than IE by (1) providing more corrective information so that more trauma-related problems can be addressed, and (2) allowing patients to express emotions that they had been inhibiting, such as anger. In a controlled study 71 chronic PTSD patients were randomly assigned to IE or IE+IR. Data of 67 patients were available. Treatment consisted of 10 weekly individual therapy sessions and treatment evaluation was conducted post-treatment and at 1-month follow-up. Results show that when compared with wait-list, treatment reduced severity of PTSD symptoms. More patients dropped out of IE than out of IE+IR before the 8th sessions, 51% vs. 25%, p=.03. Completers and intention-to-treat analyses indicated that both conditions did not differ significantly in reduction of PTSD severity. IE+IR was more effective for anger control, externalization of anger, hostility and guilt, especially at follow-up. Less strong effects were found on shame and internalized anger. Therapists tended to favor IE+IR as it decreased their feelings of helplessness compared to IE. Results suggest that the addition of rescripting to IE makes the treatment more acceptable for both patients and therapists, and leads to better effects on non-fear problems like anger and guilt. ?? 2007 Elsevier Ltd. All rights reserved.","DOI":"10.1016/j.jbtep.2007.10.006","ISSN":"0005-7916 (Print)\\r0005-7916 (Linking)","author":[{"family":"Arntz","given":"Arnoud"},{"family":"Tiesema","given":"Meike"},{"family":"Kindt","given":"Merel"}],"issued":{"date-parts":[["2007"]]}}}],"schema":"https://github.com/citation-style-language/schema/raw/master/csl-citation.json"} </w:instrText>
      </w:r>
      <w:r w:rsidRPr="00C421E4">
        <w:rPr>
          <w:rFonts w:ascii="Times" w:hAnsi="Times"/>
        </w:rPr>
        <w:fldChar w:fldCharType="separate"/>
      </w:r>
      <w:r w:rsidRPr="00C421E4">
        <w:rPr>
          <w:rFonts w:ascii="Times" w:hAnsi="Times"/>
          <w:noProof/>
        </w:rPr>
        <w:t>Arntz, Tiesema, &amp; Kindt, 2007)</w:t>
      </w:r>
      <w:r w:rsidRPr="00C421E4">
        <w:rPr>
          <w:rFonts w:ascii="Times" w:hAnsi="Times"/>
        </w:rPr>
        <w:fldChar w:fldCharType="end"/>
      </w:r>
      <w:r w:rsidRPr="00C421E4">
        <w:rPr>
          <w:rFonts w:ascii="Times" w:hAnsi="Times"/>
        </w:rPr>
        <w:t xml:space="preserve"> are effective in minimizing psychiatric symptoms. </w:t>
      </w:r>
    </w:p>
    <w:p w14:paraId="7922594A" w14:textId="77777777" w:rsidR="00F7044C" w:rsidRPr="00C421E4" w:rsidRDefault="00F7044C" w:rsidP="00F7044C">
      <w:pPr>
        <w:spacing w:line="480" w:lineRule="auto"/>
        <w:rPr>
          <w:rFonts w:ascii="Times" w:hAnsi="Times"/>
        </w:rPr>
      </w:pPr>
    </w:p>
    <w:p w14:paraId="35C85D1A" w14:textId="77777777" w:rsidR="00F7044C" w:rsidRPr="00C421E4" w:rsidRDefault="00F7044C" w:rsidP="00F7044C">
      <w:pPr>
        <w:spacing w:line="480" w:lineRule="auto"/>
        <w:rPr>
          <w:rFonts w:ascii="Times" w:hAnsi="Times"/>
        </w:rPr>
      </w:pPr>
      <w:r w:rsidRPr="00C421E4">
        <w:rPr>
          <w:rFonts w:ascii="Times" w:hAnsi="Times"/>
        </w:rPr>
        <w:t xml:space="preserve">Neural models implicate both the prefrontal cortex and the amygdala as playing a role in emotion habituation </w:t>
      </w:r>
      <w:r w:rsidRPr="00C421E4">
        <w:rPr>
          <w:rFonts w:ascii="Times" w:hAnsi="Times"/>
        </w:rPr>
        <w:fldChar w:fldCharType="begin" w:fldLock="1"/>
      </w:r>
      <w:r w:rsidRPr="00C421E4">
        <w:rPr>
          <w:rFonts w:ascii="Times" w:hAnsi="Times"/>
        </w:rPr>
        <w:instrText xml:space="preserve"> ADDIN ZOTERO_ITEM CSL_CITATION {"citationID":"M7NMw4o4","properties":{"formattedCitation":"(Wright et al., 2001)","plainCitation":"(Wright et al., 2001)"},"citationItems":[{"id":"ITEM-1","uris":["http://www.mendeley.com/documents/?uuid=ce456213-45ef-43da-bfb1-c0c2d5fc1799"],"uri":["http://www.mendeley.com/documents/?uuid=ce456213-45ef-43da-bfb1-c0c2d5fc1799"],"itemData":{"author":[{"dropping-particle":"","family":"Wright","given":"C. I.","non-dropping-particle":"","parse-names":false,"suffix":""},{"dropping-particle":"","family":"Fischer","given":"H.","non-dropping-particle":"","parse-names":false,"suffix":""},{"dropping-particle":"","family":"Whalen","given":"P. J.","non-dropping-particle":"","parse-names":false,"suffix":""},{"dropping-particle":"","family":"McInerney","given":"S. C.","non-dropping-particle":"","parse-names":false,"suffix":""},{"dropping-particle":"","family":"Shin","given":"L. M.","non-dropping-particle":"","parse-names":false,"suffix":""},{"dropping-particle":"","family":"Rauch","given":"S. L.","non-dropping-particle":"","parse-names":false,"suffix":""}],"container-title":"Neuroreport","id":"ITEM-1","issue":"2","issued":{"date-parts":[["2001"]]},"page":"379-383","title":"Differential prefrontal cortex and amygdala habituation to repeatedly presented emotional stimuli","type":"article-journal","volume":"12"}}],"schema":"https://github.com/citation-style-language/schema/raw/master/csl-citation.json"}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(Wright et al., 2001)</w:t>
      </w:r>
      <w:r w:rsidRPr="00C421E4">
        <w:rPr>
          <w:rFonts w:ascii="Times" w:hAnsi="Times"/>
        </w:rPr>
        <w:fldChar w:fldCharType="end"/>
      </w:r>
      <w:r w:rsidRPr="00C421E4">
        <w:rPr>
          <w:rFonts w:ascii="Times" w:hAnsi="Times"/>
        </w:rPr>
        <w:t xml:space="preserve">. The amygdala is highly active in response to an emotional stressor </w:t>
      </w:r>
      <w:r w:rsidRPr="00C421E4">
        <w:rPr>
          <w:rFonts w:ascii="Times" w:hAnsi="Times"/>
        </w:rPr>
        <w:fldChar w:fldCharType="begin" w:fldLock="1"/>
      </w:r>
      <w:r w:rsidRPr="00C421E4">
        <w:rPr>
          <w:rFonts w:ascii="Times" w:hAnsi="Times"/>
        </w:rPr>
        <w:instrText xml:space="preserve"> ADDIN ZOTERO_ITEM CSL_CITATION {"citationID":"CK6TVTws","properties":{"formattedCitation":"(LeDoux, 1993)","plainCitation":"(LeDoux, 1993)"},"citationItems":[{"id":"ITEM-1","uris":["http://www.mendeley.com/documents/?uuid=98d01920-d0d3-49e3-9ce5-c3bd84205726"],"uri":["http://www.mendeley.com/documents/?uuid=98d01920-d0d3-49e3-9ce5-c3bd84205726"],"itemData":{"DOI":"10.1016/0166-4328(93)90091-4","ISBN":"0166-4328 (Print)\\n0166-4328 (Linking)","ISSN":"01664328","PMID":"8136051","abstract":"The neural mechanisms of emotion and memory have long been thought to reside side by side, if not in overlapping structures, of the limbic system. However, the limbic system concept is no longer acceptable as an account of the neural basis of memory or emotion and is being replaced with specific circuit accounts of specific emotional and memory processes. Emotional memory, a special category of memory involving the implicit (probably unconscious) learning and storage of information about the emotional significance of events, is modeled in rodent experiments using aversive classical conditioning techniques. The neural system underlying emotional memory critically involves the amygdala and structures with which it is connected. Afferent inputs from sensory processing areas of the thalamus and cortex mediate emotional learning in situations involving specific sensory cues, whereas learning about the emotional significance of more general, contextual cues involves projections to the amygdala from the hippocampal formation. Within the amygdala, the lateral nucleus (AL) is the sensory interface and the central nucleus the linkage with motor systems involved in the control of species-typical emotional behaviors and autonomic responses. Studies of cellular mechanisms in these pathways have focused on the direct relay to the lateral amygdala from the auditory thalamus. These studies show that single cells in AL respond to both conditioned stimulus and unconditioned stimulus inputs, leading to the notion that AL might be a critical site of sensory-sensory integration in emotional learning. The thalamo-amygdala pathway also exhibits long-term potentiation, a form of synaptic plasticity that might underlie the emotional learning functions of the circuit. The thalamo-amygdala pathway contains and uses the amino acid glutamate in synaptic transmission, suggesting the possibility that an amino-acid mediated form of synaptic plasticity is involved in the emotional learning functions of the pathway. We are thus well on the way to a systems level and a cellular understanding of at least one form of emotional learning and memory. ?? 1993.","author":[{"dropping-particle":"","family":"LeDoux","given":"Joseph E.","non-dropping-particle":"","parse-names":false,"suffix":""}],"container-title":"Behavioural Brain Research","id":"ITEM-1","issue":"1-2","issued":{"date-parts":[["1993"]]},"page":"69-79","title":"Emotional memory systems in the brain","type":"article-journal","volume":"58"}}],"schema":"https://github.com/citation-style-language/schema/raw/master/csl-citation.json"} </w:instrText>
      </w:r>
      <w:r w:rsidRPr="00C421E4">
        <w:rPr>
          <w:rFonts w:ascii="Times" w:hAnsi="Times"/>
        </w:rPr>
        <w:fldChar w:fldCharType="separate"/>
      </w:r>
      <w:r w:rsidRPr="00C421E4">
        <w:rPr>
          <w:rFonts w:ascii="Times" w:hAnsi="Times"/>
          <w:noProof/>
        </w:rPr>
        <w:t>(LeDoux, 1993)</w:t>
      </w:r>
      <w:r w:rsidRPr="00C421E4">
        <w:rPr>
          <w:rFonts w:ascii="Times" w:hAnsi="Times"/>
        </w:rPr>
        <w:fldChar w:fldCharType="end"/>
      </w:r>
      <w:r w:rsidRPr="00C421E4">
        <w:rPr>
          <w:rFonts w:ascii="Times" w:hAnsi="Times"/>
        </w:rPr>
        <w:t xml:space="preserve">. On the other hand, the prefrontal cortex provides top-down modulation of amygdalar activity, such that the prefrontal cortex “dampens” amygdala activation in order to lessen perceived emotionality. Given these findings, it has been proposed that dysfunction in the prefrontal cortex may prevent adaptive emotion habituation </w:t>
      </w:r>
      <w:r w:rsidRPr="00C421E4">
        <w:rPr>
          <w:rFonts w:ascii="Times" w:hAnsi="Times"/>
        </w:rPr>
        <w:fldChar w:fldCharType="begin" w:fldLock="1"/>
      </w:r>
      <w:r w:rsidRPr="00C421E4">
        <w:rPr>
          <w:rFonts w:ascii="Times" w:hAnsi="Times"/>
        </w:rPr>
        <w:instrText xml:space="preserve"> ADDIN ZOTERO_ITEM CSL_CITATION {"citationID":"y3AAKcrc","properties":{"formattedCitation":"(Silbersweig et al., 2007)","plainCitation":"(Silbersweig et al., 2007)"},"citationItems":[{"id":"ITEM-1","uris":["http://www.mendeley.com/documents/?uuid=a16765a1-1d66-4c43-994b-2f072332bb23"],"uri":["http://www.mendeley.com/documents/?uuid=a16765a1-1d66-4c43-994b-2f072332bb23"],"itemData":{"DOI":"10.1176/appi.ajp.2007.06010126","ISBN":"0002-953X","ISSN":"0002953X","PMID":"18056238","abstract":"OBJECTIVE: The authors sought to test the hypothesis that in patients with borderline personality disorder, the ventromedial prefrontal cortex and associated regions would not be activated during a task requiring motor inhibition in the setting of negative emotion. Such a finding would provide a plausible neural basis for the difficulty borderline patients have in modulating their behavior during negative emotional states and a potential marker for treatment interventions. METHOD: A specifically designed functional magnetic resonance imaging (fMRI) activation probe was used, with statistical parametric mapping analyses, to test hypotheses concerning decreased prefrontal inhibitory function in the context of negative emotion in patients with borderline personality disorder (N=16) and healthy comparison subjects (N=14). 3-T fMRI scanning was used to study brain activity while participants performed an emotional linguistic go/no-go task. RESULTS: Analyses confirmed that under conditions associated with the interaction of behavioral inhibition and negative emotion, borderline patients showed relatively decreased ventromedial prefrontal activity (including medial orbitofrontal and subgenual anterior cingulate) compared with healthy subjects. In borderline patients, under conditions of behavioral inhibition in the context of negative emotion, decreasing ventromedial prefrontal and increasing extended amygdalar-ventral striatal activity correlated highly with measures of decreased constraint and increased negative emotion, respectively. CONCLUSIONS: These findings suggest specific frontolimbic neural substrates associated with core clinical features of emotional and behavioral dyscontrol in borderline personality disorder.","author":[{"dropping-particle":"","family":"Silbersweig","given":"David","non-dropping-particle":"","parse-names":false,"suffix":""},{"dropping-particle":"","family":"Clarkin","given":"John F.","non-dropping-particle":"","parse-names":false,"suffix":""},{"dropping-particle":"","family":"Goldstein","given":"Martin","non-dropping-particle":"","parse-names":false,"suffix":""},{"dropping-particle":"","family":"Kernberg","given":"Otto F.","non-dropping-particle":"","parse-names":false,"suffix":""},{"dropping-particle":"","family":"Tuescher","given":"Oliver","non-dropping-particle":"","parse-names":false,"suffix":""},{"dropping-particle":"","family":"Levy","given":"Kenneth N.","non-dropping-particle":"","parse-names":false,"suffix":""},{"dropping-particle":"","family":"Brendel","given":"Gary","non-dropping-particle":"","parse-names":false,"suffix":""},{"dropping-particle":"","family":"Pan","given":"Hong","non-dropping-particle":"","parse-names":false,"suffix":""},{"dropping-particle":"","family":"Beutel","given":"Manfred","non-dropping-particle":"","parse-names":false,"suffix":""},{"dropping-particle":"","family":"Pavony","given":"Michelle T.","non-dropping-particle":"","parse-names":false,"suffix":""},{"dropping-particle":"","family":"Epstein","given":"Jane","non-dropping-particle":"","parse-names":false,"suffix":""},{"dropping-particle":"","family":"Lenzenweger","given":"Mark F.","non-dropping-particle":"","parse-names":false,"suffix":""},{"dropping-particle":"","family":"Thomas","given":"Kathleen M.","non-dropping-particle":"","parse-names":false,"suffix":""},{"dropping-particle":"","family":"Posner","given":"Michael I.","non-dropping-particle":"","parse-names":false,"suffix":""},{"dropping-particle":"","family":"Stern","given":"Emily","non-dropping-particle":"","parse-names":false,"suffix":""}],"container-title":"American Journal of Psychiatry","id":"ITEM-1","issue":"12","issued":{"date-parts":[["2007"]]},"page":"1832-1841","title":"Failure of frontolimbic inhibitory function in the context of negative emotion in borderline personality disorder","type":"article-journal","volume":"164"}}],"schema":"https://github.com/citation-style-language/schema/raw/master/csl-citation.json"} </w:instrText>
      </w:r>
      <w:r w:rsidRPr="00C421E4">
        <w:rPr>
          <w:rFonts w:ascii="Times" w:hAnsi="Times"/>
        </w:rPr>
        <w:fldChar w:fldCharType="separate"/>
      </w:r>
      <w:r w:rsidRPr="00C421E4">
        <w:rPr>
          <w:rFonts w:ascii="Times" w:hAnsi="Times"/>
          <w:noProof/>
        </w:rPr>
        <w:t>(Silbersweig et al., 2007)</w:t>
      </w:r>
      <w:r w:rsidRPr="00C421E4">
        <w:rPr>
          <w:rFonts w:ascii="Times" w:hAnsi="Times"/>
        </w:rPr>
        <w:fldChar w:fldCharType="end"/>
      </w:r>
      <w:r w:rsidRPr="00C421E4">
        <w:rPr>
          <w:rFonts w:ascii="Times" w:hAnsi="Times"/>
        </w:rPr>
        <w:t xml:space="preserve">. Additionally, a lack of prefrontal cortical efficiency could prevent proper emotion regulation strategies (e.g., reappraisal) from occurring with each subsequent exposure </w:t>
      </w:r>
      <w:r w:rsidRPr="00C421E4">
        <w:rPr>
          <w:rFonts w:ascii="Times" w:hAnsi="Times"/>
        </w:rPr>
        <w:fldChar w:fldCharType="begin" w:fldLock="1"/>
      </w:r>
      <w:r w:rsidRPr="00C421E4">
        <w:rPr>
          <w:rFonts w:ascii="Times" w:hAnsi="Times"/>
        </w:rPr>
        <w:instrText xml:space="preserve"> ADDIN ZOTERO_ITEM CSL_CITATION {"citationID":"SS8evVSS","properties":{"formattedCitation":"(Schiller &amp; Delgado, 2010)","plainCitation":"(Schiller &amp; Delgado, 2010)"},"citationItems":[{"id":"ITEM-1","uris":["http://www.mendeley.com/documents/?uuid=aae12f65-c19f-49bd-bdbe-04e670f8293d"],"uri":["http://www.mendeley.com/documents/?uuid=aae12f65-c19f-49bd-bdbe-04e670f8293d"],"itemData":{"DOI":"10.1016/j.tics.2010.04.002","ISBN":"1364-6613","ISSN":"13646613","PMID":"20493762","abstract":"Learned fear is a process allowing quick detection of associations between cues in the environment and prediction of imminent threat. Adaptive function in a changing environment, however, requires organisms to quickly update this learning and have the ability to hinder fear responses when predictions are no longer correct. Here we focus on three strategies that can modify conditioned fear, namely extinction, reversal and regulation of fear, and review their underlying neural mechanisms. By directly comparing neuroimaging data from three separate studies that employ each strategy, we highlight overlapping brain structures that comprise a general circuitry in the human brain. This circuitry potentially enables the flexible control of fear, regardless of the particular task demands. ?? 2010 Elsevier Ltd. All rights reserved.","author":[{"dropping-particle":"","family":"Schiller","given":"Daniela","non-dropping-particle":"","parse-names":false,"suffix":""},{"dropping-particle":"","family":"Delgado","given":"Mauricio R.","non-dropping-particle":"","parse-names":false,"suffix":""}],"container-title":"Trends in Cognitive Sciences","id":"ITEM-1","issue":"6","issued":{"date-parts":[["2010"]]},"page":"268-276","title":"Overlapping neural systems mediating extinction, reversal and regulation of fear","type":"article","volume":"14"}}],"schema":"https://github.com/citation-style-language/schema/raw/master/csl-citation.json"} </w:instrText>
      </w:r>
      <w:r w:rsidRPr="00C421E4">
        <w:rPr>
          <w:rFonts w:ascii="Times" w:hAnsi="Times"/>
        </w:rPr>
        <w:fldChar w:fldCharType="separate"/>
      </w:r>
      <w:r w:rsidRPr="00C421E4">
        <w:rPr>
          <w:rFonts w:ascii="Times" w:hAnsi="Times"/>
          <w:noProof/>
        </w:rPr>
        <w:t>(Schiller &amp; Delgado, 2010)</w:t>
      </w:r>
      <w:r w:rsidRPr="00C421E4">
        <w:rPr>
          <w:rFonts w:ascii="Times" w:hAnsi="Times"/>
        </w:rPr>
        <w:fldChar w:fldCharType="end"/>
      </w:r>
      <w:r w:rsidRPr="00C421E4">
        <w:rPr>
          <w:rFonts w:ascii="Times" w:hAnsi="Times"/>
        </w:rPr>
        <w:t xml:space="preserve">. It is possible, then, that populations with improper prefrontal cortex functioning have disrupted emotion habituation. </w:t>
      </w:r>
    </w:p>
    <w:p w14:paraId="62A8739A" w14:textId="77777777" w:rsidR="00F7044C" w:rsidRPr="00C421E4" w:rsidRDefault="00F7044C" w:rsidP="00F7044C">
      <w:pPr>
        <w:spacing w:line="480" w:lineRule="auto"/>
        <w:rPr>
          <w:rFonts w:ascii="Times" w:hAnsi="Times"/>
        </w:rPr>
      </w:pPr>
    </w:p>
    <w:p w14:paraId="7367CDE2" w14:textId="77777777" w:rsidR="00F7044C" w:rsidRPr="00C421E4" w:rsidRDefault="00F7044C" w:rsidP="00F7044C">
      <w:pPr>
        <w:spacing w:line="480" w:lineRule="auto"/>
        <w:rPr>
          <w:rFonts w:ascii="Times" w:hAnsi="Times"/>
        </w:rPr>
      </w:pPr>
      <w:r w:rsidRPr="00C421E4">
        <w:rPr>
          <w:rFonts w:ascii="Times" w:hAnsi="Times"/>
        </w:rPr>
        <w:t xml:space="preserve">Indeed, habituation deficiencies have been identified in several clinical populations, all of which exhibit hypo-activity in the prefrontal cortex </w:t>
      </w:r>
      <w:r w:rsidRPr="00C421E4">
        <w:rPr>
          <w:rFonts w:ascii="Times" w:hAnsi="Times"/>
        </w:rPr>
        <w:fldChar w:fldCharType="begin" w:fldLock="1"/>
      </w:r>
      <w:r w:rsidRPr="00C421E4">
        <w:rPr>
          <w:rFonts w:ascii="Times" w:hAnsi="Times"/>
        </w:rPr>
        <w:instrText xml:space="preserve"> ADDIN ZOTERO_ITEM CSL_CITATION {"citationID":"yF1rWO7h","properties":{"formattedCitation":"{\\rtf (Gilboa et al., 2004; Pascual-Leone, Rubio, Pallard\\uc0\\u243{}, &amp; Catal\\uc0\\u225{}, 1996; Silbersweig et al., 2007)}","plainCitation":"(Gilboa et al., 2004; Pascual-Leone, Rubio, Pallardó, &amp; Catalá, 1996; Silbersweig et al., 2007)"},"citationItems":[{"id":"ITEM-1","uris":["http://www.mendeley.com/documents/?uuid=a16765a1-1d66-4c43-994b-2f072332bb23"],"uri":["http://www.mendeley.com/documents/?uuid=a16765a1-1d66-4c43-994b-2f072332bb23"],"itemData":{"DOI":"10.1176/appi.ajp.2007.06010126","ISBN":"0002-953X","ISSN":"0002953X","PMID":"18056238","abstract":"OBJECTIVE: The authors sought to test the hypothesis that in patients with borderline personality disorder, the ventromedial prefrontal cortex and associated regions would not be activated during a task requiring motor inhibition in the setting of negative emotion. Such a finding would provide a plausible neural basis for the difficulty borderline patients have in modulating their behavior during negative emotional states and a potential marker for treatment interventions. METHOD: A specifically designed functional magnetic resonance imaging (fMRI) activation probe was used, with statistical parametric mapping analyses, to test hypotheses concerning decreased prefrontal inhibitory function in the context of negative emotion in patients with borderline personality disorder (N=16) and healthy comparison subjects (N=14). 3-T fMRI scanning was used to study brain activity while participants performed an emotional linguistic go/no-go task. RESULTS: Analyses confirmed that under conditions associated with the interaction of behavioral inhibition and negative emotion, borderline patients showed relatively decreased ventromedial prefrontal activity (including medial orbitofrontal and subgenual anterior cingulate) compared with healthy subjects. In borderline patients, under conditions of behavioral inhibition in the context of negative emotion, decreasing ventromedial prefrontal and increasing extended amygdalar-ventral striatal activity correlated highly with measures of decreased constraint and increased negative emotion, respectively. CONCLUSIONS: These findings suggest specific frontolimbic neural substrates associated with core clinical features of emotional and behavioral dyscontrol in borderline personality disorder.","author":[{"dropping-particle":"","family":"Silbersweig","given":"David","non-dropping-particle":"","parse-names":false,"suffix":""},{"dropping-particle":"","family":"Clarkin","given":"John F.","non-dropping-particle":"","parse-names":false,"suffix":""},{"dropping-particle":"","family":"Goldstein","given":"Martin","non-dropping-particle":"","parse-names":false,"suffix":""},{"dropping-particle":"","family":"Kernberg","given":"Otto F.","non-dropping-particle":"","parse-names":false,"suffix":""},{"dropping-particle":"","family":"Tuescher","given":"Oliver","non-dropping-particle":"","parse-names":false,"suffix":""},{"dropping-particle":"","family":"Levy","given":"Kenneth N.","non-dropping-particle":"","parse-names":false,"suffix":""},{"dropping-particle":"","family":"Brendel","given":"Gary","non-dropping-particle":"","parse-names":false,"suffix":""},{"dropping-particle":"","family":"Pan","given":"Hong","non-dropping-particle":"","parse-names":false,"suffix":""},{"dropping-particle":"","family":"Beutel","given":"Manfred","non-dropping-particle":"","parse-names":false,"suffix":""},{"dropping-particle":"","family":"Pavony","given":"Michelle T.","non-dropping-particle":"","parse-names":false,"suffix":""},{"dropping-particle":"","family":"Epstein","given":"Jane","non-dropping-particle":"","parse-names":false,"suffix":""},{"dropping-particle":"","family":"Lenzenweger","given":"Mark F.","non-dropping-particle":"","parse-names":false,"suffix":""},{"dropping-particle":"","family":"Thomas","given":"Kathleen M.","non-dropping-particle":"","parse-names":false,"suffix":""},{"dropping-particle":"","family":"Posner","given":"Michael I.","non-dropping-particle":"","parse-names":false,"suffix":""},{"dropping-particle":"","family":"Stern","given":"Emily","non-dropping-particle":"","parse-names":false,"suffix":""}],"container-title":"American Journal of Psychiatry","id":"ITEM-1","issue":"12","issued":{"date-parts":[["2007"]]},"page":"1832-1841","title":"Failure of frontolimbic inhibitory function in the context of negative emotion in borderline personality disorder","type":"article-journal","volume":"164"}},{"id":"ITEM-2","uris":["http://www.mendeley.com/documents/?uuid=e9b83670-11aa-40d0-a78a-8804486c1815"],"uri":["http://www.mendeley.com/documents/?uuid=e9b83670-11aa-40d0-a78a-8804486c1815"],"itemData":{"DOI":"10.1016/j.biopsych.2003.08.004","ISBN":"0006-3223 (Print)\\r0006-3223","ISSN":"00063223","PMID":"14744467","abstract":"Background: Persistent, intrusive re-experiencing in posttraumatic stress disorder (PTSD) is commonly construed as a failure of cingulate inhibition (i.e., extinction) over a hyperresponsive amygdala, based primarily on animal research of fear conditioning and the finding of cingulate hypoperfusion in PTSD. Methods: We examined functional connectivity in patients with PTSD and healthy trauma survivors during repeated symptom provocation using H 2O15 positron emission tomography. Results: Memory retrieval networks (right prefrontal cortex, hippocampus, and visual cortex) were common to both groups. Networks supporting autonomic and emotional control and preparatory motor action (amygdala, anterior cingulate, subcallosal gyrus, and premotor cortex) differed between the two groups and became progressively disparate with successive presentations of the traumatic script. Patterns of effective connectivity demonstrated the predominance of direct influences of the amygdala on visual cortex, subcallosal gyrus, and anterior cingulate in PTSD but not in control subjects. There was little evidence for failure of inhibition of cingulate or subcallosal cortex over the amygdala. Conclusions: These patterns might represent excessive influences of the amygdala over regions involved in autonomic, and higher-order visual memory processing in PTSD. The present data suggest that inferences of direct correspondence between animal studies and pathophysiology of PTSD should be made with caution.","author":[{"dropping-particle":"","family":"Gilboa","given":"Asaf","non-dropping-particle":"","parse-names":false,"suffix":""},{"dropping-particle":"","family":"Shalev","given":"Arieh Y.","non-dropping-particle":"","parse-names":false,"suffix":""},{"dropping-particle":"","family":"Laor","given":"Lucian","non-dropping-particle":"","parse-names":false,"suffix":""},{"dropping-particle":"","family":"Lester","given":"Hava","non-dropping-particle":"","parse-names":false,"suffix":""},{"dropping-particle":"","family":"Louzoun","given":"Yoram","non-dropping-particle":"","parse-names":false,"suffix":""},{"dropping-particle":"","family":"Chisin","given":"Roland","non-dropping-particle":"","parse-names":false,"suffix":""},{"dropping-particle":"","family":"Bonne","given":"Omer","non-dropping-particle":"","parse-names":false,"suffix":""}],"container-title":"Biological Psychiatry","id":"ITEM-2","issue":"3","issued":{"date-parts":[["2004"]]},"page":"263-272","title":"Functional connectivity of the prefrontal cortex and the amygdala in posttraumatic stress disorder","type":"article-journal","volume":"55"}},{"id":"ITEM-3","uris":["http://www.mendeley.com/documents/?uuid=0f874480-9365-431f-b37a-0f1854abeac1"],"uri":["http://www.mendeley.com/documents/?uuid=0f874480-9365-431f-b37a-0f1854abeac1"],"itemData":{"DOI":"10.1016/S0140-6736(96)01219-6","ISBN":"0140-6736","ISSN":"01406736","PMID":"8684201","abstract":"Background: Lesion and neuroimaging studies suggest that left prefrontal lobe dysfunction is pathophysiologically linked to depression. Rapid-rate transcranial magnetic stimulation (rTMS) to prefrontal structures has a lateralised effect on mood in normal volunteers, and several preliminary studies suggest a beneficial effect of rTMS on depression. However, adequately controlled studies have not been conducted. Methods: We have studied the effects of focal rTMS on the depressive symptoms in 17 patients with medication-resistant depression of psychotic subtype. The study was designed as a multiple cross-over, randomised placebo-controlled trial. Sham rTMS and stimulation of different cortical areas were used as controls. Findings: Left dorsolateral prefrontal cortex rTMS resulted in a significant decrease in scores on the Hamilton depression rating scale HDRS (from 25.2 to 13.8) and the self-rated Beck questionnaire BQ (from 47.9 to 25.7). 11 of the 17 patients showed pronounced improvement that lasted for about 2 weeks after 5 days of daily rTMS sessions. No patient experienced any significant undesirable side-effects. Interpretation: Our findings emphasise the role of the left dorsolateral prefrontal cortex in depression, and suggest that rTMS of the left dorsolateral prefrontal cortex might become a safe, non-convulsive alternative to electroconvulsive treatment in depression.","author":[{"dropping-particle":"","family":"Pascual-Leone","given":"Alvaro","non-dropping-particle":"","parse-names":false,"suffix":""},{"dropping-particle":"","family":"Rubio","given":"Belen","non-dropping-particle":"","parse-names":false,"suffix":""},{"dropping-particle":"","family":"Pallardó","given":"Federico","non-dropping-particle":"","parse-names":false,"suffix":""},{"dropping-particle":"","family":"Catalá","given":"Maria Dolores","non-dropping-particle":"","parse-names":false,"suffix":""}],"container-title":"Lancet","id":"ITEM-3","issue":"9022","issued":{"date-parts":[["1996"]]},"page":"233-237","title":"Rapid-rate transcranial magnetic stimulation of left dorsolateral prefrontal cortex in drug-resistant depression","type":"article-journal","volume":"348"}}],"schema":"https://github.com/citation-style-language/schema/raw/master/csl-citation.json"} </w:instrText>
      </w:r>
      <w:r w:rsidRPr="00C421E4">
        <w:rPr>
          <w:rFonts w:ascii="Times" w:hAnsi="Times"/>
        </w:rPr>
        <w:fldChar w:fldCharType="separate"/>
      </w:r>
      <w:r w:rsidRPr="00C421E4">
        <w:rPr>
          <w:rFonts w:ascii="Times" w:hAnsi="Times"/>
        </w:rPr>
        <w:t xml:space="preserve">(Gilboa et al., 2004; Pascual-Leone, </w:t>
      </w:r>
      <w:r w:rsidRPr="00C421E4">
        <w:rPr>
          <w:rFonts w:ascii="Times" w:hAnsi="Times"/>
        </w:rPr>
        <w:lastRenderedPageBreak/>
        <w:t>Rubio, Pallardó, &amp; Catalá, 1996; Silbersweig et al., 2007)</w:t>
      </w:r>
      <w:r w:rsidRPr="00C421E4">
        <w:rPr>
          <w:rFonts w:ascii="Times" w:hAnsi="Times"/>
        </w:rPr>
        <w:fldChar w:fldCharType="end"/>
      </w:r>
      <w:r w:rsidRPr="00C421E4">
        <w:rPr>
          <w:rFonts w:ascii="Times" w:hAnsi="Times"/>
        </w:rPr>
        <w:t xml:space="preserve">. For instance, patients with Borderline Personality Disorder (BPD) exhibited a prolonged return to baseline amygdalar reactivity (via fMRI) relative to controls after repeatedly viewing negative images </w:t>
      </w:r>
      <w:r w:rsidRPr="00C421E4">
        <w:rPr>
          <w:rFonts w:ascii="Times" w:hAnsi="Times"/>
        </w:rPr>
        <w:fldChar w:fldCharType="begin" w:fldLock="1"/>
      </w:r>
      <w:r w:rsidRPr="00C421E4">
        <w:rPr>
          <w:rFonts w:ascii="Times" w:hAnsi="Times"/>
        </w:rPr>
        <w:instrText xml:space="preserve"> ADDIN ZOTERO_ITEM CSL_CITATION {"citationID":"8Z0cpiU2","properties":{"formattedCitation":"(Hazlett et al., 2012)","plainCitation":"(Hazlett et al., 2012)"},"citationItems":[{"id":"ITEM-1","uris":["http://www.mendeley.com/documents/?uuid=9d8570ac-740c-4585-93ca-eb9d9e323ff8"],"uri":["http://www.mendeley.com/documents/?uuid=9d8570ac-740c-4585-93ca-eb9d9e323ff8"],"itemData":{"DOI":"10.1016/j.biopsych.2012.03.027","ISBN":"0006-3223","ISSN":"00063223","PMID":"22560044","abstract":"Borderline personality disorder (BPD) is characterized by an inability to regulate emotional responses. The amygdala is important in learning about the valence (goodness and badness) of stimuli and functions abnormally in BPD. Event-related functional magnetic resonance imaging (MRI) was employed in three groups: unmedicated BPD (n = 33) and schizotypal personality disorder (n = 28) participants and healthy control subjects (n = 32) during a task involving an intermixed series of unpleasant, neutral, and pleasant pictures each presented twice within their respective trial block/run. The amygdala was hand-traced on each participant's structural MRI scan and co-registered to their MRI scan. Amygdala responses were examined with a mixed-model multivariate analysis of variance. Compared with both control groups, BPD patients showed greater amygdala activation, particularly to the repeated emotional but not neutral pictures, and a prolonged return to baseline for the overall blood oxygen level-dependent response averaged across all pictures. Despite amygdala overactivation, BPD patients showed blunted self-report ratings of emotional but not neutral pictures. Fewer dissociative symptoms in both patient groups were associated with greater amygdala activation to repeated unpleasant pictures. The increased amygdala response to the repeated emotional pictures observed in BPD was not observed in schizotypal patients, suggesting diagnostic specificity. This BPD-related abnormality is consistent with the well-documented clinical feature of high sensitivity to emotional stimuli with unusually strong and long-lasting reactions. The finding of a mismatch between physiological and self-report measures of emotion reactivity in BPD patients suggests they may benefit from treatments targeting emotion recognition. © 2012 Society of Biological Psychiatry.","author":[{"dropping-particle":"","family":"Hazlett","given":"Erin A.","non-dropping-particle":"","parse-names":false,"suffix":""},{"dropping-particle":"","family":"Zhang","given":"Jing","non-dropping-particle":"","parse-names":false,"suffix":""},{"dropping-particle":"","family":"New","given":"Antonia S.","non-dropping-particle":"","parse-names":false,"suffix":""},{"dropping-particle":"","family":"Zelmanova","given":"Yuliya","non-dropping-particle":"","parse-names":false,"suffix":""},{"dropping-particle":"","family":"Goldstein","given":"Kim E.","non-dropping-particle":"","parse-names":false,"suffix":""},{"dropping-particle":"","family":"Haznedar","given":"M. Mehmet","non-dropping-particle":"","parse-names":false,"suffix":""},{"dropping-particle":"","family":"Meyerson","given":"David","non-dropping-particle":"","parse-names":false,"suffix":""},{"dropping-particle":"","family":"Goodman","given":"Marianne","non-dropping-particle":"","parse-names":false,"suffix":""},{"dropping-particle":"","family":"Siever","given":"Larry J.","non-dropping-particle":"","parse-names":false,"suffix":""},{"dropping-particle":"","family":"Chu","given":"King Wai","non-dropping-particle":"","parse-names":false,"suffix":""}],"container-title":"Biological Psychiatry","id":"ITEM-1","issue":"6","issued":{"date-parts":[["2012"]]},"page":"448-456","title":"Potentiated amygdala response to repeated emotional pictures in borderline personality disorder","type":"article-journal","volume":"72"}}],"schema":"https://github.com/citation-style-language/schema/raw/master/csl-citation.json"} </w:instrText>
      </w:r>
      <w:r w:rsidRPr="00C421E4">
        <w:rPr>
          <w:rFonts w:ascii="Times" w:hAnsi="Times"/>
        </w:rPr>
        <w:fldChar w:fldCharType="separate"/>
      </w:r>
      <w:r w:rsidRPr="00C421E4">
        <w:rPr>
          <w:rFonts w:ascii="Times" w:hAnsi="Times"/>
          <w:noProof/>
        </w:rPr>
        <w:t>(Hazlett et al., 2012)</w:t>
      </w:r>
      <w:r w:rsidRPr="00C421E4">
        <w:rPr>
          <w:rFonts w:ascii="Times" w:hAnsi="Times"/>
        </w:rPr>
        <w:fldChar w:fldCharType="end"/>
      </w:r>
      <w:r w:rsidRPr="00C421E4">
        <w:rPr>
          <w:rFonts w:ascii="Times" w:hAnsi="Times"/>
        </w:rPr>
        <w:t xml:space="preserve">, thus demonstrating impaired habituation. Similarly, veterans with post-traumatic stress disorder (PTSD) exhibited less habituation in the visual cortex </w:t>
      </w:r>
      <w:r w:rsidRPr="00C421E4">
        <w:rPr>
          <w:rFonts w:ascii="Times" w:hAnsi="Times"/>
        </w:rPr>
        <w:fldChar w:fldCharType="begin" w:fldLock="1"/>
      </w:r>
      <w:r w:rsidRPr="00C421E4">
        <w:rPr>
          <w:rFonts w:ascii="Times" w:hAnsi="Times"/>
        </w:rPr>
        <w:instrText xml:space="preserve"> ADDIN ZOTERO_ITEM CSL_CITATION {"citationID":"hRfhRIlf","properties":{"formattedCitation":"(Hendler et al., 2001)","plainCitation":"(Hendler et al., 2001)"},"citationItems":[{"id":"ITEM-1","uris":["http://www.mendeley.com/documents/?uuid=414d08f1-988b-42e7-89e8-73835b3d1ecb"],"uri":["http://www.mendeley.com/documents/?uuid=414d08f1-988b-42e7-89e8-73835b3d1ecb"],"itemData":{"DOI":"10.1023/A:1015156222101","ISBN":"0272-4340","ISSN":"02724340","PMID":"12043845","abstract":"Emotive aspects of stimuli have been shown to modulate perceptual thresholds. Lately, studies using functional Magnetic Resonance Imaging (fMRI) showed that emotive aspects of visual stimuli activated not only canonical limbic regions, but also sensory areas in the cerebral cortex. However, it is still arguable to what extent such emotive, related activation in sensory areas of the cortex are affected by physical characteristic or attribute difference of stimuli. To manipulate valence of stimuli while keeping visual features largely unchanged, we took advantage of the Expressional Transfiguration (ET) of faces. In addition, to explore the sensitivity of high level visual regions, we compared repeated with unrepeated (i.e. different) stimuli presentations (fMR adaptation). Thus, the dynamics of brain responses was determined according to the relative signal reduction during \"repeated\" relative to \"different\" presentations (\"adaptation ratio\"). Our results showed, for the first time, that emotional valence produced significant differences in fMR adaptation, but not in overall levels of activation of lateral occipital complex (LOC). We then asked whether this emotion modulation on sensory cortex could be related to previous personal experience that attached negative attributes of stimuli. To clarify this, we investigated Posttraumatic Stress Disorder (PTSD) and non-PTSD veterans. PTSD is characterized by recurrent revival of trauma-related sensations. Such phenomena have been attributed to a disturbed processing of trauma-related stimuli, either at the perceptual level or at the cognitive level. We assumed that PTSD veterans would differ from non-PTSD veterans (who have similar combat experience) in their high order visual cortex responses to combat-related visual stimuli that are associated with their traumatic experience. An fMRI study measured the cerebral activation of subjects while viewing pictures with and without combat content, in \"repeated\" or \"different\" presentation conditions. The emotive effect on the visual cortex was found, again, only in the fMR-adaptation paradigm. Visual cortical regions showed significant differences between PTSD and non-PTSD veterans only in \"repeated\" presentations of trauma-related stimuli (i.e. combat). In these regions, PTSD veterans showed less decrease in signal with repeated presentations of the same combat-related stimuli. This finding points to the possibility that traumatic experience modulates brain activity…","author":[{"dropping-particle":"","family":"Hendler","given":"Talma","non-dropping-particle":"","parse-names":false,"suffix":""},{"dropping-particle":"","family":"Rotshtein","given":"Pia","non-dropping-particle":"","parse-names":false,"suffix":""},{"dropping-particle":"","family":"Hadar","given":"Uri","non-dropping-particle":"","parse-names":false,"suffix":""}],"container-title":"Cellular and Molecular Neurobiology","id":"ITEM-1","issue":"6","issued":{"date-parts":[["2001"]]},"page":"733-752","title":"Emotion-perception interplay in the visual cortex: \"The eyes follow the heart\"","type":"article-journal","volume":"21"}}],"schema":"https://github.com/citation-style-language/schema/raw/master/csl-citation.json"} </w:instrText>
      </w:r>
      <w:r w:rsidRPr="00C421E4">
        <w:rPr>
          <w:rFonts w:ascii="Times" w:hAnsi="Times"/>
        </w:rPr>
        <w:fldChar w:fldCharType="separate"/>
      </w:r>
      <w:r w:rsidRPr="00C421E4">
        <w:rPr>
          <w:rFonts w:ascii="Times" w:hAnsi="Times"/>
          <w:noProof/>
        </w:rPr>
        <w:t>(Hendler et al., 2001)</w:t>
      </w:r>
      <w:r w:rsidRPr="00C421E4">
        <w:rPr>
          <w:rFonts w:ascii="Times" w:hAnsi="Times"/>
        </w:rPr>
        <w:fldChar w:fldCharType="end"/>
      </w:r>
      <w:r w:rsidRPr="00C421E4">
        <w:rPr>
          <w:rFonts w:ascii="Times" w:hAnsi="Times"/>
        </w:rPr>
        <w:t xml:space="preserve"> and in the amygdala </w:t>
      </w:r>
      <w:r w:rsidRPr="00C421E4">
        <w:rPr>
          <w:rFonts w:ascii="Times" w:hAnsi="Times"/>
        </w:rPr>
        <w:fldChar w:fldCharType="begin" w:fldLock="1"/>
      </w:r>
      <w:r w:rsidRPr="00C421E4">
        <w:rPr>
          <w:rFonts w:ascii="Times" w:hAnsi="Times"/>
        </w:rPr>
        <w:instrText xml:space="preserve"> ADDIN ZOTERO_ITEM CSL_CITATION {"citationID":"f0trzDts","properties":{"formattedCitation":"(Shin et al., 2005)","plainCitation":"(Shin et al., 2005)"},"citationItems":[{"id":"ITEM-1","uris":["http://www.mendeley.com/documents/?uuid=15ba23ac-3de7-419d-87d8-f06bee118781"],"uri":["http://www.mendeley.com/documents/?uuid=15ba23ac-3de7-419d-87d8-f06bee118781"],"itemData":{"DOI":"10.1001/archpsyc.62.3.273","ISBN":"0003-990X (Print)\\r0003-990X (Linking)","ISSN":"0003-990X; 0003-990X","PMID":"15753240","abstract":"&lt; Previous Article Next Article &gt; Original Article | March 2005 A Functional Magnetic Resonance Imaging Study of Amygdala and Medial Prefrontal Cortex Responses to Overtly Presented Fearful Faces in Posttraumatic Stress Disorder FREE Lisa M. Shin, PhD; Christopher I. Wright, MD, PhD; Paul A. Cannistraro, MD; Michelle M. Wedig, BS; Katherine McMullin, BA; Brian Martis, MD; Michael L. Macklin, BA; Natasha B. Lasko, PhD; Sarah R. Cavanagh, MA; Terri S. Krangel, PhD; Scott P. Orr, PhD; Roger K. Pitman, MD; Paul J. Whalen, PhD; Scott L. Rauch, MD [+] Author Affiliations Arch Gen Psychiatry. 2005;62(3):273-281. doi:10.1001/archpsyc.62.3.273. Text Size: A A A Article Figures Tables References Comments ABSTRACT ABSTRACT | METHODS | RESULTS | FMRI RESULTS | COMMENT | CONCLUSIONS | ARTICLE INFORMATION | REFERENCES Background Previous functional neuroimaging studies have demonstrated exaggerated amygdala responses and diminished medial prefrontal cortex responses during the symptomatic state in posttraumatic stress disorder (PTSD). Objectives To determine whether these abnormalities also occur in response to overtly presented affective stimuli unrelated to trauma; to examine the functional relationship between the amygdala and medial prefrontal cortex and their relationship to PTSD symptom severity in response to these stimuli; and to determine whether responsivity of these regions habituates normally across repeated stimulus presentations in PTSD. Design Case-control study. Setting Academic medical center. Participants Volunteer sample of 13 men with PTSD (PTSD group) and 13 trauma-exposed men without PTSD (control group). Main Outcome Measures We used functional magnetic resonance imaging (fMRI) to study blood oxygenation level–dependent signal during the presentation of emotional facial expressions. Results The PTSD group exhibited exaggerated amygdala responses and diminished medial prefrontal cortex responses to fearful vs happy facial expressions. In addition, in the PTSD group, blood oxygenation level–dependent signal changes in the amygdala were negatively correlated with signal changes in the medial prefrontal cortex, and symptom severity was negatively related to blood oxygenation level–dependent signal changes in the medial prefrontal cortex. Finally, relative to the control group, the PTSD group tended to exhibit diminished habituation of fearful vs happy responses in the right amygdala across functional runs, although this effect did not exceed our a …","author":[{"dropping-particle":"","family":"Shin","given":"L. M.","non-dropping-particle":"","parse-names":false,"suffix":""},{"dropping-particle":"","family":"Wright","given":"C. I.","non-dropping-particle":"","parse-names":false,"suffix":""},{"dropping-particle":"","family":"Cannistraro","given":"P. A.","non-dropping-particle":"","parse-names":false,"suffix":""},{"dropping-particle":"","family":"Wedig","given":"M. M.","non-dropping-particle":"","parse-names":false,"suffix":""},{"dropping-particle":"","family":"McMullin","given":"K.","non-dropping-particle":"","parse-names":false,"suffix":""},{"dropping-particle":"","family":"Martis","given":"B.","non-dropping-particle":"","parse-names":false,"suffix":""},{"dropping-particle":"","family":"Macklin","given":"Michael L.","non-dropping-particle":"","parse-names":false,"suffix":""},{"dropping-particle":"","family":"LASKO","given":"Natasha B.","non-dropping-particle":"","parse-names":false,"suffix":""},{"dropping-particle":"","family":"CAVANAGH","given":"Sarah R.","non-dropping-particle":"","parse-names":false,"suffix":""},{"dropping-particle":"","family":"KRANGEL","given":"Terri S.","non-dropping-particle":"","parse-names":false,"suffix":""},{"dropping-particle":"","family":"ORR","given":"Scott P.","non-dropping-particle":"","parse-names":false,"suffix":""},{"dropping-particle":"","family":"PITMAN","given":"Roger K.","non-dropping-particle":"","parse-names":false,"suffix":""},{"dropping-particle":"","family":"WHALEN","given":"Paul J.","non-dropping-particle":"","parse-names":false,"suffix":""},{"dropping-particle":"","family":"Rauch","given":"S. L","non-dropping-particle":"","parse-names":false,"suffix":""}],"container-title":"Archives of General Psychiatry","id":"ITEM-1","issue":"3","issued":{"date-parts":[["2005"]]},"page":"273-281","title":"A Functional Magnetic Resonance Imaging Study of Amygdala and Medial Prefrontal Cortex Responses to Overtly Presented Fearful Faces in Posttraumatic Stress Disorder","type":"article-journal","volume":"62"}}],"schema":"https://github.com/citation-style-language/schema/raw/master/csl-citation.json"} </w:instrText>
      </w:r>
      <w:r w:rsidRPr="00C421E4">
        <w:rPr>
          <w:rFonts w:ascii="Times" w:hAnsi="Times"/>
        </w:rPr>
        <w:fldChar w:fldCharType="separate"/>
      </w:r>
      <w:r w:rsidRPr="00C421E4">
        <w:rPr>
          <w:rFonts w:ascii="Times" w:hAnsi="Times"/>
          <w:noProof/>
        </w:rPr>
        <w:t>(Shin et al., 2005)</w:t>
      </w:r>
      <w:r w:rsidRPr="00C421E4">
        <w:rPr>
          <w:rFonts w:ascii="Times" w:hAnsi="Times"/>
        </w:rPr>
        <w:fldChar w:fldCharType="end"/>
      </w:r>
      <w:r w:rsidRPr="00C421E4">
        <w:rPr>
          <w:rFonts w:ascii="Times" w:hAnsi="Times"/>
        </w:rPr>
        <w:t xml:space="preserve"> to negative images relative to a control group matched for combat experience. Finally, individuals with a history of depression showed deficits in self-reported emotion habituation to repeated negative images relative to a never-depressed control group </w:t>
      </w:r>
      <w:r w:rsidRPr="00C421E4">
        <w:rPr>
          <w:rFonts w:ascii="Times" w:hAnsi="Times"/>
        </w:rPr>
        <w:fldChar w:fldCharType="begin"/>
      </w:r>
      <w:r w:rsidRPr="00C421E4">
        <w:rPr>
          <w:rFonts w:ascii="Times" w:hAnsi="Times"/>
        </w:rPr>
        <w:instrText xml:space="preserve"> ADDIN ZOTERO_ITEM CSL_CITATION {"citationID":"s8d1v1fvb","properties":{"formattedCitation":"(Neumeister, Henry, Herscovitch, Charney, &amp; Drevets, 2006; Schaefer, Putnam, Benca, &amp; Davidson, 2006)","plainCitation":"(Neumeister, Henry, Herscovitch, Charney, &amp; Drevets, 2006; Schaefer, Putnam, Benca, &amp; Davidson, 2006)"},"citationItems":[{"id":"N7lIpksm/j8wTR0kj","uris":["http://www.mendeley.com/documents/?uuid=fbd7a816-468c-489d-8984-2a72793f3e27"],"uri":["http://www.mendeley.com/documents/?uuid=fbd7a816-468c-489d-8984-2a72793f3e27"],"itemData":{"author":[{"dropping-particle":"","family":"Neumeister","given":"A.","non-dropping-particle":"","parse-names":false,"suffix":""},{"dropping-particle":"","family":"Henry","given":"S.","non-dropping-particle":"","parse-names":false,"suffix":""},{"dropping-particle":"","family":"Herscovitch","given":"P.","non-dropping-particle":"","parse-names":false,"suffix":""},{"dropping-particle":"","family":"Charney","given":"D. S.","non-dropping-particle":"","parse-names":false,"suffix":""},{"dropping-particle":"","family":"Drevets","given":"W. C.","non-dropping-particle":"","parse-names":false,"suffix":""}],"container-title":"Neuropsychopharmacology","id":"N7lIpksm/j8wTR0kj","issued":{"date-parts":[["2006"]]},"page":"S92-S92","title":"Habituation as a Phenotypic Marker for Major Depression","type":"article-journal","volume":"31"}},{"id":"N7lIpksm/Rc1wUbsq","uris":["http://www.mendeley.com/documents/?uuid=322b702f-0a35-446f-abcd-50af7c2721a4"],"uri":["http://www.mendeley.com/documents/?uuid=322b702f-0a35-446f-abcd-50af7c2721a4"],"itemData":{"DOI":"10.1016/j.biopsych.2006.03.024","ISBN":"0006-3223 (Print)\\r0006-3223 (Linking)","ISSN":"00063223","PMID":"16780808","abstract":"Background: Relationships between aberrant social functioning and depression have been explored via behavioral, clinical, and survey methodologies, highlighting their importance in the etiology of depression. The neural underpinnings of these relationships, however, have not been explored. Methods: Nine depressed participants and 14 never-depressed control subjects viewed emotional and neutral pictures at two functional magnetic resonance imaging (fMRI) scanning sessions approximately 22 weeks apart. In the interim, depressed patients received the antidepressant Venlafaxine. Positively rated images were parsed into three separate comparisons: social interaction, human faces, and sexual images; across scanning session, activation to these images was compared with other positively rated images. Results: For each of the three social stimulus types (social interaction, faces, sexual images), a distinguishable circuitry was activated equally in non-depressed control subjects and post-treatment depressed subjects but showed a hypo-response in the depressed group pre-treatment. These structures include regions of prefrontal, temporal, and parietal cortices, insula, basal ganglia, and the hippocampus. Conclusions: The neural hypo-response to positively valenced social stimuli that is observed in depression remits as response to antidepressant medication occurs, suggesting a state-dependent deficiency in response to positive social incentives. These findings underscore the importance of addressing social dysfunction in research and treatment of depression. ?? 2006 Society of Biological Psychiatry.","author":[{"dropping-particle":"","family":"Schaefer","given":"Hillary S.","non-dropping-particle":"","parse-names":false,"suffix":""},{"dropping-particle":"","family":"Putnam","given":"Katherine M.","non-dropping-particle":"","parse-names":false,"suffix":""},{"dropping-particle":"","family":"Benca","given":"Ruth M.","non-dropping-particle":"","parse-names":false,"suffix":""},{"dropping-particle":"","family":"Davidson","given":"Richard J.","non-dropping-particle":"","parse-names":false,"suffix":""}],"container-title":"Biological Psychiatry","id":"N7lIpksm/Rc1wUbsq","issue":"9","issued":{"date-parts":[["2006"]]},"page":"974-986","title":"Event-Related Functional Magnetic Resonance Imaging Measures of Neural Activity to Positive Social Stimuli in Pre- and Post-Treatment Depression","type":"article-journal","volume":"60"}}],"schema":"https://github.com/citation-style-language/schema/raw/master/csl-citation.json"} </w:instrText>
      </w:r>
      <w:r w:rsidRPr="00C421E4">
        <w:rPr>
          <w:rFonts w:ascii="Times" w:hAnsi="Times"/>
        </w:rPr>
        <w:fldChar w:fldCharType="separate"/>
      </w:r>
      <w:r w:rsidRPr="00C421E4">
        <w:rPr>
          <w:rFonts w:ascii="Times" w:hAnsi="Times"/>
          <w:noProof/>
        </w:rPr>
        <w:t>(Neumeister, Henry, Herscovitch, Charney, &amp; Drevets, 2006; Schaefer, Putnam, Benca, &amp; Davidson, 2006)</w:t>
      </w:r>
      <w:r w:rsidRPr="00C421E4">
        <w:rPr>
          <w:rFonts w:ascii="Times" w:hAnsi="Times"/>
        </w:rPr>
        <w:fldChar w:fldCharType="end"/>
      </w:r>
      <w:r w:rsidRPr="00C421E4">
        <w:rPr>
          <w:rFonts w:ascii="Times" w:hAnsi="Times"/>
        </w:rPr>
        <w:t xml:space="preserve">. </w:t>
      </w:r>
    </w:p>
    <w:p w14:paraId="7052495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1FD57524"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Emotion habituation may also be disrupted in individuals with a chronic history of mTBI, who are characterized by prefrontal cortex hypo-activation </w:t>
      </w:r>
      <w:r w:rsidRPr="00C421E4">
        <w:rPr>
          <w:rFonts w:ascii="Times" w:hAnsi="Times"/>
        </w:rPr>
        <w:fldChar w:fldCharType="begin"/>
      </w:r>
      <w:r w:rsidRPr="00C421E4">
        <w:rPr>
          <w:rFonts w:ascii="Times" w:hAnsi="Times"/>
        </w:rPr>
        <w:instrText xml:space="preserve"> ADDIN ZOTERO_ITEM CSL_CITATION {"citationID":"16jjj1g811","properties":{"formattedCitation":"(van der Horn, Liemburg, Aleman, Spikman, &amp; van der Naalt, 2016)","plainCitation":"(van der Horn, Liemburg, Aleman, Spikman, &amp; van der Naalt, 2016)"},"citationItems":[{"id":"h1OO1zp7/9DIe984e","uris":["http://www.mendeley.com/documents/?uuid=265674bb-5a49-4080-bf4a-b801380c60a6"],"uri":["http://www.mendeley.com/documents/?uuid=265674bb-5a49-4080-bf4a-b801380c60a6"],"itemData":{"DOI":"10.1089/neu.2015.3905","ISSN":"0897-7151","PMID":"25962860","abstract":"The majority of patients with traumatic brain injury (TBI) sustain a mild injury (mTBI). One out of 4 patients experiences persistent complaints, despite their often normal neuropsychological test results and the absence of structural brain damage on conventional neuroimaging. Susceptibility to develop persistent complaints is thought to be affected by interindividual differences in adaptation, which can also be influenced by preinjury psychological factors. Coping is a key construct of adaptation and refers to strategies to deal with new situations and serious life events. An important element of coping is the ability to regulate emotions and stress. The prefrontal cortex is a crucial area in this regulation process, given that it exerts a top-down influence on the amygdala and other subcortical structures involved in emotion processing. However, little is known about the role of the prefrontal cortex and associated brain networks in emotion regulation and adaptation post-mTBI. Especially, the influence of prefrontal dysfunction on development of persistent postconcussive complaints is poorly understood. In this article, we aim to integrate findings from functional and structural MRI studies on this topic. Alterations within the default mode, executive and salience network have been found in relation to complaints post-mTBI. Dysfunction of the medial prefrontal cortex may impair network dynamics for emotion regulation and adaptation post-mTBI, resulting in persistent post-concussive complaints.","author":[{"dropping-particle":"","family":"Horn","given":"Harm J.","non-dropping-particle":"van der","parse-names":false,"suffix":""},{"dropping-particle":"","family":"Liemburg","given":"Edith J.","non-dropping-particle":"","parse-names":false,"suffix":""},{"dropping-particle":"","family":"Aleman","given":"André","non-dropping-particle":"","parse-names":false,"suffix":""},{"dropping-particle":"","family":"Spikman","given":"Jacoba M.","non-dropping-particle":"","parse-names":false,"suffix":""},{"dropping-particle":"","family":"Naalt","given":"Joukje","non-dropping-particle":"van der","parse-names":false,"suffix":""}],"container-title":"Journal of Neurotrauma","id":"h1OO1zp7/9DIe984e","issue":"1","issued":{"date-parts":[["2016"]]},"page":"1-9","title":"Brain Networks Subserving Emotion Regulation and Adaptation after Mild Traumatic Brain Injury","type":"article-journal","volume":"33"}}],"schema":"https://github.com/citation-style-language/schema/raw/master/csl-citation.json"} </w:instrText>
      </w:r>
      <w:r w:rsidRPr="00C421E4">
        <w:rPr>
          <w:rFonts w:ascii="Times" w:hAnsi="Times"/>
        </w:rPr>
        <w:fldChar w:fldCharType="separate"/>
      </w:r>
      <w:r w:rsidRPr="00C421E4">
        <w:rPr>
          <w:rFonts w:ascii="Times" w:hAnsi="Times"/>
          <w:noProof/>
        </w:rPr>
        <w:t>(van der Horn, Liemburg, Aleman, Spikman, &amp; van der Naalt, 2016)</w:t>
      </w:r>
      <w:r w:rsidRPr="00C421E4">
        <w:rPr>
          <w:rFonts w:ascii="Times" w:hAnsi="Times"/>
        </w:rPr>
        <w:fldChar w:fldCharType="end"/>
      </w:r>
      <w:r w:rsidRPr="00C421E4">
        <w:rPr>
          <w:rFonts w:ascii="Times" w:hAnsi="Times"/>
        </w:rPr>
        <w:t>. In our previous work (</w:t>
      </w:r>
      <w:r w:rsidRPr="00C421E4">
        <w:rPr>
          <w:rFonts w:ascii="Times" w:hAnsi="Times"/>
          <w:b/>
        </w:rPr>
        <w:t>Study 2</w:t>
      </w:r>
      <w:r w:rsidRPr="00C421E4">
        <w:rPr>
          <w:rFonts w:ascii="Times" w:hAnsi="Times"/>
        </w:rPr>
        <w:t xml:space="preserve">), we identified irregularities in emotion measures that may be suggestive of dysfunction in emotion habituation in chronic mTBI </w:t>
      </w:r>
      <w:r w:rsidRPr="00C421E4">
        <w:rPr>
          <w:rFonts w:ascii="Times" w:hAnsi="Times"/>
        </w:rPr>
        <w:fldChar w:fldCharType="begin"/>
      </w:r>
      <w:r w:rsidRPr="00C421E4">
        <w:rPr>
          <w:rFonts w:ascii="Times" w:hAnsi="Times"/>
        </w:rPr>
        <w:instrText xml:space="preserve"> ADDIN ZOTERO_ITEM CSL_CITATION {"citationID":"1lqnoc6ecf","properties":{"formattedCitation":"(Janna Mantua, Henry, Garskovas, &amp; Spencer, 2017)","plainCitation":"(Janna Mantua, Henry, Garskovas, &amp; Spencer, 2017)"},"citationItems":[{"id":178,"uris":["http://zotero.org/users/4141602/items/UIH7HSNH"],"uri":["http://zotero.org/users/4141602/items/UIH7HSNH"],"itemData":{"id":178,"type":"article-journal","title":"Mild Traumatic Brain Injury Chronically Impacts Sleep-dependent Emotional Processing","container-title":"Sleep","page":"zsx062","volume":"40","issue":"6","author":[{"family":"Mantua","given":"Janna"},{"family":"Henry","given":"OS"},{"family":"Garskovas","given":"NS"},{"family":"Spencer","given":"R.M.C."}],"issued":{"date-parts":[["2017"]]}}}],"schema":"https://github.com/citation-style-language/schema/raw/master/csl-citation.json"} </w:instrText>
      </w:r>
      <w:r w:rsidRPr="00C421E4">
        <w:rPr>
          <w:rFonts w:ascii="Times" w:hAnsi="Times"/>
        </w:rPr>
        <w:fldChar w:fldCharType="separate"/>
      </w:r>
      <w:r w:rsidRPr="00C421E4">
        <w:rPr>
          <w:rFonts w:ascii="Times" w:hAnsi="Times"/>
          <w:noProof/>
        </w:rPr>
        <w:t>(Mantua, Henry, Garskovas, &amp; Spencer, 2017)</w:t>
      </w:r>
      <w:r w:rsidRPr="00C421E4">
        <w:rPr>
          <w:rFonts w:ascii="Times" w:hAnsi="Times"/>
        </w:rPr>
        <w:fldChar w:fldCharType="end"/>
      </w:r>
      <w:r w:rsidRPr="00C421E4">
        <w:rPr>
          <w:rFonts w:ascii="Times" w:hAnsi="Times"/>
        </w:rPr>
        <w:t xml:space="preserve">. Participants with and without a history of chronic mTBI were shown 30 highly arousing negative images (from the IAPS picture set, e.g., a bloody human limb) on two occasions, once in the morning and once again in the evening (12 hr later). The control (uninjured) participants rated negative images as less negative (more neutral) during the second viewing session (i.e., demonstrating normative habituation), while those with a chronic history of mTBI in the sleep group rated negative stimuli as equally negative during the </w:t>
      </w:r>
      <w:r>
        <w:rPr>
          <w:rFonts w:ascii="Times" w:hAnsi="Times"/>
        </w:rPr>
        <w:t>second viewing session (Figure 7</w:t>
      </w:r>
      <w:r w:rsidRPr="00C421E4">
        <w:rPr>
          <w:rFonts w:ascii="Times" w:hAnsi="Times"/>
        </w:rPr>
        <w:t xml:space="preserve">). Therefore, normative habituation to the negative </w:t>
      </w:r>
      <w:r w:rsidRPr="00C421E4">
        <w:rPr>
          <w:rFonts w:ascii="Times" w:hAnsi="Times"/>
        </w:rPr>
        <w:lastRenderedPageBreak/>
        <w:t>stimuli was not observed in the mTBI group. Given that this finding was incidental and participants were not monitored between image exposure sessions (i.e., participants experienced a normal 12 hour waking day between sessions), a more controlled investigation of this phenomenon is warranted in a chronic mTBI population.</w:t>
      </w:r>
    </w:p>
    <w:p w14:paraId="5AFB9F66"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21EE42D" w14:textId="77777777" w:rsidR="00F7044C" w:rsidRPr="006334A2" w:rsidRDefault="00F7044C" w:rsidP="00F7044C">
      <w:pPr>
        <w:widowControl w:val="0"/>
        <w:tabs>
          <w:tab w:val="left" w:pos="560"/>
          <w:tab w:val="left" w:pos="1120"/>
          <w:tab w:val="left" w:pos="1680"/>
          <w:tab w:val="left" w:pos="2240"/>
          <w:tab w:val="left" w:pos="2800"/>
          <w:tab w:val="left" w:pos="3360"/>
          <w:tab w:val="left" w:pos="3920"/>
          <w:tab w:val="left" w:pos="4480"/>
        </w:tabs>
        <w:autoSpaceDE w:val="0"/>
        <w:autoSpaceDN w:val="0"/>
        <w:adjustRightInd w:val="0"/>
        <w:spacing w:line="480" w:lineRule="auto"/>
        <w:jc w:val="center"/>
        <w:outlineLvl w:val="0"/>
        <w:rPr>
          <w:rFonts w:ascii="Times" w:hAnsi="Times"/>
          <w:b/>
        </w:rPr>
      </w:pPr>
      <w:r>
        <w:rPr>
          <w:rFonts w:ascii="Times" w:hAnsi="Times"/>
          <w:b/>
        </w:rPr>
        <w:t xml:space="preserve">3. </w:t>
      </w:r>
      <w:r w:rsidRPr="006334A2">
        <w:rPr>
          <w:rFonts w:ascii="Times" w:hAnsi="Times"/>
          <w:b/>
        </w:rPr>
        <w:t>Reactivity to Emotion Stimuli in Depression and mTBI</w:t>
      </w:r>
    </w:p>
    <w:p w14:paraId="762436D6" w14:textId="77777777" w:rsidR="00F7044C" w:rsidRPr="00C421E4" w:rsidRDefault="00F7044C" w:rsidP="00F7044C">
      <w:pPr>
        <w:spacing w:line="480" w:lineRule="auto"/>
        <w:rPr>
          <w:rFonts w:ascii="Times" w:hAnsi="Times"/>
        </w:rPr>
      </w:pPr>
      <w:r w:rsidRPr="00C421E4">
        <w:rPr>
          <w:rFonts w:ascii="Times" w:hAnsi="Times"/>
        </w:rPr>
        <w:t xml:space="preserve">Patients with depressive symptoms also have abnormalities in physiological reactivity to emotional stimuli. Physiological reactivity is the instinctive activation of the autonomic nervous system (which is triggered by the amygdala) in an emotionally laden situation </w:t>
      </w:r>
      <w:r w:rsidRPr="00C421E4">
        <w:rPr>
          <w:rFonts w:ascii="Times" w:hAnsi="Times"/>
        </w:rPr>
        <w:fldChar w:fldCharType="begin" w:fldLock="1"/>
      </w:r>
      <w:r w:rsidRPr="00C421E4">
        <w:rPr>
          <w:rFonts w:ascii="Times" w:hAnsi="Times"/>
        </w:rPr>
        <w:instrText xml:space="preserve"> ADDIN ZOTERO_ITEM CSL_CITATION {"citationID":"7BDO6Xih","properties":{"formattedCitation":"(Levenson, 2003)","plainCitation":"(Levenson, 2003)"},"citationItems":[{"id":"ITEM-1","uris":["http://www.mendeley.com/documents/?uuid=b3e2b9dd-3a8f-43a7-88c2-d2140bae904f"],"uri":["http://www.mendeley.com/documents/?uuid=b3e2b9dd-3a8f-43a7-88c2-d2140bae904f"],"itemData":{"DOI":"10.1196/annals.1280.016","ISBN":"5106425050","ISSN":"00778923","PMID":"14766648","abstract":"The autonomic nervous system (ANS) plays a critical role in emotion, providing metabolic support for adaptive action, generating ap- pearance changes with high signal value for conspecifics, and producing visceral sensations that shape subjective emotional experience. In this chapter, I consider several of the most important ways that the ANS is in- volved in emotion, including: (a) peripheral activation of emotion; (b) au- tonomic influences on emotional language and the labeling of subjective emotional experience; (c) positive emotion and autonomic soothing; (d) ex- pressive signs of autonomic origin; (e) autonomic substrates of emotional contagion and empathy; and (f) autonomic consequences of emotion regu- lation. For each, I describe relevant research from our laboratory and dis- cuss implications for an evolutionary account of emotion. In these and many other ways the autonomic architecture of human emotion has evolved not only to move blood and tears in the service of fears, but also to provide us with a rich set of tools that help us communicate and signal the nature of our internal emotional experiences, understand the emotions of others, calm ourselves and others, and give us some modicum of control over harmful and unproductive emotions. KEYWORDS:","author":[{"dropping-particle":"","family":"Levenson","given":"Robert W.","non-dropping-particle":"","parse-names":false,"suffix":""}],"container-title":"Annals of the New York Academy of Sciences","id":"ITEM-1","issued":{"date-parts":[["2003"]]},"page":"348-366","title":"Blood, Sweat, and Fears: The Autonomic Architecture of Emotion","type":"paper-conference","volume":"1000"}}],"schema":"https://github.com/citation-style-language/schema/raw/master/csl-citation.json"} </w:instrText>
      </w:r>
      <w:r w:rsidRPr="00C421E4">
        <w:rPr>
          <w:rFonts w:ascii="Times" w:hAnsi="Times"/>
        </w:rPr>
        <w:fldChar w:fldCharType="separate"/>
      </w:r>
      <w:r w:rsidRPr="00C421E4">
        <w:rPr>
          <w:rFonts w:ascii="Times" w:hAnsi="Times"/>
          <w:noProof/>
        </w:rPr>
        <w:t>(Levenson, 2003)</w:t>
      </w:r>
      <w:r w:rsidRPr="00C421E4">
        <w:rPr>
          <w:rFonts w:ascii="Times" w:hAnsi="Times"/>
        </w:rPr>
        <w:fldChar w:fldCharType="end"/>
      </w:r>
      <w:r w:rsidRPr="00C421E4">
        <w:rPr>
          <w:rFonts w:ascii="Times" w:hAnsi="Times"/>
        </w:rPr>
        <w:t xml:space="preserve">. Physiological responses can be gauged using a number of measures, including heart rate deceleration, skin conductance, and facial muscle tone. A meta-analysis, which aggregated findings from eight studies (and included nearly 500 participants) found a robust decrease in physiological reactivity to a range of both positive and negative stimuli (e.g., IAPS pictures, videos) in individuals with major depression </w:t>
      </w:r>
      <w:r w:rsidRPr="00C421E4">
        <w:rPr>
          <w:rFonts w:ascii="Times" w:hAnsi="Times"/>
        </w:rPr>
        <w:fldChar w:fldCharType="begin" w:fldLock="1"/>
      </w:r>
      <w:r w:rsidRPr="00C421E4">
        <w:rPr>
          <w:rFonts w:ascii="Times" w:hAnsi="Times"/>
        </w:rPr>
        <w:instrText xml:space="preserve"> ADDIN ZOTERO_ITEM CSL_CITATION {"citationID":"i2U6aPSI","properties":{"formattedCitation":"(Bylsma, Morris, &amp; Rottenberg, 2008)","plainCitation":"(Bylsma, Morris, &amp; Rottenberg, 2008)"},"citationItems":[{"id":"ITEM-1","uris":["http://www.mendeley.com/documents/?uuid=865391b8-21bd-4d76-9a09-55edcaba9b50"],"uri":["http://www.mendeley.com/documents/?uuid=865391b8-21bd-4d76-9a09-55edcaba9b50"],"itemData":{"DOI":"10.1016/j.cpr.2007.10.001","ISBN":"0272-7358","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Review","id":"ITEM-1","issue":"4","issued":{"date-parts":[["2008"]]},"page":"676-691","title":"A meta-analysis of emotional reactivity in major depressive disorder","type":"article","volume":"28"}}],"schema":"https://github.com/citation-style-language/schema/raw/master/csl-citation.json"} </w:instrText>
      </w:r>
      <w:r w:rsidRPr="00C421E4">
        <w:rPr>
          <w:rFonts w:ascii="Times" w:hAnsi="Times"/>
        </w:rPr>
        <w:fldChar w:fldCharType="separate"/>
      </w:r>
      <w:r w:rsidRPr="00C421E4">
        <w:rPr>
          <w:rFonts w:ascii="Times" w:hAnsi="Times"/>
          <w:noProof/>
        </w:rPr>
        <w:t>(Bylsma, Morris, &amp; Rottenberg, 2008)</w:t>
      </w:r>
      <w:r w:rsidRPr="00C421E4">
        <w:rPr>
          <w:rFonts w:ascii="Times" w:hAnsi="Times"/>
        </w:rPr>
        <w:fldChar w:fldCharType="end"/>
      </w:r>
      <w:r w:rsidRPr="00C421E4">
        <w:rPr>
          <w:rFonts w:ascii="Times" w:hAnsi="Times"/>
        </w:rPr>
        <w:t xml:space="preserve">. Interestingly, greater (i.e., normal) physiological reactivity to emotional stimuli predicts a reduction in subsequent depression symptoms </w:t>
      </w:r>
      <w:r w:rsidRPr="00C421E4">
        <w:rPr>
          <w:rFonts w:ascii="Times" w:hAnsi="Times"/>
        </w:rPr>
        <w:fldChar w:fldCharType="begin"/>
      </w:r>
      <w:r w:rsidRPr="00C421E4">
        <w:rPr>
          <w:rFonts w:ascii="Times" w:hAnsi="Times"/>
        </w:rPr>
        <w:instrText xml:space="preserve"> ADDIN ZOTERO_ITEM CSL_CITATION {"citationID":"1mhvvvsr3s","properties":{"formattedCitation":"(Canli et al., 2005; Rottenberg, Kasch, Gross, &amp; Gotlib, 2002)","plainCitation":"(Canli et al., 2005; Rottenberg, Kasch, Gross, &amp; Gotlib, 2002)"},"citationItems":[{"id":"N7lIpksm/yIcEv3oe","uris":["http://www.mendeley.com/documents/?uuid=eea7767a-9450-42ab-a0a0-06180d9584d0"],"uri":["http://www.mendeley.com/documents/?uuid=eea7767a-9450-42ab-a0a0-06180d9584d0"],"itemData":{"DOI":"10.1097/01.wnr.0000174407.09515.cc","ISBN":"0959-4965 (Print)\\n0959-4965 (Linking)","ISSN":"0959-4965","PMID":"16056122","abstract":"Behavioral studies suggest that emotional reactivity in depressed persons predicts subsequent symptom reduction. Using functional magnetic resonance imaging in a prospective study, we show that greater amygdala activation to emotional facial expressions among depressed patients predicts symptom reduction 8 months later, controlling for initial depression severity and medication status. Functional magnetic resonance imaging may thus be used as a method to identify neural markers in depressed patients at risk for poor outcome.","author":[{"dropping-particle":"","family":"Canli","given":"Turhan","non-dropping-particle":"","parse-names":false,"suffix":""},{"dropping-particle":"","family":"Cooney","given":"Rebecca E","non-dropping-particle":"","parse-names":false,"suffix":""},{"dropping-particle":"","family":"Goldin","given":"Philippe R","non-dropping-particle":"","parse-names":false,"suffix":""},{"dropping-particle":"","family":"Shah","given":"Maulik P","non-dropping-particle":"","parse-names":false,"suffix":""},{"dropping-particle":"","family":"Sivers","given":"Heidi","non-dropping-particle":"","parse-names":false,"suffix":""},{"dropping-particle":"","family":"Thomason","given":"Moriah E","non-dropping-particle":"","parse-names":false,"suffix":""},{"dropping-particle":"","family":"Whitfield-Gabrieli","given":"Susan","non-dropping-particle":"","parse-names":false,"suffix":""},{"dropping-particle":"","family":"Gabrieli","given":"John D","non-dropping-particle":"","parse-names":false,"suffix":""},{"dropping-particle":"","family":"Gotlib","given":"Ian H","non-dropping-particle":"","parse-names":false,"suffix":""}],"container-title":"Neuroreport","id":"N7lIpksm/yIcEv3oe","issue":"12","issued":{"date-parts":[["2005"]]},"page":"1267-70","title":"Amygdala reactivity to emotional faces predicts improvement in major depression.","type":"article-journal","volume":"16"}},{"id":"N7lIpksm/uhaPrQ7R","uris":["http://www.mendeley.com/documents/?uuid=9b7e69f8-9c8a-4120-9c86-0689dd25ad29"],"uri":["http://www.mendeley.com/documents/?uuid=9b7e69f8-9c8a-4120-9c86-0689dd25ad29"],"itemData":{"DOI":"10.1037/1528-3542.2.2.135","ISBN":"1528-3542 (Print) 1528-3542 (Linking)","ISSN":"1528-3542","PMID":"12899187","abstract":"Depressed individuals often fail to react to emotionally significant stimuli. The significance of this pattern of emotional dysregulation in depression is poorly understood. In the present study, depressed and nondepressed participants viewed standardized neutral, sad, fear, and amusing films; and experiential, behavioral, and physiological responses to each film were assessed. Compared with nondepressed controls, depressed participants reported sadness and amusement in a flattened, context-insensitive manner. Those depressed participants who reported the least reactivity to the sad film exhibited the greatest concurrent impairment. Prospectively, the depressed participant who exhibited the least behavioral and heart rate reactivity to the amusing film were the least likely to recover from depression. Loss of the context-appropriate modulation of emotion in depression may reflect a core feature of emotion dysregulation in this disorder.","author":[{"dropping-particle":"","family":"Rottenberg","given":"Jonathan","non-dropping-particle":"","parse-names":false,"suffix":""},{"dropping-particle":"","family":"Kasch","given":"Karen L","non-dropping-particle":"","parse-names":false,"suffix":""},{"dropping-particle":"","family":"Gross","given":"James J","non-dropping-particle":"","parse-names":false,"suffix":""},{"dropping-particle":"","family":"Gotlib","given":"Ian H","non-dropping-particle":"","parse-names":false,"suffix":""}],"container-title":"Emotion","id":"N7lIpksm/uhaPrQ7R","issue":"2","issued":{"date-parts":[["2002"]]},"page":"135-146","title":"Sadness and amusement reactivity differentially predict concurrent and prospective functioning in major depressive disorder.","type":"article-journal","volume":"2"}}],"schema":"https://github.com/citation-style-language/schema/raw/master/csl-citation.json"} </w:instrText>
      </w:r>
      <w:r w:rsidRPr="00C421E4">
        <w:rPr>
          <w:rFonts w:ascii="Times" w:hAnsi="Times"/>
        </w:rPr>
        <w:fldChar w:fldCharType="separate"/>
      </w:r>
      <w:r w:rsidRPr="00C421E4">
        <w:rPr>
          <w:rFonts w:ascii="Times" w:hAnsi="Times"/>
          <w:noProof/>
        </w:rPr>
        <w:t>(Canli et al., 2005; Rottenberg, Kasch, Gross, &amp; Gotlib, 2002)</w:t>
      </w:r>
      <w:r w:rsidRPr="00C421E4">
        <w:rPr>
          <w:rFonts w:ascii="Times" w:hAnsi="Times"/>
        </w:rPr>
        <w:fldChar w:fldCharType="end"/>
      </w:r>
      <w:r w:rsidRPr="00C421E4">
        <w:rPr>
          <w:rFonts w:ascii="Times" w:hAnsi="Times"/>
        </w:rPr>
        <w:t>, suggesting blunted emotion reactivity may contribute to depression maintenance.</w:t>
      </w:r>
    </w:p>
    <w:p w14:paraId="66589B31"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046837C"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Similarly, in two recent studies by Good and colleagues </w:t>
      </w:r>
      <w:r w:rsidRPr="00C421E4">
        <w:rPr>
          <w:rFonts w:ascii="Times" w:hAnsi="Times"/>
        </w:rPr>
        <w:fldChar w:fldCharType="begin"/>
      </w:r>
      <w:r w:rsidRPr="00C421E4">
        <w:rPr>
          <w:rFonts w:ascii="Times" w:hAnsi="Times"/>
        </w:rPr>
        <w:instrText xml:space="preserve"> ADDIN ZOTERO_ITEM CSL_CITATION {"citationID":"1ovar1ctfg","properties":{"unsorted":true,"formattedCitation":"(van Noordt &amp; Good, 2011a; Baker &amp; Good, 2014)","plainCitation":"(van Noordt &amp; Good, 2011a; Baker &amp; Good, 2014)","dontUpdate":true},"citationItems":[{"id":"N7lIpksm/8NMyT5fF","uris":["http://www.mendeley.com/documents/?uuid=21066ddb-1706-42a8-8ec2-844bb2c5e641"],"uri":["http://www.mendeley.com/documents/?uuid=21066ddb-1706-42a8-8ec2-844bb2c5e641"],"itemData":{"DOI":"10.3109/02699052.2011.580312","ISBN":"02699052 (ISSN)","ISSN":"1362-301X","PMID":"21619460","abstract":"SUMMARY: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author":[{"dropping-particle":"","family":"Noordt","given":"Stefon","non-dropping-particle":"van","parse-names":false,"suffix":""},{"dropping-particle":"","family":"Good","given":"Dawn","non-dropping-particle":"","parse-names":false,"suffix":""}],"container-title":"Brain injury","id":"N7lIpksm/8NMyT5fF","issue":"7-8","issued":{"date-parts":[["2011"]]},"page":"707-16","title":"Mild head injury and sympathetic arousal: investigating relationships with decision-making and neuropsychological performance in university students.","type":"article-journal","volume":"25"}},{"id":"N7lIpksm/AgThaa7T","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[BI]","id":"N7lIpksm/AgThaa7T","issue":"1","issued":{"date-parts":[["2014"]]},"page":"51-65","title":"Physiological emotional under-arousal in individuals with mild head injury.","type":"article-journal","volume":"28"}}],"schema":"https://github.com/citation-style-language/schema/raw/master/csl-citation.json"}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(van Noordt &amp; Good, 2011; Baker &amp; Good, 2014)</w:t>
      </w:r>
      <w:r w:rsidRPr="00C421E4">
        <w:rPr>
          <w:rFonts w:ascii="Times" w:hAnsi="Times"/>
        </w:rPr>
        <w:fldChar w:fldCharType="end"/>
      </w:r>
      <w:r w:rsidRPr="00C421E4">
        <w:rPr>
          <w:rFonts w:ascii="Times" w:hAnsi="Times"/>
        </w:rPr>
        <w:t xml:space="preserve">, individuals with a chronic history of mTBI had blunted reactivity (via skin conductance measures but not self-reported arousal measures) during the Trier Stress Test (in which individuals must deliver an unrehearsed speech to peers) and during </w:t>
      </w:r>
      <w:r w:rsidRPr="00C421E4">
        <w:rPr>
          <w:rFonts w:ascii="Times" w:hAnsi="Times"/>
        </w:rPr>
        <w:lastRenderedPageBreak/>
        <w:t xml:space="preserve">a challenging cognitive task. Although the control (non-TBI) groups had an increase in skin conductance when stressed, the mTBI groups did not. It has been suggested TBI-induced damage to the prefrontal cortex (i.e., an emotion modulating region) alters emotion reactivity </w:t>
      </w:r>
      <w:r w:rsidRPr="00C421E4">
        <w:rPr>
          <w:rFonts w:ascii="Times" w:hAnsi="Times"/>
        </w:rPr>
        <w:fldChar w:fldCharType="begin" w:fldLock="1"/>
      </w:r>
      <w:r w:rsidRPr="00C421E4">
        <w:rPr>
          <w:rFonts w:ascii="Times" w:hAnsi="Times"/>
        </w:rPr>
        <w:instrText xml:space="preserve"> ADDIN ZOTERO_ITEM CSL_CITATION {"citationID":"G3GZP56L","properties":{"formattedCitation":"(de Sousa et al., 2010, 2011; van der Horn et al., 2016)","plainCitation":"(de Sousa et al., 2010, 2011; van der Horn et al., 2016)"},"citationItems":[{"id":"ITEM-1","uris":["http://www.mendeley.com/documents/?uuid=265674bb-5a49-4080-bf4a-b801380c60a6"],"uri":["http://www.mendeley.com/documents/?uuid=265674bb-5a49-4080-bf4a-b801380c60a6"],"itemData":{"DOI":"10.1089/neu.2015.3905","ISSN":"0897-7151","PMID":"25962860","abstract":"The majority of patients with traumatic brain injury (TBI) sustain a mild injury (mTBI). One out of 4 patients experiences persistent complaints, despite their often normal neuropsychological test results and the absence of structural brain damage on conventional neuroimaging. Susceptibility to develop persistent complaints is thought to be affected by interindividual differences in adaptation, which can also be influenced by preinjury psychological factors. Coping is a key construct of adaptation and refers to strategies to deal with new situations and serious life events. An important element of coping is the ability to regulate emotions and stress. The prefrontal cortex is a crucial area in this regulation process, given that it exerts a top-down influence on the amygdala and other subcortical structures involved in emotion processing. However, little is known about the role of the prefrontal cortex and associated brain networks in emotion regulation and adaptation post-mTBI. Especially, the influence of prefrontal dysfunction on development of persistent postconcussive complaints is poorly understood. In this article, we aim to integrate findings from functional and structural MRI studies on this topic. Alterations within the default mode, executive and salience network have been found in relation to complaints post-mTBI. Dysfunction of the medial prefrontal cortex may impair network dynamics for emotion regulation and adaptation post-mTBI, resulting in persistent post-concussive complaints.","author":[{"dropping-particle":"","family":"Horn","given":"Harm J.","non-dropping-particle":"van der","parse-names":false,"suffix":""},{"dropping-particle":"","family":"Liemburg","given":"Edith J.","non-dropping-particle":"","parse-names":false,"suffix":""},{"dropping-particle":"","family":"Aleman","given":"André","non-dropping-particle":"","parse-names":false,"suffix":""},{"dropping-particle":"","family":"Spikman","given":"Jacoba M.","non-dropping-particle":"","parse-names":false,"suffix":""},{"dropping-particle":"","family":"Naalt","given":"Joukje","non-dropping-particle":"van der","parse-names":false,"suffix":""}],"container-title":"Journal of Neurotrauma","id":"ITEM-1","issue":"1","issued":{"date-parts":[["2016"]]},"page":"1-9","title":"Brain Networks Subserving Emotion Regulation and Adaptation after Mild Traumatic Brain Injury","type":"article-journal","volume":"33"}},{"id":"ITEM-2","uris":["http://www.mendeley.com/documents/?uuid=37f1dc3e-29fe-47f0-8106-4e09846d9b9e"],"uri":["http://www.mendeley.com/documents/?uuid=37f1dc3e-29fe-47f0-8106-4e09846d9b9e"],"itemData":{"DOI":"10.1016/j.neuropsychologia.2010.08.008","ISBN":"0028-3932","ISSN":"00283932","PMID":"20713073","abstract":"Although the existence of empathy deficits in people with traumatic brain injury (TBI) is generally well accepted, it has been a topic of limited investigation. The current study examined the relationship between self-reported emotional and cognitive empathy and psychophysiological responding to emotionally evocative pictures in 20 patients with severe TBI and 22 control participants. Eighteen pictures with alternating pleasant, unpleasant and neutral content selected from the International Affective Picture System (IAPS) were presented whilst facial muscle responses, skin conductance, and valence and arousal ratings were measured. Self-reported emotional and cognitive empathy questionnaires were also administered. In comparison to control participants, those in the TBI group displayed a reduction in the ability to empathize both emotionally and cognitively, and evidence that these two aspects of empathy may be interconnected was established. Further, TBI participants showed reduced facial responding to unpleasant pictures, while also rating them as less unpleasant and arousing than controls. In addition, they exhibited lowered autonomic arousal to all pictures, regardless of affective valence. Interestingly, hypoarousal to pleasant pictures in particular was found to be related to the absence of empathy observed after TBI, and is consistent with the view that impaired emotional responsivity is associated with impairment to the empathy network. The results represent a further step towards understanding what processes shape empathy. ?? 2010 Elsevier Ltd.","author":[{"dropping-particle":"","family":"Sousa","given":"Arielle","non-dropping-particle":"de","parse-names":false,"suffix":""},{"dropping-particle":"","family":"McDonald","given":"Skye","non-dropping-particle":"","parse-names":false,"suffix":""},{"dropping-particle":"","family":"Rushby","given":"Jacqueline","non-dropping-particle":"","parse-names":false,"suffix":""},{"dropping-particle":"","family":"Li","given":"Sophie","non-dropping-particle":"","parse-names":false,"suffix":""},{"dropping-particle":"","family":"Dimoska","given":"Aneta","non-dropping-particle":"","parse-names":false,"suffix":""},{"dropping-particle":"","family":"James","given":"Charlotte","non-dropping-particle":"","parse-names":false,"suffix":""}],"container-title":"Neuropsychologia","id":"ITEM-2","issue":"12","issued":{"date-parts":[["2010"]]},"page":"3585-3595","title":"Why don't you feel how I feel? Insight into the absence of empathy after severe Traumatic Brain Injury","type":"article-journal","volume":"48"}},{"id":"ITEM-3","uris":["http://www.mendeley.com/documents/?uuid=281533e6-4b19-4f55-9395-d9bb9b44aa52"],"uri":["http://www.mendeley.com/documents/?uuid=281533e6-4b19-4f55-9395-d9bb9b44aa52"],"itemData":{"DOI":"10.1016/j.cortex.2010.02.004","ISBN":"0010-9452","ISSN":"00109452","PMID":"20334857","abstract":"People with traumatic brain injury (TBI) often find social situations challenging because they can no longer respond to the emotional state of the people they are with. Many also lack emotional empathy in their social interactions. But are these problems related? The present study addressed this question by examining psychophysiological indices of emotional responding, including facial electromyography (EMG) and skin conductance during exposure to happy and angry facial expressions, in addition to self-rated emotional empathy in 21 adults with severe TBI and 22 control participants. In comparison to control participants, those in the TBI group displayed a reduction in the ability to empathize emotionally, and showed reduced physiological responding to the emotional expression of anger. By contrast, the control group spontaneously mimicked the emotional expressions they were exposed to, regardless of affective valence, and also demonstrated higher skin conductance responsivity to angry faces. The data further suggested that a loss of emotional empathy plays a role in the emotional response deficits to angry facial expressions following TBI. The results have implications for understanding the impaired social functioning and poor quality of interpersonal relationships commonly seen as a consequence of TBI. © 2010 Elsevier Srl.","author":[{"dropping-particle":"","family":"Sousa","given":"Arielle","non-dropping-particle":"de","parse-names":false,"suffix":""},{"dropping-particle":"","family":"McDonald","given":"Skye","non-dropping-particle":"","parse-names":false,"suffix":""},{"dropping-particle":"","family":"Rushby","given":"Jacqueline","non-dropping-particle":"","parse-names":false,"suffix":""},{"dropping-particle":"","family":"Li","given":"Sophie","non-dropping-particle":"","parse-names":false,"suffix":""},{"dropping-particle":"","family":"Dimoska","given":"Aneta","non-dropping-particle":"","parse-names":false,"suffix":""},{"dropping-particle":"","family":"James","given":"Charlotte","non-dropping-particle":"","parse-names":false,"suffix":""}],"container-title":"Cortex","id":"ITEM-3","issue":"5","issued":{"date-parts":[["2011"]]},"page":"526-535","title":"Understanding deficits in empathy after traumatic brain injury: The role of affective responsivity","type":"article-journal","volume":"47"}}],"schema":"https://github.com/citation-style-language/schema/raw/master/csl-citation.json"} </w:instrText>
      </w:r>
      <w:r w:rsidRPr="00C421E4">
        <w:rPr>
          <w:rFonts w:ascii="Times" w:hAnsi="Times"/>
        </w:rPr>
        <w:fldChar w:fldCharType="separate"/>
      </w:r>
      <w:r w:rsidRPr="00C421E4">
        <w:rPr>
          <w:rFonts w:ascii="Times" w:hAnsi="Times"/>
          <w:noProof/>
        </w:rPr>
        <w:t>(de Sousa et al., 2010, 2011; van der Horn et al., 2016)</w:t>
      </w:r>
      <w:r w:rsidRPr="00C421E4">
        <w:rPr>
          <w:rFonts w:ascii="Times" w:hAnsi="Times"/>
        </w:rPr>
        <w:fldChar w:fldCharType="end"/>
      </w:r>
      <w:r w:rsidRPr="00C421E4">
        <w:rPr>
          <w:rFonts w:ascii="Times" w:hAnsi="Times"/>
        </w:rPr>
        <w:t xml:space="preserve">. As previously mentioned, blunted physiological reactivity may contribute to maintaining depression, and thus it is possible that TBI-induced arousal blunting may contribute to initiating or maintaining depression. </w:t>
      </w:r>
    </w:p>
    <w:p w14:paraId="5C2F2056"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16F8597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In unpublished analyses from our previous work (</w:t>
      </w:r>
      <w:r w:rsidRPr="00C421E4">
        <w:rPr>
          <w:rFonts w:ascii="Times" w:hAnsi="Times"/>
          <w:b/>
        </w:rPr>
        <w:t>Study 2</w:t>
      </w:r>
      <w:r w:rsidRPr="00C421E4">
        <w:rPr>
          <w:rFonts w:ascii="Times" w:hAnsi="Times"/>
        </w:rPr>
        <w:t xml:space="preserve">), we did not find significant differences in reactivity to emotional stimuli. Specifically, we did not detect differences in valence or arousal ratings to negative or neutral IAPS images between non-TBI and mTBI groups. However, reactivity measures were acquired both in the morning and in the evening. Interestingly, we found near-significant differences in reactivity between mTBI and non-TBI groups in the morning (mTBI mean = 1.95 </w:t>
      </w:r>
      <w:r w:rsidRPr="00C421E4">
        <w:rPr>
          <w:rFonts w:ascii="Times" w:hAnsi="Times"/>
        </w:rPr>
        <w:sym w:font="Symbol" w:char="F0B1"/>
      </w:r>
      <w:r w:rsidRPr="00C421E4">
        <w:rPr>
          <w:rFonts w:ascii="Times" w:hAnsi="Times"/>
        </w:rPr>
        <w:t xml:space="preserve"> .47, non-TBI mean = 1.70 </w:t>
      </w:r>
      <w:r w:rsidRPr="00C421E4">
        <w:rPr>
          <w:rFonts w:ascii="Times" w:hAnsi="Times"/>
        </w:rPr>
        <w:sym w:font="Symbol" w:char="F0B1"/>
      </w:r>
      <w:r w:rsidRPr="00C421E4">
        <w:rPr>
          <w:rFonts w:ascii="Times" w:hAnsi="Times"/>
        </w:rPr>
        <w:t xml:space="preserve"> .43; </w:t>
      </w:r>
      <w:proofErr w:type="gramStart"/>
      <w:r w:rsidRPr="00C421E4">
        <w:rPr>
          <w:rFonts w:ascii="Times" w:hAnsi="Times"/>
        </w:rPr>
        <w:t>F(</w:t>
      </w:r>
      <w:proofErr w:type="gramEnd"/>
      <w:r w:rsidRPr="00C421E4">
        <w:rPr>
          <w:rFonts w:ascii="Times" w:hAnsi="Times"/>
        </w:rPr>
        <w:t xml:space="preserve">1,31) = 2.82, p = .08), yet no clear differences between groups in the evening (mTBI mean = 1.82 </w:t>
      </w:r>
      <w:r w:rsidRPr="00C421E4">
        <w:rPr>
          <w:rFonts w:ascii="Times" w:hAnsi="Times"/>
        </w:rPr>
        <w:sym w:font="Symbol" w:char="F0B1"/>
      </w:r>
      <w:r w:rsidRPr="00C421E4">
        <w:rPr>
          <w:rFonts w:ascii="Times" w:hAnsi="Times"/>
        </w:rPr>
        <w:t xml:space="preserve"> .39; non-TBI mean = 1.94 </w:t>
      </w:r>
      <w:r w:rsidRPr="00C421E4">
        <w:rPr>
          <w:rFonts w:ascii="Times" w:hAnsi="Times"/>
        </w:rPr>
        <w:sym w:font="Symbol" w:char="F0B1"/>
      </w:r>
      <w:r w:rsidRPr="00C421E4">
        <w:rPr>
          <w:rFonts w:ascii="Times" w:hAnsi="Times"/>
        </w:rPr>
        <w:t xml:space="preserve"> .49; F(1,34) = .50, p = .48; </w:t>
      </w:r>
      <w:r>
        <w:rPr>
          <w:rFonts w:ascii="Times" w:hAnsi="Times"/>
        </w:rPr>
        <w:t>Figure 7</w:t>
      </w:r>
      <w:r w:rsidRPr="00C421E4">
        <w:rPr>
          <w:rFonts w:ascii="Times" w:hAnsi="Times"/>
        </w:rPr>
        <w:t xml:space="preserve">. Although it is difficult to draw conclusions about why these data differ depending on the time-of-day, it is possible that we detected circadian rhythmicity differences between injury groups. The circadian rhythm, which cycles in a predictable manner throughout the night and day, can impact ratings of emotional stimuli: individuals who are “off-peak” tend to rate stimuli as more negative than individuals who are not off-peak </w:t>
      </w:r>
      <w:r w:rsidRPr="00C421E4">
        <w:rPr>
          <w:rFonts w:ascii="Times" w:hAnsi="Times"/>
        </w:rPr>
        <w:fldChar w:fldCharType="begin" w:fldLock="1"/>
      </w:r>
      <w:r w:rsidRPr="00C421E4">
        <w:rPr>
          <w:rFonts w:ascii="Times" w:hAnsi="Times"/>
        </w:rPr>
        <w:instrText xml:space="preserve"> ADDIN ZOTERO_ITEM CSL_CITATION {"citationID":"SXC50qc1","properties":{"formattedCitation":"(Tucker et al., 2012)","plainCitation":"(Tucker et al., 2012)"},"citationItems":[{"id":"ITEM-1","uris":["http://www.mendeley.com/documents/?uuid=bdad406d-40c6-4a33-bb71-03c186d8b890"],"uri":["http://www.mendeley.com/documents/?uuid=bdad406d-40c6-4a33-bb71-03c186d8b890"],"itemData":{"DOI":"10.1037/a0028207","ISBN":"2122633255","ISSN":"1931-1516","PMID":"22642354","abstract":"This study explored how the effectiveness of specific emotion regulation strategies might be influenced by aging and by time of day, given that in older age the circadian peak in cognitive performance is earlier in the day. We compared the benefit gained by 40 older (60-78 years; 20 women) and 40 younger (18-30 years; 20 women) adults during either on-peak or off-peak circadian times on 2 specific types of cognitive emotion regulation strategies: distraction and reappraisal. Participants rated their negative emotional responses to negative and neutral images under 3 conditions: a baseline nonregulation condition, a distraction condition involving a working memory task, and a reappraisal condition that involved reinterpreting the situation displayed using specific preselected strategies. First, as hypothesized, there was a crossover interaction such that participants in each age group reported more negative reactivity at their off-peak time of day. Second, a double dissociation was observed as circadian rhythms affected only negative reactivity-with reactivity highest at off-peak times-and aging diminished reappraisal but not distraction ability or reactivity. These findings add to growing evidence that understanding the effects of aging on emotion and emotion regulation depends on taking both time of day and type of regulatory strategy into account.","author":[{"dropping-particle":"","family":"Tucker","given":"Adrienne M","non-dropping-particle":"","parse-names":false,"suffix":""},{"dropping-particle":"","family":"Feuerstein","given":"Rebecca","non-dropping-particle":"","parse-names":false,"suffix":""},{"dropping-particle":"","family":"Mende-Siedlecki","given":"Peter","non-dropping-particle":"","parse-names":false,"suffix":""},{"dropping-particle":"","family":"Ochsner","given":"Kevin N","non-dropping-particle":"","parse-names":false,"suffix":""},{"dropping-particle":"","family":"Stern","given":"Yaakov","non-dropping-particle":"","parse-names":false,"suffix":""}],"container-title":"Emotion","id":"ITEM-1","issue":"5","issued":{"date-parts":[["2012"]]},"page":"869-74","title":"Double dissociation: circadian off-peak times increase emotional reactivity; aging impairs emotion regulation via reappraisal.","type":"article-journal","volume":"12"}}],"schema":"https://github.com/citation-style-language/schema/raw/master/csl-citation.json"}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(Tucker et al., 2012)</w:t>
      </w:r>
      <w:r w:rsidRPr="00C421E4">
        <w:rPr>
          <w:rFonts w:ascii="Times" w:hAnsi="Times"/>
        </w:rPr>
        <w:fldChar w:fldCharType="end"/>
      </w:r>
      <w:r w:rsidRPr="00C421E4">
        <w:rPr>
          <w:rFonts w:ascii="Times" w:hAnsi="Times"/>
        </w:rPr>
        <w:t xml:space="preserve">. Differences in emotion ratings between two groups at the </w:t>
      </w:r>
      <w:r w:rsidRPr="00C421E4">
        <w:rPr>
          <w:rFonts w:ascii="Times" w:hAnsi="Times"/>
        </w:rPr>
        <w:lastRenderedPageBreak/>
        <w:t>same time might reflect differences in circadian rhythmicity. In other words, although the non-TBI group was off-peak, the mTBI group may not have been. In effect, emotion ratings differed between groups in the morning. Given that circadian effects on emotion could have implications for treatment of mood disturbances (e.g., for correct temporal placement of a therapy session), identifying whether reactivity differs as a function of time-of-day (and between controls and those with mTBI) is of interest.</w:t>
      </w:r>
    </w:p>
    <w:p w14:paraId="508DC68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6A05489C" w14:textId="77777777" w:rsidR="00F7044C" w:rsidRPr="006334A2"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4. </w:t>
      </w:r>
      <w:r w:rsidRPr="006334A2">
        <w:rPr>
          <w:rFonts w:ascii="Times" w:hAnsi="Times"/>
          <w:b/>
        </w:rPr>
        <w:t>Positive Emotions</w:t>
      </w:r>
    </w:p>
    <w:p w14:paraId="67BF6B47"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Individuals with depression have blunted reactivity to both negative and positive emotional stimuli </w:t>
      </w:r>
      <w:r w:rsidRPr="00C421E4">
        <w:rPr>
          <w:rFonts w:ascii="Times" w:hAnsi="Times"/>
        </w:rPr>
        <w:fldChar w:fldCharType="begin"/>
      </w:r>
      <w:r w:rsidRPr="00C421E4">
        <w:rPr>
          <w:rFonts w:ascii="Times" w:hAnsi="Times"/>
        </w:rPr>
        <w:instrText xml:space="preserve"> ADDIN ZOTERO_ITEM CSL_CITATION {"citationID":"2nol68o54j","properties":{"formattedCitation":"(Bylsma et al., 2008, p.)","plainCitation":"(Bylsma et al., 2008, p.)"},"citationItems":[{"id":"BO0Ho3pF/h7PanEz7","uris":["http://www.mendeley.com/documents/?uuid=865391b8-21bd-4d76-9a09-55edcaba9b50"],"uri":["http://www.mendeley.com/documents/?uuid=865391b8-21bd-4d76-9a09-55edcaba9b50"],"itemData":{"DOI":"10.1016/j.cpr.2007.10.001","ISBN":"0272-7358","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Review","id":"BO0Ho3pF/h7PanEz7","issue":"4","issued":{"date-parts":[["2008"]]},"page":"676-691","title":"A meta-analysis of emotional reactivity in major depressive disorder","type":"article","volume":"28"},"locator":"-"}],"schema":"https://github.com/citation-style-language/schema/raw/master/csl-citation.json"} </w:instrText>
      </w:r>
      <w:r w:rsidRPr="00C421E4">
        <w:rPr>
          <w:rFonts w:ascii="Times" w:hAnsi="Times"/>
        </w:rPr>
        <w:fldChar w:fldCharType="separate"/>
      </w:r>
      <w:r w:rsidRPr="00C421E4">
        <w:rPr>
          <w:rFonts w:ascii="Times" w:hAnsi="Times"/>
          <w:noProof/>
        </w:rPr>
        <w:t>(Bylsma et al., 2008)</w:t>
      </w:r>
      <w:r w:rsidRPr="00C421E4">
        <w:rPr>
          <w:rFonts w:ascii="Times" w:hAnsi="Times"/>
        </w:rPr>
        <w:fldChar w:fldCharType="end"/>
      </w:r>
      <w:r w:rsidRPr="00C421E4">
        <w:rPr>
          <w:rFonts w:ascii="Times" w:hAnsi="Times"/>
        </w:rPr>
        <w:t xml:space="preserve">. In addition, many treatments for depression (e.g., behavioral activation therapies) focus on increasing positive affect </w:t>
      </w:r>
      <w:r w:rsidRPr="00C421E4">
        <w:rPr>
          <w:rFonts w:ascii="Times" w:hAnsi="Times"/>
        </w:rPr>
        <w:fldChar w:fldCharType="begin"/>
      </w:r>
      <w:r w:rsidRPr="00C421E4">
        <w:rPr>
          <w:rFonts w:ascii="Times" w:hAnsi="Times"/>
        </w:rPr>
        <w:instrText xml:space="preserve"> ADDIN ZOTERO_ITEM CSL_CITATION {"citationID":"2of9p8f5a4","properties":{"formattedCitation":"(Cuijpers, Van Straten, &amp; Warmerdam, 2007)","plainCitation":"(Cuijpers, Van Straten, &amp; Warmerdam, 2007)"},"citationItems":[{"id":971,"uris":["http://zotero.org/users/4141602/items/WHA3AFKJ"],"uri":["http://zotero.org/users/4141602/items/WHA3AFKJ"],"itemData":{"id":971,"type":"article-journal","title":"Behavioral activation treatments of depression: A meta-analysis","container-title":"Clinical psychology review","page":"318-326","volume":"27","issue":"3","author":[{"family":"Cuijpers","given":"Pim"},{"family":"Van Straten","given":"Annemieke"},{"family":"Warmerdam","given":"Lisanne"}],"issued":{"date-parts":[["2007"]]}}}],"schema":"https://github.com/citation-style-language/schema/raw/master/csl-citation.json"} </w:instrText>
      </w:r>
      <w:r w:rsidRPr="00C421E4">
        <w:rPr>
          <w:rFonts w:ascii="Times" w:hAnsi="Times"/>
        </w:rPr>
        <w:fldChar w:fldCharType="separate"/>
      </w:r>
      <w:r w:rsidRPr="00C421E4">
        <w:rPr>
          <w:rFonts w:ascii="Times" w:hAnsi="Times"/>
          <w:noProof/>
        </w:rPr>
        <w:t>(Cuijpers, Van Straten, &amp; Warmerdam, 2007)</w:t>
      </w:r>
      <w:r w:rsidRPr="00C421E4">
        <w:rPr>
          <w:rFonts w:ascii="Times" w:hAnsi="Times"/>
        </w:rPr>
        <w:fldChar w:fldCharType="end"/>
      </w:r>
      <w:r w:rsidRPr="00C421E4">
        <w:rPr>
          <w:rFonts w:ascii="Times" w:hAnsi="Times"/>
        </w:rPr>
        <w:t xml:space="preserve">. Given this, a study of emotional functioning would be incomplete without the incorporation of a paradigm investigating reactivity and habituation to both negative and positive stimuli following mTBI. </w:t>
      </w:r>
    </w:p>
    <w:p w14:paraId="35835E2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0BBF01F1"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Contemporary models of depression indicate that individuals with more depressive symptoms have lower positive affect than healthy controls </w:t>
      </w:r>
      <w:r w:rsidRPr="00C421E4">
        <w:rPr>
          <w:rFonts w:ascii="Times" w:hAnsi="Times"/>
        </w:rPr>
        <w:fldChar w:fldCharType="begin"/>
      </w:r>
      <w:r w:rsidRPr="00C421E4">
        <w:rPr>
          <w:rFonts w:ascii="Times" w:hAnsi="Times"/>
        </w:rPr>
        <w:instrText xml:space="preserve"> ADDIN ZOTERO_ITEM CSL_CITATION {"citationID":"qa0cuo3tr","properties":{"formattedCitation":"(Clark &amp; Watson, 1991; den Hollander-Gijsman, de Beurs, van der Wee, van Rood, &amp; Zitman, 2010a)","plainCitation":"(Clark &amp; Watson, 1991; den Hollander-Gijsman, de Beurs, van der Wee, van Rood, &amp; Zitman, 2010a)","dontUpdate":true},"citationItems":[{"id":"Sl3AVmA5/w6OiVUI0","uris":["http://www.mendeley.com/documents/?uuid=81307b6b-027d-4a5e-bb1a-a0a477496976"],"uri":["http://www.mendeley.com/documents/?uuid=81307b6b-027d-4a5e-bb1a-a0a477496976"],"itemData":{"DOI":"10.1037/0021-843X.100.3.316","ISBN":"1939-1846","ISSN":"0021-843X","PMID":"1918611","abstract":"We review psychometric and other evidence relevant to mixed anxiety-depression. Properties of anxiety and depression measures, including the convergent and discriminant validity of self- and clinical ratings, and interrater reliability, are examined in patient and normal samples. Results suggest that anxiety and depression can be reliably and validly assessed; moreover, although these disorders share a substantial component of general affective distress, they can be differentiated on the basis of factors specific to each syndrome. We also review evidence for these specific factors, examining the influence of context and scale content on ratings, factor analytic studies, and the role of low positive affect in depression. With these data, we argue for a tripartite structure consisting of general distress, physiological hyperarousal (specific anxiety), and anhedonia (specific depression), and we propose a diagnosis of mixed anxiety-depression.","author":[{"dropping-particle":"","family":"Clark","given":"Lee Anna","non-dropping-particle":"","parse-names":false,"suffix":""},{"dropping-particle":"","family":"Watson","given":"David","non-dropping-particle":"","parse-names":false,"suffix":""}],"container-title":"Journal of Abnormal Psychology","id":"Sl3AVmA5/w6OiVUI0","issue":"3","issued":{"date-parts":[["1991"]]},"page":"316-336","title":"Tripartite model of anxiety and depression: Psychometric evidence and taxonomic implications.","type":"article-journal","volume":"100"}},{"id":94,"uris":["http://zotero.org/users/4141602/items/THSJSCBP"],"uri":["http://zotero.org/users/4141602/items/THSJSCBP"],"itemData":{"id":94,"type":"article-journal","title":"Distinguishing between depression and anxiety: A proposal for an extension of the tripartite model","container-title":"European Psychiatry","page":"197-205","volume":"25","issue":"4","abstract":"Aim: The aim of the current study was to develop scales that assess symptoms of depression and anxiety and can adequately differentiate between depression and anxiety disorders, and also can distinguish within anxiety disorders. As point of departure, we used the tripartite model of Clark and Watson that discerns three dimensions: negative affect, positive affect and physiological hyperarousal. Methods: Analyses were performed on the data of 1449 patients, who completed the Mood and Anxiety Symptoms Questionnaire (MASQ) and the Brief Symptom Inventory (BSI). From this, 1434 patients were assessed with a standardized diagnostic interview. Results: A model with five dimensions was found: depressed mood, lack of positive affect, somatic arousal, phobic fear and hostility. The scales appear capable to differentiate between patients with a mood and with an anxiety disorder. Within the anxiety disorders, somatic arousal was specific for patients with panic disorder. Phobic fear was associated with panic disorder, simple phobia and social anxiety disorder, but not with generalized anxiety disorder. Conclusions: We present a five-factor model as an extension of the tripartite model. Through the addition of phobic fear, anxiety is better represented than in the tripartite model. The new scales are capable to accurately differentiate between depression and anxiety disorders, as well as between several anxiety disorders. ?? 2009 Elsevier Masson SAS.","DOI":"10.1016/j.eurpsy.2009.09.005","ISSN":"0924-9338","author":[{"family":"Hollander-Gijsman","given":"M. E.","non-dropping-particle":"den"},{"family":"Beurs","given":"E.","non-dropping-particle":"de"},{"family":"Wee","given":"N. J A","non-dropping-particle":"van der"},{"family":"Rood","given":"Y. R.","non-dropping-particle":"van"},{"family":"Zitman","given":"F. G."}],"issued":{"date-parts":[["2010"]]}}}],"schema":"https://github.com/citation-style-language/schema/raw/master/csl-citation.json"} </w:instrText>
      </w:r>
      <w:r w:rsidRPr="00C421E4">
        <w:rPr>
          <w:rFonts w:ascii="Times" w:hAnsi="Times"/>
        </w:rPr>
        <w:fldChar w:fldCharType="separate"/>
      </w:r>
      <w:r w:rsidRPr="00C421E4">
        <w:rPr>
          <w:rFonts w:ascii="Times" w:hAnsi="Times"/>
          <w:noProof/>
        </w:rPr>
        <w:t>(Clark &amp; Watson, 1991; den Hollander-Gijsman, de Beurs, van der Wee, van Rood, &amp; Zitman, 2010)</w:t>
      </w:r>
      <w:r w:rsidRPr="00C421E4">
        <w:rPr>
          <w:rFonts w:ascii="Times" w:hAnsi="Times"/>
        </w:rPr>
        <w:fldChar w:fldCharType="end"/>
      </w:r>
      <w:r w:rsidRPr="00C421E4">
        <w:rPr>
          <w:rFonts w:ascii="Times" w:hAnsi="Times"/>
        </w:rPr>
        <w:t xml:space="preserve">. Given this, alterations in habituation and reactivity in response to positive stimuli may be more predictive of depressive symptoms than responses to negative affect. Therefore, the inclusion of a positive condition will be exploratory yet informative. Positive and negative stimuli were separated into two conditions in order to minimize spillover effects. Given that the included physiological measures take, at most, roughly 10 seconds to </w:t>
      </w:r>
      <w:r w:rsidRPr="00C421E4">
        <w:rPr>
          <w:rFonts w:ascii="Times" w:hAnsi="Times"/>
        </w:rPr>
        <w:lastRenderedPageBreak/>
        <w:t xml:space="preserve">recover after an emotional image </w:t>
      </w:r>
      <w:r w:rsidRPr="00C421E4">
        <w:rPr>
          <w:rFonts w:ascii="Times" w:hAnsi="Times"/>
        </w:rPr>
        <w:fldChar w:fldCharType="begin"/>
      </w:r>
      <w:r w:rsidRPr="00C421E4">
        <w:rPr>
          <w:rFonts w:ascii="Times" w:hAnsi="Times"/>
        </w:rPr>
        <w:instrText xml:space="preserve"> ADDIN ZOTERO_ITEM CSL_CITATION {"citationID":"2bpilam5jj","properties":{"formattedCitation":"(M. E. Dawson, Schell, &amp; Courtney, 2011)","plainCitation":"(M. E. Dawson, Schell, &amp; Courtney, 2011)"},"citationItems":[{"id":975,"uris":["http://zotero.org/users/4141602/items/IR4UFQ25"],"uri":["http://zotero.org/users/4141602/items/IR4UFQ25"],"itemData":{"id":975,"type":"article-journal","title":"The skin conductance response, anticipation, and decision-making.","container-title":"Journal of Neuroscience, Psychology, and Economics","page":"111","volume":"4","issue":"2","author":[{"family":"Dawson","given":"Michael E."},{"family":"Schell","given":"Anne M."},{"family":"Courtney","given":"Christopher G."}],"issued":{"date-parts":[["2011"]]}}}],"schema":"https://github.com/citation-style-language/schema/raw/master/csl-citation.json"} </w:instrText>
      </w:r>
      <w:r w:rsidRPr="00C421E4">
        <w:rPr>
          <w:rFonts w:ascii="Times" w:hAnsi="Times"/>
        </w:rPr>
        <w:fldChar w:fldCharType="separate"/>
      </w:r>
      <w:r w:rsidRPr="00C421E4">
        <w:rPr>
          <w:rFonts w:ascii="Times" w:hAnsi="Times"/>
          <w:noProof/>
        </w:rPr>
        <w:t>(Dawson, Schell, &amp; Courtney, 2011)</w:t>
      </w:r>
      <w:r w:rsidRPr="00C421E4">
        <w:rPr>
          <w:rFonts w:ascii="Times" w:hAnsi="Times"/>
        </w:rPr>
        <w:fldChar w:fldCharType="end"/>
      </w:r>
      <w:r w:rsidRPr="00C421E4">
        <w:rPr>
          <w:rFonts w:ascii="Times" w:hAnsi="Times"/>
        </w:rPr>
        <w:t xml:space="preserve">, we do not feel that the presentation of the negative images impacted responses to positive imagery, and vice versa. </w:t>
      </w:r>
    </w:p>
    <w:p w14:paraId="39BA27E2"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3598DED2" w14:textId="77777777" w:rsidR="00F7044C" w:rsidRPr="006334A2"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5. </w:t>
      </w:r>
      <w:r w:rsidRPr="006334A2">
        <w:rPr>
          <w:rFonts w:ascii="Times" w:hAnsi="Times"/>
          <w:b/>
        </w:rPr>
        <w:t>The Current Project</w:t>
      </w:r>
    </w:p>
    <w:p w14:paraId="44A8F056"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Measuring habituation and reactivity to emotional stimuli provides a dynamic view of emotional processes that might be disrupted in mTBI and may be associated with increased risk for depressive symptoms. In the current study, we will assess emotion reactivity and habituation in individuals with and without a history of chronic mTBI. We will do so by presenting a series of negative and positive highly arousing images. We will gauge initial reactivity to the stimuli, and, by presenting the same images multiple times, we will assess whether reactivity to the stimuli during subsequent presentations is reduced (indicating normative habituation) or whether there is minimal change (indicating habituation dysfunction). We will track both physiological and self-reported measures of emotion. Overall, we aim to (1) assess habituation to repeated emotional stimuli in mTBI relative to controls, (2) determine differences in reactivity to emotional stimuli in mTBI relative to controls and whether reactivity is linked to circadian rhythmicity, and (3) assess whether reactivity and habituation characteristics predict mood symptomatology (e.g., depressive symptoms, anxiety symptoms). </w:t>
      </w:r>
    </w:p>
    <w:p w14:paraId="2018E91D"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76B3B727" w14:textId="77777777" w:rsidR="00F7044C" w:rsidRPr="006334A2"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center"/>
        <w:outlineLvl w:val="0"/>
        <w:rPr>
          <w:rFonts w:ascii="Times" w:hAnsi="Times"/>
          <w:b/>
        </w:rPr>
      </w:pPr>
      <w:r>
        <w:rPr>
          <w:rFonts w:ascii="Times" w:hAnsi="Times"/>
          <w:b/>
        </w:rPr>
        <w:t xml:space="preserve">6. </w:t>
      </w:r>
      <w:r w:rsidRPr="006334A2">
        <w:rPr>
          <w:rFonts w:ascii="Times" w:hAnsi="Times"/>
          <w:b/>
        </w:rPr>
        <w:t>Significance</w:t>
      </w:r>
    </w:p>
    <w:p w14:paraId="6786472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This study will be the first to study two facets of emotional functioning in mTBI – reactivity and habituation – and will include self-reported and physiological measures of </w:t>
      </w:r>
      <w:r w:rsidRPr="00C421E4">
        <w:rPr>
          <w:rFonts w:ascii="Times" w:hAnsi="Times"/>
        </w:rPr>
        <w:lastRenderedPageBreak/>
        <w:t xml:space="preserve">emotion for both negative and positive stimuli. These data will provide insight into which emotional mechanisms are disrupted in this population and will have implications for further research and treatment. For instance, a finding of blunted negative emotion reactivity in mTBI would reaffirm previous findings </w:t>
      </w:r>
      <w:r w:rsidRPr="00C421E4">
        <w:rPr>
          <w:rFonts w:ascii="Times" w:hAnsi="Times"/>
        </w:rPr>
        <w:fldChar w:fldCharType="begin" w:fldLock="1"/>
      </w:r>
      <w:r w:rsidRPr="00C421E4">
        <w:rPr>
          <w:rFonts w:ascii="Times" w:hAnsi="Times"/>
        </w:rPr>
        <w:instrText xml:space="preserve"> ADDIN ZOTERO_ITEM CSL_CITATION {"citationID":"5hpdIlkj","properties":{"formattedCitation":"(Baker &amp; Good, 2014a; van Noordt &amp; Good, 2011a)","plainCitation":"(Baker &amp; Good, 2014a; van Noordt &amp; Good, 2011a)"},"citationItems":[{"id":"ITEM-1","uris":["http://www.mendeley.com/documents/?uuid=21066ddb-1706-42a8-8ec2-844bb2c5e641"],"uri":["http://www.mendeley.com/documents/?uuid=21066ddb-1706-42a8-8ec2-844bb2c5e641"],"itemData":{"DOI":"10.3109/02699052.2011.580312","ISBN":"02699052 (ISSN)","ISSN":"1362-301X","PMID":"21619460","abstract":"SUMMARY: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author":[{"dropping-particle":"","family":"Noordt","given":"Stefon","non-dropping-particle":"van","parse-names":false,"suffix":""},{"dropping-particle":"","family":"Good","given":"Dawn","non-dropping-particle":"","parse-names":false,"suffix":""}],"container-title":"Brain injury","id":"ITEM-1","issue":"7-8","issued":{"date-parts":[["2011"]]},"page":"707-16","title":"Mild head injury and sympathetic arousal: investigating relationships with decision-making and neuropsychological performance in university students.","type":"article-journal","volume":"25"}},{"id":"ITEM-2","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[BI]","id":"ITEM-2","issue":"1","issued":{"date-parts":[["2014"]]},"page":"51-65","title":"Physiological emotional under-arousal in individuals with mild head injury.","type":"article-journal","volume":"28"}}],"schema":"https://github.com/citation-style-language/schema/raw/master/csl-citation.json"}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(Baker &amp; Good, 2014; van Noordt &amp; Good, 2011)</w:t>
      </w:r>
      <w:r w:rsidRPr="00C421E4">
        <w:rPr>
          <w:rFonts w:ascii="Times" w:hAnsi="Times"/>
        </w:rPr>
        <w:fldChar w:fldCharType="end"/>
      </w:r>
      <w:r w:rsidRPr="00C421E4">
        <w:rPr>
          <w:rFonts w:ascii="Times" w:hAnsi="Times"/>
        </w:rPr>
        <w:t xml:space="preserve"> and indicate whether reactivity reductions are a biomarker in chronic mTBI. On the other hand, clinically, an indication of poor habituation to negative stimuli would prompt therapy providers to consider mTBI as a factor when a patient is undergoing certain treatments (e.g., exposure therapy) that require systematic and repeated emotion habituation sessions. Reactivity and habituation to positive stimuli have not been studied in this population, and thus our findings will be both novel and informative.  For example, preservation of reactivity to positive stimuli might prove useful in psychotherapies that rely on behavioral activation techniques. </w:t>
      </w:r>
    </w:p>
    <w:p w14:paraId="2564AA44"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21E4B94A" w14:textId="77777777" w:rsidR="00F7044C" w:rsidRPr="004C33F2" w:rsidRDefault="00F7044C" w:rsidP="00F7044C">
      <w:pPr>
        <w:spacing w:line="480" w:lineRule="auto"/>
        <w:jc w:val="center"/>
        <w:outlineLvl w:val="0"/>
        <w:rPr>
          <w:rFonts w:ascii="Times" w:hAnsi="Times"/>
          <w:b/>
        </w:rPr>
      </w:pPr>
      <w:r>
        <w:rPr>
          <w:rFonts w:ascii="Times" w:hAnsi="Times"/>
          <w:b/>
        </w:rPr>
        <w:t xml:space="preserve">7. </w:t>
      </w:r>
      <w:r w:rsidRPr="004C33F2">
        <w:rPr>
          <w:rFonts w:ascii="Times" w:hAnsi="Times"/>
          <w:b/>
        </w:rPr>
        <w:t>Predictions</w:t>
      </w:r>
      <w:r w:rsidRPr="004C33F2">
        <w:rPr>
          <w:rStyle w:val="FootnoteReference"/>
          <w:b/>
        </w:rPr>
        <w:footnoteReference w:id="1"/>
      </w:r>
    </w:p>
    <w:p w14:paraId="5EA50367" w14:textId="77777777" w:rsidR="00F7044C" w:rsidRPr="0089636C" w:rsidRDefault="00F7044C" w:rsidP="00F7044C">
      <w:pPr>
        <w:spacing w:line="480" w:lineRule="auto"/>
        <w:outlineLvl w:val="0"/>
        <w:rPr>
          <w:rFonts w:ascii="Times" w:hAnsi="Times"/>
        </w:rPr>
      </w:pPr>
      <w:r w:rsidRPr="0089636C">
        <w:rPr>
          <w:rFonts w:ascii="Times" w:hAnsi="Times"/>
        </w:rPr>
        <w:t>Aim 1: Assess habituation to repeated emotional stimuli in mTBI relative to controls</w:t>
      </w:r>
    </w:p>
    <w:p w14:paraId="7B80771B" w14:textId="77777777" w:rsidR="00F7044C" w:rsidRPr="00C421E4" w:rsidRDefault="00F7044C" w:rsidP="00F7044C">
      <w:pPr>
        <w:spacing w:line="480" w:lineRule="auto"/>
        <w:rPr>
          <w:rFonts w:ascii="Times" w:hAnsi="Times"/>
        </w:rPr>
      </w:pPr>
      <w:r w:rsidRPr="00C421E4">
        <w:rPr>
          <w:rFonts w:ascii="Times" w:hAnsi="Times"/>
        </w:rPr>
        <w:t>For behavioral data,</w:t>
      </w:r>
      <w:r w:rsidRPr="00C421E4">
        <w:rPr>
          <w:rFonts w:ascii="Times" w:hAnsi="Times"/>
          <w:b/>
        </w:rPr>
        <w:t xml:space="preserve"> </w:t>
      </w:r>
      <w:r w:rsidRPr="00C421E4">
        <w:rPr>
          <w:rFonts w:ascii="Times" w:hAnsi="Times"/>
        </w:rPr>
        <w:t xml:space="preserve">as in </w:t>
      </w:r>
      <w:r w:rsidRPr="00C421E4">
        <w:rPr>
          <w:rFonts w:ascii="Times" w:hAnsi="Times"/>
          <w:b/>
        </w:rPr>
        <w:t>Study 2</w:t>
      </w:r>
      <w:r w:rsidRPr="00C421E4">
        <w:rPr>
          <w:rFonts w:ascii="Times" w:hAnsi="Times"/>
        </w:rPr>
        <w:t xml:space="preserve">, we predict there will be no significant differences in arousal ratings of emotional stimuli between the mTBI and non-TBI group. However, we predict the mTBI group will exhibit reductions (i.e., a flattened trajectory) in valence habituation relative to the non-TBI group. </w:t>
      </w:r>
    </w:p>
    <w:p w14:paraId="0A664E35" w14:textId="77777777" w:rsidR="00F7044C" w:rsidRPr="00C421E4" w:rsidRDefault="00F7044C" w:rsidP="00F7044C">
      <w:pPr>
        <w:spacing w:line="480" w:lineRule="auto"/>
        <w:rPr>
          <w:rFonts w:ascii="Times" w:hAnsi="Times"/>
          <w:b/>
        </w:rPr>
      </w:pPr>
    </w:p>
    <w:p w14:paraId="11D3036D" w14:textId="77777777" w:rsidR="00F7044C" w:rsidRPr="00C421E4" w:rsidRDefault="00F7044C" w:rsidP="00F7044C">
      <w:pPr>
        <w:spacing w:line="480" w:lineRule="auto"/>
        <w:rPr>
          <w:rFonts w:ascii="Times" w:hAnsi="Times"/>
          <w:b/>
        </w:rPr>
      </w:pPr>
      <w:r w:rsidRPr="00C421E4">
        <w:rPr>
          <w:rFonts w:ascii="Times" w:hAnsi="Times"/>
        </w:rPr>
        <w:lastRenderedPageBreak/>
        <w:t xml:space="preserve">EMG tone often corresponds with valence ratings </w:t>
      </w:r>
      <w:r w:rsidRPr="00C421E4">
        <w:rPr>
          <w:rFonts w:ascii="Times" w:hAnsi="Times"/>
        </w:rPr>
        <w:fldChar w:fldCharType="begin" w:fldLock="1"/>
      </w:r>
      <w:r w:rsidRPr="00C421E4">
        <w:rPr>
          <w:rFonts w:ascii="Times" w:hAnsi="Times"/>
        </w:rPr>
        <w:instrText xml:space="preserve"> ADDIN ZOTERO_ITEM CSL_CITATION {"citationID":"0bXsafhQ","properties":{"formattedCitation":"(Peter J. Lang, Bradley, &amp; Cuthbert, 1998)","plainCitation":"(Peter J. Lang, Bradley, &amp; Cuthbert, 1998)"},"citationItems":[{"id":"ITEM-1","uris":["http://www.mendeley.com/documents/?uuid=5331d360-8acc-417b-ae99-a377a43a877b"],"uri":["http://www.mendeley.com/documents/?uuid=5331d360-8acc-417b-ae99-a377a43a877b"],"itemData":{"DOI":"10.1016/S0006-3223(98)00275-3","ISBN":"1097-4199 (Electronic)\\n0896-6273 (Linking)","ISSN":"00063223","PMID":"9861468","abstract":"The organization of response systems in emotion is founded on two basic motive systems, appetitive and defensive. The subcortical and deep cortical structures that determine primary motivated behavior are similar across mammalian species. Animal research has illuminated these neural systems and defined their reflex outputs. Although motivated behavior is more complex and varied in humans, the simpler underlying response patterns persist in affective expression. These basic phenomena are elucidated here in the context of affective perception. Thus, the research examines human beings watching uniquely human stimuli - primarily picture media (but also words and sounds) that prompt emotional arousal - showing how the underlying motivational structure is apparent in the organization of visceral and behavioral responses, in the priming of simple reflexes, and in the reentrant processing of these symbolic representations in the sensory cortex. Implications of the work for understanding pathological emotional states are discussed, emphasizing research on psychopathy and the anxiety disorders.","author":[{"dropping-particle":"","family":"Lang","given":"Peter J.","non-dropping-particle":"","parse-names":false,"suffix":""},{"dropping-particle":"","family":"Bradley","given":"Margaret M.","non-dropping-particle":"","parse-names":false,"suffix":""},{"dropping-particle":"","family":"Cuthbert","given":"Bruce N.","non-dropping-particle":"","parse-names":false,"suffix":""}],"container-title":"Biological Psychiatry","id":"ITEM-1","issue":"12","issued":{"date-parts":[["1998"]]},"page":"1248-1263","title":"Emotion, motivation, and anxiety: Brain mechanisms and psychophysiology","type":"article-journal","volume":"44"}}],"schema":"https://github.com/citation-style-language/schema/raw/master/csl-citation.json"} </w:instrText>
      </w:r>
      <w:r w:rsidRPr="00C421E4">
        <w:rPr>
          <w:rFonts w:ascii="Times" w:hAnsi="Times"/>
        </w:rPr>
        <w:fldChar w:fldCharType="separate"/>
      </w:r>
      <w:r w:rsidRPr="00C421E4">
        <w:rPr>
          <w:rFonts w:ascii="Times" w:hAnsi="Times"/>
          <w:noProof/>
        </w:rPr>
        <w:t>(Lang, Bradley, &amp; Cuthbert, 1998)</w:t>
      </w:r>
      <w:r w:rsidRPr="00C421E4">
        <w:rPr>
          <w:rFonts w:ascii="Times" w:hAnsi="Times"/>
        </w:rPr>
        <w:fldChar w:fldCharType="end"/>
      </w:r>
      <w:r w:rsidRPr="00C421E4">
        <w:rPr>
          <w:rFonts w:ascii="Times" w:hAnsi="Times"/>
        </w:rPr>
        <w:t>. Therefore, we predict EMG to exhibit habituation to emotion to a greater extent in the non-TBI group relative to the TBI group. We predict</w:t>
      </w:r>
      <w:r w:rsidRPr="00C421E4">
        <w:rPr>
          <w:rFonts w:ascii="Times" w:hAnsi="Times"/>
          <w:b/>
        </w:rPr>
        <w:t xml:space="preserve"> </w:t>
      </w:r>
      <w:r w:rsidRPr="00C421E4">
        <w:rPr>
          <w:rFonts w:ascii="Times" w:hAnsi="Times"/>
        </w:rPr>
        <w:t xml:space="preserve">the Corrugator muscle will exhibit increased tone to </w:t>
      </w:r>
      <w:r w:rsidRPr="00C421E4">
        <w:rPr>
          <w:rFonts w:ascii="Times" w:hAnsi="Times"/>
          <w:u w:val="single"/>
        </w:rPr>
        <w:t>negative</w:t>
      </w:r>
      <w:r w:rsidRPr="00C421E4">
        <w:rPr>
          <w:rFonts w:ascii="Times" w:hAnsi="Times"/>
        </w:rPr>
        <w:t xml:space="preserve"> stimuli in all participants </w:t>
      </w:r>
      <w:r w:rsidRPr="00C421E4">
        <w:rPr>
          <w:rFonts w:ascii="Times" w:hAnsi="Times"/>
        </w:rPr>
        <w:fldChar w:fldCharType="begin" w:fldLock="1"/>
      </w:r>
      <w:r w:rsidRPr="00C421E4">
        <w:rPr>
          <w:rFonts w:ascii="Times" w:hAnsi="Times"/>
        </w:rPr>
        <w:instrText xml:space="preserve"> ADDIN ZOTERO_ITEM CSL_CITATION {"citationID":"UUOlgXdN","properties":{"formattedCitation":"(R Manber, Allen, Burton, &amp; Kaszniak, 2000)","plainCitation":"(R Manber, Allen, Burton, &amp; Kaszniak, 2000)"},"citationItems":[{"id":"ITEM-1","uris":["http://www.mendeley.com/documents/?uuid=99460731-6d85-456d-bcf6-591fbacb6525"],"uri":["http://www.mendeley.com/documents/?uuid=99460731-6d85-456d-bcf6-591fbacb6525"],"itemData":{"DOI":"10.1017/S0048577200981654","ISBN":"0048-5772","ISSN":"0048-5772","PMID":"11037044","abstract":"The present study used the picture perception paradigm to examine the extent to which three well-documented psychophysiological measures demonstrate consistency across time in response to emotional stimuli. The three measures were the eye-blink startle response and the activation in two facial muscle regions (zygomatic and corrugator). Twenty-seven young women were assessed on two occasions, 2 weeks apart. Whereas activation in the corrugator and zygomatic muscle regions demonstrated the predicted patterns at both assessments (with some attenuation in the zygomatic muscle regions), the startle response had limited consistency across the two assessments. The startle response revealed the predicted linear pattern of valence modulation during the first assessment. During the second assessment, startle magnitude response was a quadratic function of valence ratings and a linear function of arousal ratings. The unexpected pattern of startle response during the second session appeared to be related to the content of the pleasant slides, with action slides generating quadratic valence modulation and erotic slides continuing to exhibit the expected linear valence modulation.","author":[{"dropping-particle":"","family":"Manber","given":"R","non-dropping-particle":"","parse-names":false,"suffix":""},{"dropping-particle":"","family":"Allen","given":"J J","non-dropping-particle":"","parse-names":false,"suffix":""},{"dropping-particle":"","family":"Burton","given":"K","non-dropping-particle":"","parse-names":false,"suffix":""},{"dropping-particle":"","family":"Kaszniak","given":"a W","non-dropping-particle":"","parse-names":false,"suffix":""}],"container-title":"Psychophysiology","id":"ITEM-1","issue":"5","issued":{"date-parts":[["2000"]]},"page":"683-692","title":"Valence-dependent modulation of psychophysiological measures: is there consistency across repeated testing?","type":"article-journal","volume":"37"}}],"schema":"https://github.com/citation-style-language/schema/raw/master/csl-citation.json"} </w:instrText>
      </w:r>
      <w:r w:rsidRPr="00C421E4">
        <w:rPr>
          <w:rFonts w:ascii="Times" w:hAnsi="Times"/>
        </w:rPr>
        <w:fldChar w:fldCharType="separate"/>
      </w:r>
      <w:r w:rsidRPr="00C421E4">
        <w:rPr>
          <w:rFonts w:ascii="Times" w:hAnsi="Times"/>
          <w:noProof/>
        </w:rPr>
        <w:t>(Manber, Allen, Burton, &amp; Kaszniak, 2000)</w:t>
      </w:r>
      <w:r w:rsidRPr="00C421E4">
        <w:rPr>
          <w:rFonts w:ascii="Times" w:hAnsi="Times"/>
        </w:rPr>
        <w:fldChar w:fldCharType="end"/>
      </w:r>
      <w:r w:rsidRPr="00C421E4">
        <w:rPr>
          <w:rFonts w:ascii="Times" w:hAnsi="Times"/>
        </w:rPr>
        <w:t xml:space="preserve">, yet a flattened habituation slope to repeated negative stimuli in the mTBI group. We predict the Zygomaticus muscle, on the other hand, will exhibit increased tone to </w:t>
      </w:r>
      <w:r w:rsidRPr="00C421E4">
        <w:rPr>
          <w:rFonts w:ascii="Times" w:hAnsi="Times"/>
          <w:u w:val="single"/>
        </w:rPr>
        <w:t>positive</w:t>
      </w:r>
      <w:r w:rsidRPr="00C421E4">
        <w:rPr>
          <w:rFonts w:ascii="Times" w:hAnsi="Times"/>
        </w:rPr>
        <w:t xml:space="preserve"> stimuli in all participants </w:t>
      </w:r>
      <w:r w:rsidRPr="00C421E4">
        <w:rPr>
          <w:rFonts w:ascii="Times" w:hAnsi="Times"/>
        </w:rPr>
        <w:fldChar w:fldCharType="begin" w:fldLock="1"/>
      </w:r>
      <w:r w:rsidRPr="00C421E4">
        <w:rPr>
          <w:rFonts w:ascii="Times" w:hAnsi="Times"/>
        </w:rPr>
        <w:instrText xml:space="preserve"> ADDIN ZOTERO_ITEM CSL_CITATION {"citationID":"VVHm9gru","properties":{"formattedCitation":"(R Manber et al., 2000)","plainCitation":"(R Manber et al., 2000)"},"citationItems":[{"id":"ITEM-1","uris":["http://www.mendeley.com/documents/?uuid=99460731-6d85-456d-bcf6-591fbacb6525"],"uri":["http://www.mendeley.com/documents/?uuid=99460731-6d85-456d-bcf6-591fbacb6525"],"itemData":{"DOI":"10.1017/S0048577200981654","ISBN":"0048-5772","ISSN":"0048-5772","PMID":"11037044","abstract":"The present study used the picture perception paradigm to examine the extent to which three well-documented psychophysiological measures demonstrate consistency across time in response to emotional stimuli. The three measures were the eye-blink startle response and the activation in two facial muscle regions (zygomatic and corrugator). Twenty-seven young women were assessed on two occasions, 2 weeks apart. Whereas activation in the corrugator and zygomatic muscle regions demonstrated the predicted patterns at both assessments (with some attenuation in the zygomatic muscle regions), the startle response had limited consistency across the two assessments. The startle response revealed the predicted linear pattern of valence modulation during the first assessment. During the second assessment, startle magnitude response was a quadratic function of valence ratings and a linear function of arousal ratings. The unexpected pattern of startle response during the second session appeared to be related to the content of the pleasant slides, with action slides generating quadratic valence modulation and erotic slides continuing to exhibit the expected linear valence modulation.","author":[{"dropping-particle":"","family":"Manber","given":"R","non-dropping-particle":"","parse-names":false,"suffix":""},{"dropping-particle":"","family":"Allen","given":"J J","non-dropping-particle":"","parse-names":false,"suffix":""},{"dropping-particle":"","family":"Burton","given":"K","non-dropping-particle":"","parse-names":false,"suffix":""},{"dropping-particle":"","family":"Kaszniak","given":"a W","non-dropping-particle":"","parse-names":false,"suffix":""}],"container-title":"Psychophysiology","id":"ITEM-1","issue":"5","issued":{"date-parts":[["2000"]]},"page":"683-692","title":"Valence-dependent modulation of psychophysiological measures: is there consistency across repeated testing?","type":"article-journal","volume":"37"}}],"schema":"https://github.com/citation-style-language/schema/raw/master/csl-citation.json"} </w:instrText>
      </w:r>
      <w:r w:rsidRPr="00C421E4">
        <w:rPr>
          <w:rFonts w:ascii="Times" w:hAnsi="Times"/>
        </w:rPr>
        <w:fldChar w:fldCharType="separate"/>
      </w:r>
      <w:r w:rsidRPr="00C421E4">
        <w:rPr>
          <w:rFonts w:ascii="Times" w:hAnsi="Times"/>
          <w:noProof/>
        </w:rPr>
        <w:t>(Manber et al., 2000)</w:t>
      </w:r>
      <w:r w:rsidRPr="00C421E4">
        <w:rPr>
          <w:rFonts w:ascii="Times" w:hAnsi="Times"/>
        </w:rPr>
        <w:fldChar w:fldCharType="end"/>
      </w:r>
      <w:r w:rsidRPr="00C421E4">
        <w:rPr>
          <w:rFonts w:ascii="Times" w:hAnsi="Times"/>
        </w:rPr>
        <w:t>, yet a flattened habituation slope to repeated positive stimuli in the mTBI group.</w:t>
      </w:r>
      <w:r w:rsidRPr="00C421E4">
        <w:rPr>
          <w:rFonts w:ascii="Times" w:hAnsi="Times"/>
          <w:b/>
        </w:rPr>
        <w:t xml:space="preserve"> </w:t>
      </w:r>
    </w:p>
    <w:p w14:paraId="67371A9A" w14:textId="77777777" w:rsidR="00F7044C" w:rsidRPr="00C421E4" w:rsidRDefault="00F7044C" w:rsidP="00F7044C">
      <w:pPr>
        <w:spacing w:line="480" w:lineRule="auto"/>
        <w:rPr>
          <w:rFonts w:ascii="Times" w:hAnsi="Times"/>
          <w:b/>
        </w:rPr>
      </w:pPr>
    </w:p>
    <w:p w14:paraId="48047404" w14:textId="77777777" w:rsidR="00F7044C" w:rsidRPr="00C421E4" w:rsidRDefault="00F7044C" w:rsidP="00F7044C">
      <w:pPr>
        <w:spacing w:line="480" w:lineRule="auto"/>
        <w:rPr>
          <w:rFonts w:ascii="Times" w:hAnsi="Times"/>
          <w:b/>
        </w:rPr>
      </w:pPr>
      <w:r w:rsidRPr="00C421E4">
        <w:rPr>
          <w:rFonts w:ascii="Times" w:hAnsi="Times"/>
        </w:rPr>
        <w:t>Skin conductance often corresponds with self-reported ratings of arousal. Although we do not predict habituation to occur in self-reported measures of arousal, skin conductance is more sensitive to subtle changes in emotion than self-reported measures. We predict skin conductance to exhibit habituation to emotion to a greater extent in the non-TBI group.</w:t>
      </w:r>
      <w:r w:rsidRPr="00C421E4">
        <w:rPr>
          <w:rFonts w:ascii="Times" w:hAnsi="Times"/>
          <w:b/>
        </w:rPr>
        <w:t xml:space="preserve"> </w:t>
      </w:r>
    </w:p>
    <w:p w14:paraId="6DE390C5" w14:textId="77777777" w:rsidR="00F7044C" w:rsidRPr="00C421E4" w:rsidRDefault="00F7044C" w:rsidP="00F7044C">
      <w:pPr>
        <w:spacing w:line="480" w:lineRule="auto"/>
        <w:rPr>
          <w:rFonts w:ascii="Times" w:hAnsi="Times"/>
          <w:b/>
        </w:rPr>
      </w:pPr>
    </w:p>
    <w:p w14:paraId="4E35D52B" w14:textId="77777777" w:rsidR="00F7044C" w:rsidRPr="00C421E4" w:rsidRDefault="00F7044C" w:rsidP="00F7044C">
      <w:pPr>
        <w:spacing w:line="480" w:lineRule="auto"/>
        <w:rPr>
          <w:rFonts w:ascii="Times" w:hAnsi="Times"/>
          <w:b/>
        </w:rPr>
      </w:pPr>
      <w:r w:rsidRPr="00C421E4">
        <w:rPr>
          <w:rFonts w:ascii="Times" w:hAnsi="Times"/>
        </w:rPr>
        <w:t>Similar to skin conductance, heart rate often corresponds with ratings of arousal, yet this measure is more sensitive to subtle changes in emotion than self-reported measures of emotion. We predict</w:t>
      </w:r>
      <w:r w:rsidRPr="00C421E4">
        <w:rPr>
          <w:rFonts w:ascii="Times" w:hAnsi="Times"/>
          <w:b/>
        </w:rPr>
        <w:t xml:space="preserve"> </w:t>
      </w:r>
      <w:r w:rsidRPr="00C421E4">
        <w:rPr>
          <w:rFonts w:ascii="Times" w:hAnsi="Times"/>
        </w:rPr>
        <w:t xml:space="preserve">heart rate will decelerate in response to both negative and positive images </w:t>
      </w:r>
      <w:r w:rsidRPr="00C421E4">
        <w:rPr>
          <w:rFonts w:ascii="Times" w:hAnsi="Times"/>
        </w:rPr>
        <w:fldChar w:fldCharType="begin"/>
      </w:r>
      <w:r w:rsidRPr="00C421E4">
        <w:rPr>
          <w:rFonts w:ascii="Times" w:hAnsi="Times"/>
        </w:rPr>
        <w:instrText xml:space="preserve"> ADDIN ZOTERO_ITEM CSL_CITATION {"citationID":"1906fktb","properties":{"formattedCitation":"(Critchley et al., 2005; Hamann, Ely, Hoffman, &amp; Kilts, 2002; Pollatos, Herbert, Matthias, &amp; Schandry, 2007)","plainCitation":"(Critchley et al., 2005; Hamann, Ely, Hoffman, &amp; Kilts, 2002; Pollatos, Herbert, Matthias, &amp; Schandry, 2007)"},"citationItems":[{"id":929,"uris":["http://zotero.org/users/4141602/items/J2WZC23V"],"uri":["http://zotero.org/users/4141602/items/J2WZC23V"],"itemData":{"id":929,"type":"article-journal","title":"Activity in the human brain predicting differential heart rate responses to emotional facial expressions","container-title":"Neuroimage","page":"751-762","volume":"24","issue":"3","author":[{"family":"Critchley","given":"Hugo D."},{"family":"Rotshtein","given":"Pia"},{"family":"Nagai","given":"Yoko"},{"family":"O'doherty","given":"John"},{"family":"Mathias","given":"Christopher J."},{"family":"Dolan","given":"Raymond J."}],"issued":{"date-parts":[["2005"]]}}},{"id":928,"uris":["http://zotero.org/users/4141602/items/QQ9I8GPK"],"uri":["http://zotero.org/users/4141602/items/QQ9I8GPK"],"itemData":{"id":928,"type":"article-journal","title":"Ecstasy and agony: activation of the human amygdala in positive and negative emotion","container-title":"Psychological Science","page":"135-141","volume":"13","issue":"2","author":[{"family":"Hamann","given":"Stephan B."},{"family":"Ely","given":"Timothy D."},{"family":"Hoffman","given":"John M."},{"family":"Kilts","given":"Clinton D."}],"issued":{"date-parts":[["2002"]]}}},{"id":930,"uris":["http://zotero.org/users/4141602/items/6I65GX4Q"],"uri":["http://zotero.org/users/4141602/items/6I65GX4Q"],"itemData":{"id":930,"type":"article-journal","title":"Heart rate response after emotional picture presentation is modulated by interoceptive awareness","container-title":"International Journal of Psychophysiology","page":"117-124","volume":"63","issue":"1","author":[{"family":"Pollatos","given":"Olga"},{"family":"Herbert","given":"Beate M."},{"family":"Matthias","given":"Ellen"},{"family":"Schandry","given":"Rainer"}],"issued":{"date-parts":[["2007"]]}}}],"schema":"https://github.com/citation-style-language/schema/raw/master/csl-citation.json"} </w:instrText>
      </w:r>
      <w:r w:rsidRPr="00C421E4">
        <w:rPr>
          <w:rFonts w:ascii="Times" w:hAnsi="Times"/>
        </w:rPr>
        <w:fldChar w:fldCharType="separate"/>
      </w:r>
      <w:r w:rsidRPr="00C421E4">
        <w:rPr>
          <w:rFonts w:ascii="Times" w:hAnsi="Times"/>
          <w:noProof/>
        </w:rPr>
        <w:t>(Critchley et al., 2005; Hamann, Ely, Hoffman, &amp; Kilts, 2002; Pollatos, Herbert, Matthias, &amp; Schandry, 2007)</w:t>
      </w:r>
      <w:r w:rsidRPr="00C421E4">
        <w:rPr>
          <w:rFonts w:ascii="Times" w:hAnsi="Times"/>
        </w:rPr>
        <w:fldChar w:fldCharType="end"/>
      </w:r>
      <w:r w:rsidRPr="00C421E4">
        <w:rPr>
          <w:rFonts w:ascii="Times" w:hAnsi="Times"/>
        </w:rPr>
        <w:t xml:space="preserve"> but deceleration will be less pronounced with each subsequent image exposure (thereby demonstrating habituation). </w:t>
      </w:r>
    </w:p>
    <w:p w14:paraId="023FB95A" w14:textId="77777777" w:rsidR="00F7044C" w:rsidRPr="00C421E4" w:rsidRDefault="00F7044C" w:rsidP="00F7044C">
      <w:pPr>
        <w:spacing w:line="480" w:lineRule="auto"/>
        <w:rPr>
          <w:rFonts w:ascii="Times" w:hAnsi="Times"/>
          <w:b/>
        </w:rPr>
      </w:pPr>
    </w:p>
    <w:p w14:paraId="61B6664B" w14:textId="77777777" w:rsidR="00F7044C" w:rsidRPr="00154C4F" w:rsidRDefault="00F7044C" w:rsidP="00F7044C">
      <w:pPr>
        <w:spacing w:line="480" w:lineRule="auto"/>
        <w:rPr>
          <w:rFonts w:ascii="Times" w:hAnsi="Times"/>
        </w:rPr>
      </w:pPr>
      <w:r w:rsidRPr="00154C4F">
        <w:rPr>
          <w:rFonts w:ascii="Times" w:hAnsi="Times"/>
        </w:rPr>
        <w:lastRenderedPageBreak/>
        <w:t>Aim 2: Determine differences in reactivity to emotion stimuli in mTBI relative to controls and whether reactivity is linked to circadian rhythmicity</w:t>
      </w:r>
      <w:r w:rsidRPr="00154C4F">
        <w:rPr>
          <w:rStyle w:val="FootnoteReference"/>
        </w:rPr>
        <w:footnoteReference w:id="2"/>
      </w:r>
    </w:p>
    <w:p w14:paraId="2D7F38B8" w14:textId="77777777" w:rsidR="00F7044C" w:rsidRPr="00C421E4" w:rsidRDefault="00F7044C" w:rsidP="00F7044C">
      <w:pPr>
        <w:spacing w:line="480" w:lineRule="auto"/>
        <w:rPr>
          <w:rFonts w:ascii="Times" w:hAnsi="Times"/>
          <w:b/>
        </w:rPr>
      </w:pPr>
      <w:r w:rsidRPr="00C421E4">
        <w:rPr>
          <w:rFonts w:ascii="Times" w:hAnsi="Times"/>
        </w:rPr>
        <w:t xml:space="preserve">For reactivity, we predict the Corrugator muscle will exhibit increased tone to </w:t>
      </w:r>
      <w:r w:rsidRPr="00C421E4">
        <w:rPr>
          <w:rFonts w:ascii="Times" w:hAnsi="Times"/>
          <w:u w:val="single"/>
        </w:rPr>
        <w:t>negative</w:t>
      </w:r>
      <w:r w:rsidRPr="00C421E4">
        <w:rPr>
          <w:rFonts w:ascii="Times" w:hAnsi="Times"/>
        </w:rPr>
        <w:t xml:space="preserve"> stimuli </w:t>
      </w:r>
      <w:r w:rsidRPr="00C421E4">
        <w:rPr>
          <w:rFonts w:ascii="Times" w:hAnsi="Times"/>
        </w:rPr>
        <w:fldChar w:fldCharType="begin" w:fldLock="1"/>
      </w:r>
      <w:r w:rsidRPr="00C421E4">
        <w:rPr>
          <w:rFonts w:ascii="Times" w:hAnsi="Times"/>
        </w:rPr>
        <w:instrText xml:space="preserve"> ADDIN ZOTERO_ITEM CSL_CITATION {"citationID":"Pk6UHiLq","properties":{"formattedCitation":"(R Manber et al., 2000)","plainCitation":"(R Manber et al., 2000)"},"citationItems":[{"id":"ITEM-1","uris":["http://www.mendeley.com/documents/?uuid=99460731-6d85-456d-bcf6-591fbacb6525"],"uri":["http://www.mendeley.com/documents/?uuid=99460731-6d85-456d-bcf6-591fbacb6525"],"itemData":{"DOI":"10.1017/S0048577200981654","ISBN":"0048-5772","ISSN":"0048-5772","PMID":"11037044","abstract":"The present study used the picture perception paradigm to examine the extent to which three well-documented psychophysiological measures demonstrate consistency across time in response to emotional stimuli. The three measures were the eye-blink startle response and the activation in two facial muscle regions (zygomatic and corrugator). Twenty-seven young women were assessed on two occasions, 2 weeks apart. Whereas activation in the corrugator and zygomatic muscle regions demonstrated the predicted patterns at both assessments (with some attenuation in the zygomatic muscle regions), the startle response had limited consistency across the two assessments. The startle response revealed the predicted linear pattern of valence modulation during the first assessment. During the second assessment, startle magnitude response was a quadratic function of valence ratings and a linear function of arousal ratings. The unexpected pattern of startle response during the second session appeared to be related to the content of the pleasant slides, with action slides generating quadratic valence modulation and erotic slides continuing to exhibit the expected linear valence modulation.","author":[{"dropping-particle":"","family":"Manber","given":"R","non-dropping-particle":"","parse-names":false,"suffix":""},{"dropping-particle":"","family":"Allen","given":"J J","non-dropping-particle":"","parse-names":false,"suffix":""},{"dropping-particle":"","family":"Burton","given":"K","non-dropping-particle":"","parse-names":false,"suffix":""},{"dropping-particle":"","family":"Kaszniak","given":"a W","non-dropping-particle":"","parse-names":false,"suffix":""}],"container-title":"Psychophysiology","id":"ITEM-1","issue":"5","issued":{"date-parts":[["2000"]]},"page":"683-692","title":"Valence-dependent modulation of psychophysiological measures: is there consistency across repeated testing?","type":"article-journal","volume":"37"}}],"schema":"https://github.com/citation-style-language/schema/raw/master/csl-citation.json"} </w:instrText>
      </w:r>
      <w:r w:rsidRPr="00C421E4">
        <w:rPr>
          <w:rFonts w:ascii="Times" w:hAnsi="Times"/>
        </w:rPr>
        <w:fldChar w:fldCharType="separate"/>
      </w:r>
      <w:r w:rsidRPr="00C421E4">
        <w:rPr>
          <w:rFonts w:ascii="Times" w:hAnsi="Times"/>
          <w:noProof/>
        </w:rPr>
        <w:t>(Manber et al., 2000)</w:t>
      </w:r>
      <w:r w:rsidRPr="00C421E4">
        <w:rPr>
          <w:rFonts w:ascii="Times" w:hAnsi="Times"/>
        </w:rPr>
        <w:fldChar w:fldCharType="end"/>
      </w:r>
      <w:r w:rsidRPr="00C421E4">
        <w:rPr>
          <w:rFonts w:ascii="Times" w:hAnsi="Times"/>
        </w:rPr>
        <w:t xml:space="preserve">, yet the mTBI group will exhibit less of an increase than the non-TBI group. We predict the Zygomaticus muscle will exhibit increased tone to </w:t>
      </w:r>
      <w:r w:rsidRPr="00C421E4">
        <w:rPr>
          <w:rFonts w:ascii="Times" w:hAnsi="Times"/>
          <w:u w:val="single"/>
        </w:rPr>
        <w:t>positive</w:t>
      </w:r>
      <w:r w:rsidRPr="00C421E4">
        <w:rPr>
          <w:rFonts w:ascii="Times" w:hAnsi="Times"/>
        </w:rPr>
        <w:t xml:space="preserve"> stimuli </w:t>
      </w:r>
      <w:r w:rsidRPr="00C421E4">
        <w:rPr>
          <w:rFonts w:ascii="Times" w:hAnsi="Times"/>
        </w:rPr>
        <w:fldChar w:fldCharType="begin" w:fldLock="1"/>
      </w:r>
      <w:r w:rsidRPr="00C421E4">
        <w:rPr>
          <w:rFonts w:ascii="Times" w:hAnsi="Times"/>
        </w:rPr>
        <w:instrText xml:space="preserve"> ADDIN ZOTERO_ITEM CSL_CITATION {"citationID":"cMfSkloQ","properties":{"formattedCitation":"(R Manber et al., 2000)","plainCitation":"(R Manber et al., 2000)"},"citationItems":[{"id":"ITEM-1","uris":["http://www.mendeley.com/documents/?uuid=99460731-6d85-456d-bcf6-591fbacb6525"],"uri":["http://www.mendeley.com/documents/?uuid=99460731-6d85-456d-bcf6-591fbacb6525"],"itemData":{"DOI":"10.1017/S0048577200981654","ISBN":"0048-5772","ISSN":"0048-5772","PMID":"11037044","abstract":"The present study used the picture perception paradigm to examine the extent to which three well-documented psychophysiological measures demonstrate consistency across time in response to emotional stimuli. The three measures were the eye-blink startle response and the activation in two facial muscle regions (zygomatic and corrugator). Twenty-seven young women were assessed on two occasions, 2 weeks apart. Whereas activation in the corrugator and zygomatic muscle regions demonstrated the predicted patterns at both assessments (with some attenuation in the zygomatic muscle regions), the startle response had limited consistency across the two assessments. The startle response revealed the predicted linear pattern of valence modulation during the first assessment. During the second assessment, startle magnitude response was a quadratic function of valence ratings and a linear function of arousal ratings. The unexpected pattern of startle response during the second session appeared to be related to the content of the pleasant slides, with action slides generating quadratic valence modulation and erotic slides continuing to exhibit the expected linear valence modulation.","author":[{"dropping-particle":"","family":"Manber","given":"R","non-dropping-particle":"","parse-names":false,"suffix":""},{"dropping-particle":"","family":"Allen","given":"J J","non-dropping-particle":"","parse-names":false,"suffix":""},{"dropping-particle":"","family":"Burton","given":"K","non-dropping-particle":"","parse-names":false,"suffix":""},{"dropping-particle":"","family":"Kaszniak","given":"a W","non-dropping-particle":"","parse-names":false,"suffix":""}],"container-title":"Psychophysiology","id":"ITEM-1","issue":"5","issued":{"date-parts":[["2000"]]},"page":"683-692","title":"Valence-dependent modulation of psychophysiological measures: is there consistency across repeated testing?","type":"article-journal","volume":"37"}}],"schema":"https://github.com/citation-style-language/schema/raw/master/csl-citation.json"} </w:instrText>
      </w:r>
      <w:r w:rsidRPr="00C421E4">
        <w:rPr>
          <w:rFonts w:ascii="Times" w:hAnsi="Times"/>
        </w:rPr>
        <w:fldChar w:fldCharType="separate"/>
      </w:r>
      <w:r w:rsidRPr="00C421E4">
        <w:rPr>
          <w:rFonts w:ascii="Times" w:hAnsi="Times"/>
          <w:noProof/>
        </w:rPr>
        <w:t>(Manber et al., 2000)</w:t>
      </w:r>
      <w:r w:rsidRPr="00C421E4">
        <w:rPr>
          <w:rFonts w:ascii="Times" w:hAnsi="Times"/>
        </w:rPr>
        <w:fldChar w:fldCharType="end"/>
      </w:r>
      <w:r w:rsidRPr="00C421E4">
        <w:rPr>
          <w:rFonts w:ascii="Times" w:hAnsi="Times"/>
        </w:rPr>
        <w:t xml:space="preserve">, yet the mTBI group will exhibit less of an increase than the non-TBI group. For skin conductance, as in previous work </w:t>
      </w:r>
      <w:r w:rsidRPr="00C421E4">
        <w:rPr>
          <w:rFonts w:ascii="Times" w:hAnsi="Times"/>
        </w:rPr>
        <w:fldChar w:fldCharType="begin"/>
      </w:r>
      <w:r w:rsidRPr="00C421E4">
        <w:rPr>
          <w:rFonts w:ascii="Times" w:hAnsi="Times"/>
        </w:rPr>
        <w:instrText xml:space="preserve"> ADDIN ZOTERO_ITEM CSL_CITATION {"citationID":"1347lekb3h","properties":{"formattedCitation":"(Baker &amp; Good, 2014a; van Noordt &amp; Good, 2011b)","plainCitation":"(Baker &amp; Good, 2014a; van Noordt &amp; Good, 2011b)"},"citationItems":[{"id":"Sl3AVmA5/9nrSbRE3","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[BI]","id":"Sl3AVmA5/9nrSbRE3","issue":"1","issued":{"date-parts":[["2014"]]},"page":"51-65","title":"Physiological emotional under-arousal in individuals with mild head injury.","type":"article-journal","volume":"28"}},{"id":204,"uris":["http://zotero.org/users/4141602/items/8HWSTM74"],"uri":["http://zotero.org/users/4141602/items/8HWSTM74"],"itemData":{"id":204,"type":"article-journal","title":"Mild head injury and sympathetic arousal: investigating relationships with decision-making and neuropsychological performance in university students.","container-title":"Brain injury","page":"707-16","volume":"25","issue":"7-8","abstract":"SUMMARY: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decision-making.","DOI":"10.3109/02699052.2011.580312","ISSN":"02699052 (ISSN)","author":[{"family":"Noordt","given":"Stefon","non-dropping-particle":"van"},{"family":"Good","given":"Dawn"}],"issued":{"date-parts":[["2011"]]}}}],"schema":"https://github.com/citation-style-language/schema/raw/master/csl-citation.json"} </w:instrText>
      </w:r>
      <w:r w:rsidRPr="00C421E4">
        <w:rPr>
          <w:rFonts w:ascii="Times" w:hAnsi="Times"/>
        </w:rPr>
        <w:fldChar w:fldCharType="separate"/>
      </w:r>
      <w:r w:rsidRPr="00C421E4">
        <w:rPr>
          <w:rFonts w:ascii="Times" w:hAnsi="Times"/>
          <w:noProof/>
        </w:rPr>
        <w:t>(Baker &amp; Good, 2014; van Noordt &amp; Good, 2011)</w:t>
      </w:r>
      <w:r w:rsidRPr="00C421E4">
        <w:rPr>
          <w:rFonts w:ascii="Times" w:hAnsi="Times"/>
        </w:rPr>
        <w:fldChar w:fldCharType="end"/>
      </w:r>
      <w:r w:rsidRPr="00C421E4">
        <w:rPr>
          <w:rFonts w:ascii="Times" w:hAnsi="Times"/>
        </w:rPr>
        <w:t>, we predict the mTBI group to have blunted reactivity to emotional stimuli relative to the non-TBI group.</w:t>
      </w:r>
      <w:r w:rsidRPr="00C421E4">
        <w:rPr>
          <w:rFonts w:ascii="Times" w:hAnsi="Times"/>
          <w:b/>
        </w:rPr>
        <w:t xml:space="preserve"> </w:t>
      </w:r>
      <w:r w:rsidRPr="00C421E4">
        <w:rPr>
          <w:rFonts w:ascii="Times" w:hAnsi="Times"/>
        </w:rPr>
        <w:t>Similar to skin conductance, we predict heart rate to exhibit blunted reactivity to emotional stimuli in the mTBI group as compared to the non-TBI group. We predict</w:t>
      </w:r>
      <w:r w:rsidRPr="00C421E4">
        <w:rPr>
          <w:rFonts w:ascii="Times" w:hAnsi="Times"/>
          <w:b/>
        </w:rPr>
        <w:t xml:space="preserve"> </w:t>
      </w:r>
      <w:r w:rsidRPr="00C421E4">
        <w:rPr>
          <w:rFonts w:ascii="Times" w:hAnsi="Times"/>
        </w:rPr>
        <w:t xml:space="preserve">heart rate will decelerate in response to both negative and positive images </w:t>
      </w:r>
      <w:r w:rsidRPr="00C421E4">
        <w:rPr>
          <w:rFonts w:ascii="Times" w:hAnsi="Times"/>
        </w:rPr>
        <w:fldChar w:fldCharType="begin" w:fldLock="1"/>
      </w:r>
      <w:r w:rsidRPr="00C421E4">
        <w:rPr>
          <w:rFonts w:ascii="Times" w:hAnsi="Times"/>
        </w:rPr>
        <w:instrText xml:space="preserve"> ADDIN ZOTERO_ITEM CSL_CITATION {"citationID":"oLWJwWtl","properties":{"formattedCitation":"(Peter J. Lang et al., 1998)","plainCitation":"(Peter J. Lang et al., 1998)"},"citationItems":[{"id":"ITEM-1","uris":["http://www.mendeley.com/documents/?uuid=5331d360-8acc-417b-ae99-a377a43a877b"],"uri":["http://www.mendeley.com/documents/?uuid=5331d360-8acc-417b-ae99-a377a43a877b"],"itemData":{"DOI":"10.1016/S0006-3223(98)00275-3","ISBN":"1097-4199 (Electronic)\\n0896-6273 (Linking)","ISSN":"00063223","PMID":"9861468","abstract":"The organization of response systems in emotion is founded on two basic motive systems, appetitive and defensive. The subcortical and deep cortical structures that determine primary motivated behavior are similar across mammalian species. Animal research has illuminated these neural systems and defined their reflex outputs. Although motivated behavior is more complex and varied in humans, the simpler underlying response patterns persist in affective expression. These basic phenomena are elucidated here in the context of affective perception. Thus, the research examines human beings watching uniquely human stimuli - primarily picture media (but also words and sounds) that prompt emotional arousal - showing how the underlying motivational structure is apparent in the organization of visceral and behavioral responses, in the priming of simple reflexes, and in the reentrant processing of these symbolic representations in the sensory cortex. Implications of the work for understanding pathological emotional states are discussed, emphasizing research on psychopathy and the anxiety disorders.","author":[{"dropping-particle":"","family":"Lang","given":"Peter J.","non-dropping-particle":"","parse-names":false,"suffix":""},{"dropping-particle":"","family":"Bradley","given":"Margaret M.","non-dropping-particle":"","parse-names":false,"suffix":""},{"dropping-particle":"","family":"Cuthbert","given":"Bruce N.","non-dropping-particle":"","parse-names":false,"suffix":""}],"container-title":"Biological Psychiatry","id":"ITEM-1","issue":"12","issued":{"date-parts":[["1998"]]},"page":"1248-1263","title":"Emotion, motivation, and anxiety: Brain mechanisms and psychophysiology","type":"article-journal","volume":"44"}}],"schema":"https://github.com/citation-style-language/schema/raw/master/csl-citation.json"} </w:instrText>
      </w:r>
      <w:r w:rsidRPr="00C421E4">
        <w:rPr>
          <w:rFonts w:ascii="Times" w:hAnsi="Times"/>
        </w:rPr>
        <w:fldChar w:fldCharType="separate"/>
      </w:r>
      <w:r w:rsidRPr="00C421E4">
        <w:rPr>
          <w:rFonts w:ascii="Times" w:hAnsi="Times"/>
          <w:noProof/>
        </w:rPr>
        <w:t>(Lang et al., 1998)</w:t>
      </w:r>
      <w:r w:rsidRPr="00C421E4">
        <w:rPr>
          <w:rFonts w:ascii="Times" w:hAnsi="Times"/>
        </w:rPr>
        <w:fldChar w:fldCharType="end"/>
      </w:r>
      <w:r w:rsidRPr="00C421E4">
        <w:rPr>
          <w:rFonts w:ascii="Times" w:hAnsi="Times"/>
        </w:rPr>
        <w:t xml:space="preserve">, yet the mTBI group will exhibit less of a decrease than the non-TBI group. Lastly, we believe there will be a rhythmic pattern (with 3 roots/crosses in the horizontal axis) in emotion ratings (negative/positive arousal and valence). </w:t>
      </w:r>
    </w:p>
    <w:p w14:paraId="04AFC3CA" w14:textId="77777777" w:rsidR="00F7044C" w:rsidRPr="00C421E4" w:rsidRDefault="00F7044C" w:rsidP="00F7044C">
      <w:pPr>
        <w:spacing w:line="480" w:lineRule="auto"/>
        <w:rPr>
          <w:rFonts w:ascii="Times" w:hAnsi="Times"/>
        </w:rPr>
      </w:pPr>
    </w:p>
    <w:p w14:paraId="65F6C0CC" w14:textId="77777777" w:rsidR="00F7044C" w:rsidRPr="00154C4F" w:rsidRDefault="00F7044C" w:rsidP="00F7044C">
      <w:pPr>
        <w:spacing w:line="480" w:lineRule="auto"/>
        <w:rPr>
          <w:rFonts w:ascii="Times" w:hAnsi="Times"/>
        </w:rPr>
      </w:pPr>
      <w:r w:rsidRPr="00154C4F">
        <w:rPr>
          <w:rFonts w:ascii="Times" w:hAnsi="Times"/>
        </w:rPr>
        <w:t xml:space="preserve">Aim 3: Assess whether reactivity and habituation characteristics predict mood symptomology </w:t>
      </w:r>
    </w:p>
    <w:p w14:paraId="464F3697" w14:textId="77777777" w:rsidR="00F7044C" w:rsidRPr="00C421E4" w:rsidRDefault="00F7044C" w:rsidP="00F7044C">
      <w:pPr>
        <w:spacing w:line="480" w:lineRule="auto"/>
        <w:rPr>
          <w:rFonts w:ascii="Times" w:hAnsi="Times"/>
        </w:rPr>
      </w:pPr>
      <w:r w:rsidRPr="00C421E4">
        <w:rPr>
          <w:rFonts w:ascii="Times" w:hAnsi="Times"/>
        </w:rPr>
        <w:t xml:space="preserve">We predict reduced habituation (i.e., a shallower slope between the first viewed image and the last viewed image) will predict increased </w:t>
      </w:r>
      <w:r w:rsidRPr="00C421E4">
        <w:rPr>
          <w:rFonts w:ascii="Times" w:hAnsi="Times"/>
          <w:b/>
        </w:rPr>
        <w:t>depressive</w:t>
      </w:r>
      <w:r w:rsidRPr="00C421E4">
        <w:rPr>
          <w:rFonts w:ascii="Times" w:hAnsi="Times"/>
        </w:rPr>
        <w:t xml:space="preserve"> symptoms </w:t>
      </w:r>
      <w:r w:rsidRPr="00C421E4">
        <w:rPr>
          <w:rFonts w:ascii="Times" w:hAnsi="Times"/>
        </w:rPr>
        <w:fldChar w:fldCharType="begin" w:fldLock="1"/>
      </w:r>
      <w:r w:rsidRPr="00C421E4">
        <w:rPr>
          <w:rFonts w:ascii="Times" w:hAnsi="Times"/>
        </w:rPr>
        <w:instrText xml:space="preserve"> ADDIN ZOTERO_ITEM CSL_CITATION {"citationID":"lmRXp17T","properties":{"formattedCitation":"(Bylsma et al., 2008)","plainCitation":"(Bylsma et al., 2008)"},"citationItems":[{"id":"ITEM-1","uris":["http://www.mendeley.com/documents/?uuid=865391b8-21bd-4d76-9a09-55edcaba9b50"],"uri":["http://www.mendeley.com/documents/?uuid=865391b8-21bd-4d76-9a09-55edcaba9b50"],"itemData":{"DOI":"10.1016/j.cpr.2007.10.001","ISBN":"0272-7358","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Review","id":"ITEM-1","issue":"4","issued":{"date-parts":[["2008"]]},"page":"676-691","title":"A meta-analysis of emotional reactivity in major depressive disorder","type":"article","volume":"28"}}],"schema":"https://github.com/citation-style-language/schema/raw/master/csl-citation.json"} </w:instrText>
      </w:r>
      <w:r w:rsidRPr="00C421E4">
        <w:rPr>
          <w:rFonts w:ascii="Times" w:hAnsi="Times"/>
        </w:rPr>
        <w:fldChar w:fldCharType="separate"/>
      </w:r>
      <w:r w:rsidRPr="00C421E4">
        <w:rPr>
          <w:rFonts w:ascii="Times" w:hAnsi="Times"/>
          <w:noProof/>
        </w:rPr>
        <w:t>(Bylsma et al., 2008)</w:t>
      </w:r>
      <w:r w:rsidRPr="00C421E4">
        <w:rPr>
          <w:rFonts w:ascii="Times" w:hAnsi="Times"/>
        </w:rPr>
        <w:fldChar w:fldCharType="end"/>
      </w:r>
      <w:r w:rsidRPr="00C421E4">
        <w:rPr>
          <w:rFonts w:ascii="Times" w:hAnsi="Times"/>
        </w:rPr>
        <w:t xml:space="preserve"> and reduced reactivity (i.e., more neutral image ratings and physiology during the </w:t>
      </w:r>
      <w:r w:rsidRPr="00C421E4">
        <w:rPr>
          <w:rFonts w:ascii="Times" w:hAnsi="Times"/>
        </w:rPr>
        <w:lastRenderedPageBreak/>
        <w:t xml:space="preserve">first image presentation) will predict increased </w:t>
      </w:r>
      <w:r w:rsidRPr="00C421E4">
        <w:rPr>
          <w:rFonts w:ascii="Times" w:hAnsi="Times"/>
          <w:b/>
        </w:rPr>
        <w:t>depressive</w:t>
      </w:r>
      <w:r w:rsidRPr="00C421E4">
        <w:rPr>
          <w:rFonts w:ascii="Times" w:hAnsi="Times"/>
        </w:rPr>
        <w:t xml:space="preserve"> symptoms </w:t>
      </w:r>
      <w:r w:rsidRPr="00C421E4">
        <w:rPr>
          <w:rFonts w:ascii="Times" w:hAnsi="Times"/>
        </w:rPr>
        <w:fldChar w:fldCharType="begin" w:fldLock="1"/>
      </w:r>
      <w:r w:rsidRPr="00C421E4">
        <w:rPr>
          <w:rFonts w:ascii="Times" w:hAnsi="Times"/>
        </w:rPr>
        <w:instrText xml:space="preserve"> ADDIN ZOTERO_ITEM CSL_CITATION {"citationID":"EzUuecKT","properties":{"formattedCitation":"(Bylsma et al., 2008)","plainCitation":"(Bylsma et al., 2008)"},"citationItems":[{"id":"ITEM-1","uris":["http://www.mendeley.com/documents/?uuid=865391b8-21bd-4d76-9a09-55edcaba9b50"],"uri":["http://www.mendeley.com/documents/?uuid=865391b8-21bd-4d76-9a09-55edcaba9b50"],"itemData":{"DOI":"10.1016/j.cpr.2007.10.001","ISBN":"0272-7358","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Review","id":"ITEM-1","issue":"4","issued":{"date-parts":[["2008"]]},"page":"676-691","title":"A meta-analysis of emotional reactivity in major depressive disorder","type":"article","volume":"28"}}],"schema":"https://github.com/citation-style-language/schema/raw/master/csl-citation.json"} </w:instrText>
      </w:r>
      <w:r w:rsidRPr="00C421E4">
        <w:rPr>
          <w:rFonts w:ascii="Times" w:hAnsi="Times"/>
        </w:rPr>
        <w:fldChar w:fldCharType="separate"/>
      </w:r>
      <w:r w:rsidRPr="00C421E4">
        <w:rPr>
          <w:rFonts w:ascii="Times" w:hAnsi="Times"/>
          <w:noProof/>
        </w:rPr>
        <w:t>(Bylsma et al., 2008)</w:t>
      </w:r>
      <w:r w:rsidRPr="00C421E4">
        <w:rPr>
          <w:rFonts w:ascii="Times" w:hAnsi="Times"/>
        </w:rPr>
        <w:fldChar w:fldCharType="end"/>
      </w:r>
      <w:r w:rsidRPr="00C421E4">
        <w:rPr>
          <w:rFonts w:ascii="Times" w:hAnsi="Times"/>
        </w:rPr>
        <w:t xml:space="preserve">. We also predict reduced habituation will predict increased </w:t>
      </w:r>
      <w:r w:rsidRPr="00C421E4">
        <w:rPr>
          <w:rFonts w:ascii="Times" w:hAnsi="Times"/>
          <w:b/>
        </w:rPr>
        <w:t>anxiety</w:t>
      </w:r>
      <w:r w:rsidRPr="00C421E4">
        <w:rPr>
          <w:rFonts w:ascii="Times" w:hAnsi="Times"/>
        </w:rPr>
        <w:t xml:space="preserve"> symptoms </w:t>
      </w:r>
      <w:r w:rsidRPr="00C421E4">
        <w:rPr>
          <w:rFonts w:ascii="Times" w:hAnsi="Times"/>
        </w:rPr>
        <w:fldChar w:fldCharType="begin"/>
      </w:r>
      <w:r w:rsidRPr="00C421E4">
        <w:rPr>
          <w:rFonts w:ascii="Times" w:hAnsi="Times"/>
        </w:rPr>
        <w:instrText xml:space="preserve"> ADDIN ZOTERO_ITEM CSL_CITATION {"citationID":"1clcbhhgkc","properties":{"formattedCitation":"(B. P. Bradley, Mogg, Falla, &amp; Hamilton, 1998; Hare et al., 2008)","plainCitation":"(B. P. Bradley, Mogg, Falla, &amp; Hamilton, 1998; Hare et al., 2008)"},"citationItems":[{"id":"Sl3AVmA5/ae7qFRgP","uris":["http://www.mendeley.com/documents/?uuid=16083891-47c9-4403-8093-6199f2367d7b"],"uri":["http://www.mendeley.com/documents/?uuid=16083891-47c9-4403-8093-6199f2367d7b"],"itemData":{"DOI":"10.1080/026999398379411","ISBN":"0269993983794","ISSN":"0269-9931","abstract":"The study investigated the time course of attentional biases for emotional facial expressions in high and low trait anxious individuals. Threat, happy, and neutral face stimuli were presented at two exposure durations, 500 and 1250msec, in a forced-choice reaction time (RT) version of the dot probe task. There was clear evidence of an attentional bias favouring threatening facial expressions, but not emotional faces in general, in high trait anxiety. Increased dysphoria was associated with a tendency to avoid happy faces. No evidence was found of avoidance following initial vigilance for threat in this nonclinical sample. Methodological and theoretical implications of the results are discussed.","author":[{"dropping-particle":"","family":"Bradley","given":"Brendan P.","non-dropping-particle":"","parse-names":false,"suffix":""},{"dropping-particle":"","family":"Mogg","given":"Karin","non-dropping-particle":"","parse-names":false,"suffix":""},{"dropping-particle":"","family":"Falla","given":"Sara J.","non-dropping-particle":"","parse-names":false,"suffix":""},{"dropping-particle":"","family":"Hamilton","given":"Lucy R.","non-dropping-particle":"","parse-names":false,"suffix":""}],"container-title":"Cognition &amp; Emotion","id":"Sl3AVmA5/ae7qFRgP","issue":"6","issued":{"date-parts":[["1998"]]},"page":"737-753","title":"Attentional Bias for Threatening Facial Expressions in Anxiety: Manipulation of Stimulus Duration","type":"article-journal","volume":"12"}},{"id":"Sl3AVmA5/TZHjyGqQ","uris":["http://www.mendeley.com/documents/?uuid=595f3522-8268-4f88-bfad-11585cbd3060"],"uri":["http://www.mendeley.com/documents/?uuid=595f3522-8268-4f88-bfad-11585cbd3060"],"itemData":{"DOI":"10.1016/j.biopsych.2008.03.015","ISBN":"1873-2402 (Electronic)\\n0006-3223 (Linking)","ISSN":"00063223","PMID":"18452757","abstract":"Background: Adolescence is a transition period from childhood to adulthood that is often characterized by emotional instability. This period is also a time of increased incidence of anxiety and depression, underscoring the importance of understanding biological substrates of behavioral and emotion regulation during adolescence. Developmental changes in the brain in concert with individual predispositions for anxiety might underlie the increased risk for poor outcomes reported during adolescence. We tested the hypothesis that difficulties in regulating behavior in emotional contexts in adolescents might be due to competition between heightened activity in subcortical emotional processing systems and immature top-down prefrontal systems. Individual differences in emotional reactivity might put some teens at greater risk during this sensitive transition in development. Methods: We examined the association between emotion regulation and frontoamygdala circuitry in 60 children, adolescents, and adults with an emotional go-nogo paradigm. We went beyond examining the magnitude of neural activity and focused on neural adaptation within this circuitry across time with functional magnetic resonance imaging. Results: Adolescents showed exaggerated amygdala activity relative to children and adults. This age-related difference decreased with repeated exposures to the stimuli, and individual differences in self-ratings of anxiety predicted the extent of adaptation or habituation in amygdala. Individuals with higher trait anxiety showed less habituation over repeated exposures. This failure to habituate was associated with less functional connectivity between ventral prefrontal cortex and amygdala. Conclusions: These findings suggest that exaggerated emotional reactivity during adolescence might increase the need for top-down control and put individuals with less control at greater risk for poor outcomes. ?? 2008 Society of Biological Psychiatry.","author":[{"dropping-particle":"","family":"Hare","given":"Todd A.","non-dropping-particle":"","parse-names":false,"suffix":""},{"dropping-particle":"","family":"Tottenham","given":"Nim","non-dropping-particle":"","parse-names":false,"suffix":""},{"dropping-particle":"","family":"Galvan","given":"Adriana","non-dropping-particle":"","parse-names":false,"suffix":""},{"dropping-particle":"","family":"Voss","given":"Henning U.","non-dropping-particle":"","parse-names":false,"suffix":""},{"dropping-particle":"","family":"Glover","given":"Gary H.","non-dropping-particle":"","parse-names":false,"suffix":""},{"dropping-particle":"","family":"Casey","given":"B. J.","non-dropping-particle":"","parse-names":false,"suffix":""}],"container-title":"Biological Psychiatry","id":"Sl3AVmA5/TZHjyGqQ","issue":"10","issued":{"date-parts":[["2008"]]},"page":"927-934","title":"Biological Substrates of Emotional Reactivity and Regulation in Adolescence During an Emotional Go-Nogo Task","type":"article-journal","volume":"63"}}],"schema":"https://github.com/citation-style-language/schema/raw/master/csl-citation.json"} </w:instrText>
      </w:r>
      <w:r w:rsidRPr="00C421E4">
        <w:rPr>
          <w:rFonts w:ascii="Times" w:hAnsi="Times"/>
        </w:rPr>
        <w:fldChar w:fldCharType="separate"/>
      </w:r>
      <w:r w:rsidRPr="00C421E4">
        <w:rPr>
          <w:rFonts w:ascii="Times" w:hAnsi="Times"/>
          <w:noProof/>
        </w:rPr>
        <w:t>(Bradley, Mogg, Falla, &amp; Hamilton, 1998; Hare et al., 2008)</w:t>
      </w:r>
      <w:r w:rsidRPr="00C421E4">
        <w:rPr>
          <w:rFonts w:ascii="Times" w:hAnsi="Times"/>
        </w:rPr>
        <w:fldChar w:fldCharType="end"/>
      </w:r>
      <w:r w:rsidRPr="00C421E4">
        <w:rPr>
          <w:rFonts w:ascii="Times" w:hAnsi="Times"/>
        </w:rPr>
        <w:t xml:space="preserve"> and that increased reactivity will predict increased </w:t>
      </w:r>
      <w:r w:rsidRPr="00C421E4">
        <w:rPr>
          <w:rFonts w:ascii="Times" w:hAnsi="Times"/>
          <w:b/>
        </w:rPr>
        <w:t>anxiety</w:t>
      </w:r>
      <w:r w:rsidRPr="00C421E4">
        <w:rPr>
          <w:rFonts w:ascii="Times" w:hAnsi="Times"/>
        </w:rPr>
        <w:t xml:space="preserve"> symptoms </w:t>
      </w:r>
      <w:r w:rsidRPr="00C421E4">
        <w:rPr>
          <w:rFonts w:ascii="Times" w:hAnsi="Times"/>
        </w:rPr>
        <w:fldChar w:fldCharType="begin" w:fldLock="1"/>
      </w:r>
      <w:r w:rsidRPr="00C421E4">
        <w:rPr>
          <w:rFonts w:ascii="Times" w:hAnsi="Times"/>
        </w:rPr>
        <w:instrText xml:space="preserve"> ADDIN ZOTERO_ITEM CSL_CITATION {"citationID":"XtYa81NE","properties":{"formattedCitation":"(Shah, Klumpp, Angstadt, Nathan, &amp; Phan, 2009)","plainCitation":"(Shah, Klumpp, Angstadt, Nathan, &amp; Phan, 2009)"},"citationItems":[{"id":"ITEM-1","uris":["http://www.mendeley.com/documents/?uuid=5c6c2cf8-96ea-429a-8d9f-227acc31b2c8"],"uri":["http://www.mendeley.com/documents/?uuid=5c6c2cf8-96ea-429a-8d9f-227acc31b2c8"],"itemData":{"ISBN":"11804882","ISSN":"1488-2434","PMID":"19568481","abstract":"BACKGROUND: Functional brain imaging studies have demonstrated amygdala and insula hyper-reactivity to probes of social threat in participants with generalized social anxiety disorder (gSAD). The amygdala and insula are known to serve broad functions in emotional processing, including integration of affective information. However, few studies have examined brain responses in socially anxious participants during general emotional processing. We examined brain response to emotionally evocative images in patients with gSAD and matched healthy controls.\\n\\nMETHODS: Eleven patients with gSAD who were not taking psychotropic medications and did not have psychiatric comorbidities and 11 matched healthy controls underwent functional magnetic resonance imaging while viewing blocks of emotionally salient (positive, negative, neutral) pictures.\\n\\nRESULTS: Participants with gSAD exhibited enhanced bilateral amygdala and insula reactivity to negative (v. neutral) images compared with healthy controls who did not exhibit enhanced reactivity. Within the gSAD group, the extent of amygdala activation was correlated with social anxiety severity, whereas the extent of insula activation was correlated with trait anxiety.\\n\\nLIMITATIONS: The small sample size may have limited our ability to detect group differences in other relevant brain regions and in behavioural measures.\\n\\nCONCLUSION: In addition to prior findings of probes of social information processing, our findings suggest that the amygdala and insula responses are hyper-reactive to general emotional images with negative emotional content and that these brain regions may play divergent roles in their representation of different phenotypes.","author":[{"dropping-particle":"","family":"Shah","given":"Sabin G","non-dropping-particle":"","parse-names":false,"suffix":""},{"dropping-particle":"","family":"Klumpp","given":"Heide","non-dropping-particle":"","parse-names":false,"suffix":""},{"dropping-particle":"","family":"Angstadt","given":"Mike","non-dropping-particle":"","parse-names":false,"suffix":""},{"dropping-particle":"","family":"Nathan","given":"Pradeep J","non-dropping-particle":"","parse-names":false,"suffix":""},{"dropping-particle":"","family":"Phan","given":"K Luan","non-dropping-particle":"","parse-names":false,"suffix":""}],"container-title":"Journal of psychiatry &amp; neuroscience : JPN","id":"ITEM-1","issue":"4","issued":{"date-parts":[["2009"]]},"page":"296-302","title":"Amygdala and insula response to emotional images in patients with generalized social anxiety disorder.","type":"article-journal","volume":"34"}}],"schema":"https://github.com/citation-style-language/schema/raw/master/csl-citation.json"} </w:instrText>
      </w:r>
      <w:r w:rsidRPr="00C421E4">
        <w:rPr>
          <w:rFonts w:ascii="Times" w:hAnsi="Times"/>
        </w:rPr>
        <w:fldChar w:fldCharType="separate"/>
      </w:r>
      <w:r w:rsidRPr="00C421E4">
        <w:rPr>
          <w:rFonts w:ascii="Times" w:hAnsi="Times"/>
          <w:noProof/>
        </w:rPr>
        <w:t>(Shah, Klumpp, Angstadt, Nathan, &amp; Phan, 2009)</w:t>
      </w:r>
      <w:r w:rsidRPr="00C421E4">
        <w:rPr>
          <w:rFonts w:ascii="Times" w:hAnsi="Times"/>
        </w:rPr>
        <w:fldChar w:fldCharType="end"/>
      </w:r>
      <w:r w:rsidRPr="00C421E4">
        <w:rPr>
          <w:rFonts w:ascii="Times" w:hAnsi="Times"/>
        </w:rPr>
        <w:t>.</w:t>
      </w:r>
    </w:p>
    <w:p w14:paraId="67EE0895" w14:textId="77777777" w:rsidR="00F7044C" w:rsidRPr="00C421E4" w:rsidRDefault="00F7044C" w:rsidP="00F7044C">
      <w:pPr>
        <w:rPr>
          <w:rFonts w:ascii="Times" w:hAnsi="Times"/>
        </w:rPr>
      </w:pPr>
    </w:p>
    <w:p w14:paraId="31CC3224" w14:textId="77777777" w:rsidR="00F7044C" w:rsidRPr="00C421E4" w:rsidRDefault="00F7044C" w:rsidP="00F7044C">
      <w:pPr>
        <w:rPr>
          <w:rFonts w:ascii="Times" w:hAnsi="Times"/>
          <w:b/>
        </w:rPr>
      </w:pPr>
    </w:p>
    <w:p w14:paraId="01AC6C25" w14:textId="77777777" w:rsidR="00F7044C" w:rsidRPr="00986591" w:rsidRDefault="00F7044C" w:rsidP="00F7044C">
      <w:pPr>
        <w:spacing w:line="480" w:lineRule="auto"/>
        <w:jc w:val="center"/>
        <w:outlineLvl w:val="0"/>
        <w:rPr>
          <w:rFonts w:ascii="Times" w:hAnsi="Times"/>
          <w:b/>
          <w:u w:val="single"/>
        </w:rPr>
      </w:pPr>
      <w:r w:rsidRPr="00986591">
        <w:rPr>
          <w:rFonts w:ascii="Times" w:hAnsi="Times"/>
          <w:b/>
          <w:u w:val="single"/>
        </w:rPr>
        <w:t>B. Methods</w:t>
      </w:r>
    </w:p>
    <w:p w14:paraId="4EBD6B7B" w14:textId="77777777" w:rsidR="00F7044C" w:rsidRPr="00986591" w:rsidRDefault="00F7044C" w:rsidP="00F7044C">
      <w:pPr>
        <w:spacing w:line="480" w:lineRule="auto"/>
        <w:jc w:val="center"/>
        <w:outlineLvl w:val="0"/>
        <w:rPr>
          <w:rFonts w:ascii="Times" w:hAnsi="Times"/>
          <w:b/>
        </w:rPr>
      </w:pPr>
      <w:r>
        <w:rPr>
          <w:rFonts w:ascii="Times" w:hAnsi="Times"/>
          <w:b/>
        </w:rPr>
        <w:t xml:space="preserve">1. </w:t>
      </w:r>
      <w:r w:rsidRPr="00986591">
        <w:rPr>
          <w:rFonts w:ascii="Times" w:hAnsi="Times"/>
          <w:b/>
        </w:rPr>
        <w:t>Participants</w:t>
      </w:r>
    </w:p>
    <w:p w14:paraId="53D135AF" w14:textId="77777777" w:rsidR="00F7044C" w:rsidRPr="00C421E4" w:rsidRDefault="00F7044C" w:rsidP="00F7044C">
      <w:pPr>
        <w:spacing w:line="480" w:lineRule="auto"/>
        <w:rPr>
          <w:rFonts w:ascii="Times" w:hAnsi="Times"/>
        </w:rPr>
      </w:pPr>
      <w:r w:rsidRPr="00C421E4">
        <w:rPr>
          <w:rFonts w:ascii="Times" w:hAnsi="Times"/>
        </w:rPr>
        <w:t>Ninety young adults (18-30 years) from UMass, Amherst and surrounding communities were recruited for this study using the SONA system or with flyers. Participants were compensated in experimental credit or with monetary payment. Three participants in each group received monetary compensation. Experimental procedures were approved by the University of Massachusetts Amherst Institutional Review Board, and written informed consent was obtained. Procedures were in accordance with the Declaration of Helsinki.</w:t>
      </w:r>
    </w:p>
    <w:p w14:paraId="1C056FEA" w14:textId="77777777" w:rsidR="00F7044C" w:rsidRPr="00C421E4" w:rsidRDefault="00F7044C" w:rsidP="00F7044C">
      <w:pPr>
        <w:spacing w:line="480" w:lineRule="auto"/>
        <w:rPr>
          <w:rFonts w:ascii="Times" w:hAnsi="Times"/>
        </w:rPr>
      </w:pPr>
    </w:p>
    <w:p w14:paraId="17A328B8" w14:textId="77777777" w:rsidR="00F7044C" w:rsidRPr="00C421E4" w:rsidRDefault="00F7044C" w:rsidP="00F7044C">
      <w:pPr>
        <w:spacing w:line="480" w:lineRule="auto"/>
        <w:rPr>
          <w:rFonts w:ascii="Times" w:hAnsi="Times"/>
        </w:rPr>
      </w:pPr>
      <w:r w:rsidRPr="00C421E4">
        <w:rPr>
          <w:rFonts w:ascii="Times" w:hAnsi="Times"/>
        </w:rPr>
        <w:t xml:space="preserve">Participants were either in the mTBI (n = 45) or non-TBI group (n = 45). Participants in the mTBI group had a concussion &gt;1 year prior to testing. On the other hand, participants in the non-TBI group never had a concussion. Participants completed a questionnaire with several concussion options: (1) I have definitely had a concussion. It was diagnosed by a physician; (2) I have had a concussion but it was not diagnosed by a physician; (3) I do not know if I have had a concussion; and (4) I have definitely not had a concussion. Individuals endorsing option 2 or 3 were not be invited to participate. We recruited an equal number of males and females in each group because there are known differences in </w:t>
      </w:r>
      <w:r w:rsidRPr="00C421E4">
        <w:rPr>
          <w:rFonts w:ascii="Times" w:hAnsi="Times"/>
        </w:rPr>
        <w:lastRenderedPageBreak/>
        <w:t xml:space="preserve">processing of emotion stimuli between genders </w:t>
      </w:r>
      <w:r w:rsidRPr="00C421E4">
        <w:rPr>
          <w:rFonts w:ascii="Times" w:hAnsi="Times"/>
        </w:rPr>
        <w:fldChar w:fldCharType="begin" w:fldLock="1"/>
      </w:r>
      <w:r w:rsidRPr="00C421E4">
        <w:rPr>
          <w:rFonts w:ascii="Times" w:hAnsi="Times"/>
        </w:rPr>
        <w:instrText xml:space="preserve"> ADDIN ZOTERO_ITEM CSL_CITATION {"citationID":"3fk9hB5o","properties":{"formattedCitation":"(Fischer, Rodriguez Mosquera, van Vianen, &amp; Manstead, 2004)","plainCitation":"(Fischer, Rodriguez Mosquera, van Vianen, &amp; Manstead, 2004)"},"citationItems":[{"id":"ITEM-1","uris":["http://www.mendeley.com/documents/?uuid=46e8bfbf-dc98-4e06-8877-748e511f3420"],"uri":["http://www.mendeley.com/documents/?uuid=46e8bfbf-dc98-4e06-8877-748e511f3420"],"itemData":{"DOI":"10.1037/1528-3542.4.1.87","ISBN":"1528-3542","ISSN":"1528-3542","PMID":"15053728","abstract":"In this article, the authors report a secondary analysis on a cross-cultural dataset on gender differences in 6 emotions, collected in 37 countries all over the world. The aim was to test the universality of the gender-specific pattern found in studies with Western respondents, namely that men report more powerful emotions (e.g., anger), whereas women report more powerless emotions (e.g., sadness, fear). The authors expected the strength of these gender differences to depend on women's status and roles in their respective countries, as operationalized by the Gender Empowerment Measure (GEM; United Nations Development Programme Human Development Report 2002). Overall, the gender-specific pattern of women reporting to experience and express more powerless emotions and men more powerful emotions was replicated, and only some interactions with the GEM were found.","author":[{"dropping-particle":"","family":"Fischer","given":"Agneta H","non-dropping-particle":"","parse-names":false,"suffix":""},{"dropping-particle":"","family":"Rodriguez Mosquera","given":"Patricia M","non-dropping-particle":"","parse-names":false,"suffix":""},{"dropping-particle":"","family":"Vianen","given":"Annelies E M","non-dropping-particle":"van","parse-names":false,"suffix":""},{"dropping-particle":"","family":"Manstead","given":"Antony S R","non-dropping-particle":"","parse-names":false,"suffix":""}],"container-title":"Emotion","id":"ITEM-1","issue":"1","issued":{"date-parts":[["2004"]]},"page":"87-94","title":"Gender and culture differences in emotion.","type":"article-journal","volume":"4"}}],"schema":"https://github.com/citation-style-language/schema/raw/master/csl-citation.json"} </w:instrText>
      </w:r>
      <w:r w:rsidRPr="00C421E4">
        <w:rPr>
          <w:rFonts w:ascii="Times" w:hAnsi="Times"/>
        </w:rPr>
        <w:fldChar w:fldCharType="separate"/>
      </w:r>
      <w:r w:rsidRPr="00C421E4">
        <w:rPr>
          <w:rFonts w:ascii="Times" w:hAnsi="Times"/>
          <w:noProof/>
        </w:rPr>
        <w:t>(Fischer, Rodriguez Mosquera, van Vianen, &amp; Manstead, 2004)</w:t>
      </w:r>
      <w:r w:rsidRPr="00C421E4">
        <w:rPr>
          <w:rFonts w:ascii="Times" w:hAnsi="Times"/>
        </w:rPr>
        <w:fldChar w:fldCharType="end"/>
      </w:r>
      <w:r w:rsidRPr="00C421E4">
        <w:rPr>
          <w:rFonts w:ascii="Times" w:hAnsi="Times"/>
        </w:rPr>
        <w:t>.</w:t>
      </w:r>
    </w:p>
    <w:p w14:paraId="695DE3F9" w14:textId="77777777" w:rsidR="00F7044C" w:rsidRPr="00C421E4" w:rsidRDefault="00F7044C" w:rsidP="00F7044C">
      <w:pPr>
        <w:spacing w:line="480" w:lineRule="auto"/>
        <w:rPr>
          <w:rFonts w:ascii="Times" w:hAnsi="Times"/>
          <w:i/>
        </w:rPr>
      </w:pPr>
    </w:p>
    <w:p w14:paraId="51FFAC16" w14:textId="77777777" w:rsidR="00F7044C" w:rsidRPr="00986591" w:rsidRDefault="00F7044C" w:rsidP="00F7044C">
      <w:pPr>
        <w:spacing w:line="480" w:lineRule="auto"/>
        <w:jc w:val="center"/>
        <w:outlineLvl w:val="0"/>
        <w:rPr>
          <w:rFonts w:ascii="Times" w:hAnsi="Times"/>
          <w:b/>
        </w:rPr>
      </w:pPr>
      <w:r>
        <w:rPr>
          <w:rFonts w:ascii="Times" w:hAnsi="Times"/>
          <w:b/>
        </w:rPr>
        <w:t xml:space="preserve">2. </w:t>
      </w:r>
      <w:r w:rsidRPr="00986591">
        <w:rPr>
          <w:rFonts w:ascii="Times" w:hAnsi="Times"/>
          <w:b/>
        </w:rPr>
        <w:t>Procedure</w:t>
      </w:r>
    </w:p>
    <w:p w14:paraId="58799FA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r w:rsidRPr="00C421E4">
        <w:rPr>
          <w:rFonts w:ascii="Times" w:hAnsi="Times"/>
        </w:rPr>
        <w:t xml:space="preserve">There may be time-of-day effects on reactivity. To test this notion, we sampled participants across the day (9AM-9PM), with roughly 8 participants (~4 non-TBI, ~4 </w:t>
      </w:r>
      <w:r>
        <w:rPr>
          <w:rFonts w:ascii="Times" w:hAnsi="Times"/>
        </w:rPr>
        <w:t>mTBI) sampled each hour (Table 5</w:t>
      </w:r>
      <w:r w:rsidRPr="00C421E4">
        <w:rPr>
          <w:rFonts w:ascii="Times" w:hAnsi="Times"/>
        </w:rPr>
        <w:t>).</w:t>
      </w:r>
    </w:p>
    <w:p w14:paraId="4CEEDDCD" w14:textId="77777777" w:rsidR="00F7044C" w:rsidRPr="00C421E4" w:rsidRDefault="00F7044C" w:rsidP="00F7044C">
      <w:pPr>
        <w:spacing w:line="480" w:lineRule="auto"/>
        <w:rPr>
          <w:rFonts w:ascii="Times" w:hAnsi="Times"/>
          <w:i/>
        </w:rPr>
      </w:pPr>
    </w:p>
    <w:p w14:paraId="02BFDF49" w14:textId="77777777" w:rsidR="00F7044C" w:rsidRPr="00C421E4" w:rsidRDefault="00F7044C" w:rsidP="00F7044C">
      <w:pPr>
        <w:spacing w:line="480" w:lineRule="auto"/>
        <w:rPr>
          <w:rFonts w:ascii="Times" w:hAnsi="Times"/>
        </w:rPr>
      </w:pPr>
      <w:r w:rsidRPr="00C421E4">
        <w:rPr>
          <w:rFonts w:ascii="Times" w:hAnsi="Times"/>
        </w:rPr>
        <w:t>Participants first completed the consent form, questionnaires, and neuropsychological tests (discussed below). Immediately after, participants were equipped with physiology-measuring equipment (also discussed below). Participants then began the behavioral task.</w:t>
      </w:r>
    </w:p>
    <w:p w14:paraId="15E5B6E2" w14:textId="77777777" w:rsidR="00F7044C" w:rsidRPr="00C421E4" w:rsidRDefault="00F7044C" w:rsidP="00F7044C">
      <w:pPr>
        <w:spacing w:line="480" w:lineRule="auto"/>
        <w:rPr>
          <w:rFonts w:ascii="Times" w:hAnsi="Times"/>
        </w:rPr>
      </w:pPr>
    </w:p>
    <w:p w14:paraId="28A5BAE5" w14:textId="77777777" w:rsidR="00F7044C" w:rsidRPr="00C421E4" w:rsidRDefault="00F7044C" w:rsidP="00F7044C">
      <w:pPr>
        <w:spacing w:line="480" w:lineRule="auto"/>
        <w:rPr>
          <w:rFonts w:ascii="Times" w:hAnsi="Times"/>
        </w:rPr>
      </w:pPr>
      <w:r w:rsidRPr="00C421E4">
        <w:rPr>
          <w:rFonts w:ascii="Times" w:hAnsi="Times"/>
        </w:rPr>
        <w:t xml:space="preserve">Each participant completed two experimental conditions. One condition comprised negative and neutral images, and the other condition comprised positive and neutral images. Negative and positive conditions were randomly counterbalanced across participants. </w:t>
      </w:r>
    </w:p>
    <w:p w14:paraId="78FFB5E9" w14:textId="77777777" w:rsidR="00F7044C" w:rsidRPr="00C421E4" w:rsidRDefault="00F7044C" w:rsidP="00F7044C">
      <w:pPr>
        <w:spacing w:line="480" w:lineRule="auto"/>
        <w:rPr>
          <w:rFonts w:ascii="Times" w:hAnsi="Times"/>
        </w:rPr>
      </w:pPr>
    </w:p>
    <w:p w14:paraId="04F299DE" w14:textId="77777777" w:rsidR="00F7044C" w:rsidRPr="00C421E4" w:rsidRDefault="00F7044C" w:rsidP="00F7044C">
      <w:pPr>
        <w:spacing w:line="480" w:lineRule="auto"/>
        <w:rPr>
          <w:rFonts w:ascii="Times" w:hAnsi="Times"/>
        </w:rPr>
      </w:pPr>
      <w:r w:rsidRPr="00C421E4">
        <w:rPr>
          <w:rFonts w:ascii="Times" w:hAnsi="Times"/>
        </w:rPr>
        <w:t xml:space="preserve">Participants viewed 5 blocks of 22 images (15 negative or 15 positive, 7 neutral in each block) from the International Affective Picture System (IAPS), which have been normed for valence (positive – negative) and arousal (calm – exciting/activating; </w:t>
      </w:r>
      <w:r w:rsidRPr="00C421E4">
        <w:rPr>
          <w:rFonts w:ascii="Times" w:hAnsi="Times"/>
        </w:rPr>
        <w:fldChar w:fldCharType="begin" w:fldLock="1"/>
      </w:r>
      <w:r w:rsidRPr="00C421E4">
        <w:rPr>
          <w:rFonts w:ascii="Times" w:hAnsi="Times"/>
        </w:rPr>
        <w:instrText xml:space="preserve"> ADDIN ZOTERO_ITEM CSL_CITATION {"citationID":"kHIcjPea","properties":{"formattedCitation":"(P J Lang et al., 1997)","plainCitation":"(P J Lang et al., 1997)"},"citationItems":[{"id":"ITEM-1","uris":["http://www.mendeley.com/documents/?uuid=14ae1ce6-6003-4b96-936c-7e164728b5f0"],"uri":["http://www.mendeley.com/documents/?uuid=14ae1ce6-6003-4b96-936c-7e164728b5f0"],"itemData":{"DOI":"10.1016/j.epsr.2006.03.016","ISBN":"Technical Report A-5","ISSN":"07317085","PMID":"8625375","abstract":"A simple and rapid liquid chromatographic assay for the evaluation of potentially counterfeit oseltamivir (Tamiflu has been developed and assessed. The assay uses approximately 1mg Tamiflu powder when used for authentication and content estimate. The procedure was validated using 50 replicates analysed during five independent series with a total R.S.D. of 11.2%. The assay can also be used to monitor the exact content of oseltamivir in Tamiflu capsules. One Tamiflu capsule was transferred to a 250mL volumetric flask and 150mL water was added. The flask was placed in an ultrasonic bath at 40 degrees C for 20min to dissolve the capsule. The solution was allowed to cool to room temperature before the flask was filled up to the mark (250mL). A small aliquot was centrifuged and then directly injected into the LC-system for quantification. Oseltamivir was analysed by liquid chromatography with UV detection on a Hypersil Gold column (150mmx4.6mm) using a mobile phase containing methanol-phosphate buffer (pH 2.5; 0.1M) (50:50, v/v) at a flow rate of 1.0mL/min. The assay was implemented for the analysis of Tamiflu purchased over the Internet and at local pharmacies in Thailand and Vietnam.","author":[{"dropping-particle":"","family":"Lang","given":"P J","non-dropping-particle":"","parse-names":false,"suffix":""},{"dropping-particle":"","family":"Bradley","given":"Margaret M","non-dropping-particle":"","parse-names":false,"suffix":""},{"dropping-particle":"","family":"Cuthbert","given":"B N","non-dropping-particle":"","parse-names":false,"suffix":""}],"container-title":"Psychology","id":"ITEM-1","issue":"4","issued":{"date-parts":[["1997"]]},"number-of-pages":"1-5","title":"International Affective Picture System (IAPS): Technical Manual and Affective Ratings","type":"book","volume":"77"}}],"schema":"https://github.com/citation-style-language/schema/raw/master/csl-citation.json"} </w:instrText>
      </w:r>
      <w:r w:rsidRPr="00C421E4">
        <w:rPr>
          <w:rFonts w:ascii="Times" w:hAnsi="Times"/>
        </w:rPr>
        <w:fldChar w:fldCharType="separate"/>
      </w:r>
      <w:r w:rsidRPr="00C421E4">
        <w:rPr>
          <w:rFonts w:ascii="Times" w:hAnsi="Times"/>
          <w:noProof/>
        </w:rPr>
        <w:t>(Lang et al., 1997)</w:t>
      </w:r>
      <w:r w:rsidRPr="00C421E4">
        <w:rPr>
          <w:rFonts w:ascii="Times" w:hAnsi="Times"/>
        </w:rPr>
        <w:fldChar w:fldCharType="end"/>
      </w:r>
      <w:r w:rsidRPr="00C421E4">
        <w:rPr>
          <w:rFonts w:ascii="Times" w:hAnsi="Times"/>
        </w:rPr>
        <w:t xml:space="preserve">. The negative images had an average valence of 2.6 and an average arousal of 5.9 (image numbers: 1090, 3530, 6213, 6560, 6830, 8480, 9040, 9102, 9140, 9250, 9403, 9520, 9584, 9911, 9921). The positive images had an average valence of 7.3 and an </w:t>
      </w:r>
      <w:r w:rsidRPr="00C421E4">
        <w:rPr>
          <w:rFonts w:ascii="Times" w:hAnsi="Times"/>
        </w:rPr>
        <w:lastRenderedPageBreak/>
        <w:t xml:space="preserve">average arousal of 6.2 (image numbers: 1722, 4659, 4687, 5621, 5629, 8090, 8161, 8185, 8190, 8300, 8370, 8400, 8420, 8501, 8531). The set of neutral images paired with negative images had an average valence of 5.1 and arousal of 2.7 (image numbers: 2190, 5390, 5520, 7090, 7150, 7175, 7550), and the neutral images paired with positive images had an average valence of 5.0 and arousal of 2.9 (image numbers: 7100, 7205, 7211, 7224, 7235, 7705, 7950). Negative and positive images were matched for arousal based on normative data </w:t>
      </w:r>
      <w:r w:rsidRPr="00C421E4">
        <w:rPr>
          <w:rFonts w:ascii="Times" w:hAnsi="Times"/>
        </w:rPr>
        <w:fldChar w:fldCharType="begin" w:fldLock="1"/>
      </w:r>
      <w:r w:rsidRPr="00C421E4">
        <w:rPr>
          <w:rFonts w:ascii="Times" w:hAnsi="Times"/>
        </w:rPr>
        <w:instrText xml:space="preserve"> ADDIN ZOTERO_ITEM CSL_CITATION {"citationID":"moDp730P","properties":{"formattedCitation":"(P J Lang, Bradley, &amp; Cuthbert, 1997)","plainCitation":"(P J Lang, Bradley, &amp; Cuthbert, 1997)","dontUpdate":true},"citationItems":[{"id":"ITEM-1","uris":["http://www.mendeley.com/documents/?uuid=14ae1ce6-6003-4b96-936c-7e164728b5f0"],"uri":["http://www.mendeley.com/documents/?uuid=14ae1ce6-6003-4b96-936c-7e164728b5f0"],"itemData":{"DOI":"10.1016/j.epsr.2006.03.016","ISBN":"Technical Report A-5","ISSN":"07317085","PMID":"8625375","abstract":"A simple and rapid liquid chromatographic assay for the evaluation of potentially counterfeit oseltamivir (Tamiflu has been developed and assessed. The assay uses approximately 1mg Tamiflu powder when used for authentication and content estimate. The procedure was validated using 50 replicates analysed during five independent series with a total R.S.D. of 11.2%. The assay can also be used to monitor the exact content of oseltamivir in Tamiflu capsules. One Tamiflu capsule was transferred to a 250mL volumetric flask and 150mL water was added. The flask was placed in an ultrasonic bath at 40 degrees C for 20min to dissolve the capsule. The solution was allowed to cool to room temperature before the flask was filled up to the mark (250mL). A small aliquot was centrifuged and then directly injected into the LC-system for quantification. Oseltamivir was analysed by liquid chromatography with UV detection on a Hypersil Gold column (150mmx4.6mm) using a mobile phase containing methanol-phosphate buffer (pH 2.5; 0.1M) (50:50, v/v) at a flow rate of 1.0mL/min. The assay was implemented for the analysis of Tamiflu purchased over the Internet and at local pharmacies in Thailand and Vietnam.","author":[{"dropping-particle":"","family":"Lang","given":"P J","non-dropping-particle":"","parse-names":false,"suffix":""},{"dropping-particle":"","family":"Bradley","given":"Margaret M","non-dropping-particle":"","parse-names":false,"suffix":""},{"dropping-particle":"","family":"Cuthbert","given":"B N","non-dropping-particle":"","parse-names":false,"suffix":""}],"container-title":"Psychology","id":"ITEM-1","issue":"4","issued":{"date-parts":[["1997"]]},"number-of-pages":"1-5","title":"International Affective Picture System (IAPS): Technical Manual and Affective Ratings","type":"book","volume":"77"}}],"schema":"https://github.com/citation-style-language/schema/raw/master/csl-citation.json"} </w:instrText>
      </w:r>
      <w:r w:rsidRPr="00C421E4">
        <w:rPr>
          <w:rFonts w:ascii="Times" w:hAnsi="Times"/>
        </w:rPr>
        <w:fldChar w:fldCharType="separate"/>
      </w:r>
      <w:r w:rsidRPr="00C421E4">
        <w:rPr>
          <w:rFonts w:ascii="Times" w:hAnsi="Times"/>
          <w:noProof/>
        </w:rPr>
        <w:t>(Lang, Bradley, &amp; Cuthbert, 1997)</w:t>
      </w:r>
      <w:r w:rsidRPr="00C421E4">
        <w:rPr>
          <w:rFonts w:ascii="Times" w:hAnsi="Times"/>
        </w:rPr>
        <w:fldChar w:fldCharType="end"/>
      </w:r>
      <w:r w:rsidRPr="00C421E4">
        <w:rPr>
          <w:rFonts w:ascii="Times" w:hAnsi="Times"/>
        </w:rPr>
        <w:t xml:space="preserve">. We chose negative images that were slightly more neutral than those included in </w:t>
      </w:r>
      <w:r w:rsidRPr="00C421E4">
        <w:rPr>
          <w:rFonts w:ascii="Times" w:hAnsi="Times"/>
          <w:b/>
        </w:rPr>
        <w:t>Study 2</w:t>
      </w:r>
      <w:r w:rsidRPr="00C421E4">
        <w:rPr>
          <w:rFonts w:ascii="Times" w:hAnsi="Times"/>
        </w:rPr>
        <w:t xml:space="preserve"> so that positive and negative images could be matched for valence (i.e., equidistant from neutral) given that few positive images have a strongly positive valence. </w:t>
      </w:r>
    </w:p>
    <w:p w14:paraId="6A05949D" w14:textId="77777777" w:rsidR="00F7044C" w:rsidRPr="00C421E4" w:rsidRDefault="00F7044C" w:rsidP="00F7044C">
      <w:pPr>
        <w:spacing w:line="480" w:lineRule="auto"/>
        <w:rPr>
          <w:rFonts w:ascii="Times" w:hAnsi="Times"/>
        </w:rPr>
      </w:pPr>
    </w:p>
    <w:p w14:paraId="7323495D" w14:textId="77777777" w:rsidR="00F7044C" w:rsidRPr="00C421E4" w:rsidRDefault="00F7044C" w:rsidP="00F7044C">
      <w:pPr>
        <w:spacing w:line="480" w:lineRule="auto"/>
        <w:rPr>
          <w:rFonts w:ascii="Times" w:hAnsi="Times"/>
        </w:rPr>
      </w:pPr>
      <w:r w:rsidRPr="00C421E4">
        <w:rPr>
          <w:rFonts w:ascii="Times" w:hAnsi="Times"/>
        </w:rPr>
        <w:t xml:space="preserve">Image timing was based on physiological response time. Each image appeared for 4 seconds, and participants were instructed to not look away from the screen while the image was displayed. After each image is shown, participants rated the image for valence and arousal on a 1-9 Self-Assessment Manikin (SAM) rating scale </w:t>
      </w:r>
      <w:r w:rsidRPr="00C421E4">
        <w:rPr>
          <w:rFonts w:ascii="Times" w:hAnsi="Times"/>
        </w:rPr>
        <w:fldChar w:fldCharType="begin" w:fldLock="1"/>
      </w:r>
      <w:r w:rsidRPr="00C421E4">
        <w:rPr>
          <w:rFonts w:ascii="Times" w:hAnsi="Times"/>
        </w:rPr>
        <w:instrText xml:space="preserve"> ADDIN ZOTERO_ITEM CSL_CITATION {"citationID":"sUB1wyFd","properties":{"formattedCitation":"(M. M. Bradley &amp; Lang, 1994)","plainCitation":"(M. M. Bradley &amp; Lang, 1994)"},"citationItems":[{"id":"ITEM-1","uris":["http://www.mendeley.com/documents/?uuid=65cd4cff-e430-4d4c-b686-26b934f7742c"],"uri":["http://www.mendeley.com/documents/?uuid=65cd4cff-e430-4d4c-b686-26b934f7742c"],"itemData":{"DOI":"10.1016/0005-7916(94)90063-9","ISBN":"0005-7916 (Print)\\n0005-7916 (Linking)","ISSN":"00057916","PMID":"7962581","abstract":"The Self-Assessment Manikin (SAM) is a non-verbal pictorial assessment technique that directly measures the pleasure, arousal, and dominance associated with a person's affective reaction to a wide variety of stimuli. In this experiment, we compare reports of affective experience obtained using SAM, which requires only three simple judgments, to the Semantic Differential scale devised by Mehrabian and Russell (An approach to environmental psychology, 1974) which requires 18 different ratings. Subjective reports were measured to a series of pictures that varied in both affective valence and intensity. Correlations across the two rating methods were high both for reports of experienced pleasure and felt arousal. Differences obtained in the dominance dimension of the two instruments suggest that SAM may better track the personal response to an affective stimulus. SAM is an inexpensive, easy method for quickly assessing reports of affective response in many contexts.","author":[{"dropping-particle":"","family":"Bradley","given":"Margaret M.","non-dropping-particle":"","parse-names":false,"suffix":""},{"dropping-particle":"","family":"Lang","given":"Peter J.","non-dropping-particle":"","parse-names":false,"suffix":""}],"container-title":"Journal of Behavior Therapy and Experimental Psychiatry","id":"ITEM-1","issue":"1","issued":{"date-parts":[["1994"]]},"page":"49-59","title":"Measuring emotion: The self-assessment manikin and the semantic differential","type":"article-journal","volume":"25"}}],"schema":"https://github.com/citation-style-language/schema/raw/master/csl-citation.json"} </w:instrText>
      </w:r>
      <w:r w:rsidRPr="00C421E4">
        <w:rPr>
          <w:rFonts w:ascii="Times" w:hAnsi="Times"/>
        </w:rPr>
        <w:fldChar w:fldCharType="separate"/>
      </w:r>
      <w:r w:rsidRPr="00C421E4">
        <w:rPr>
          <w:rFonts w:ascii="Times" w:hAnsi="Times"/>
          <w:noProof/>
        </w:rPr>
        <w:t>(Bradley &amp; Lang, 1994)</w:t>
      </w:r>
      <w:r w:rsidRPr="00C421E4">
        <w:rPr>
          <w:rFonts w:ascii="Times" w:hAnsi="Times"/>
        </w:rPr>
        <w:fldChar w:fldCharType="end"/>
      </w:r>
      <w:r w:rsidRPr="00C421E4">
        <w:rPr>
          <w:rFonts w:ascii="Times" w:hAnsi="Times"/>
        </w:rPr>
        <w:t xml:space="preserve">. There were 3 seconds between each image </w:t>
      </w:r>
      <w:r w:rsidRPr="00C421E4">
        <w:rPr>
          <w:rFonts w:ascii="Times" w:hAnsi="Times"/>
        </w:rPr>
        <w:fldChar w:fldCharType="begin" w:fldLock="1"/>
      </w:r>
      <w:r w:rsidRPr="00C421E4">
        <w:rPr>
          <w:rFonts w:ascii="Times" w:hAnsi="Times"/>
        </w:rPr>
        <w:instrText xml:space="preserve"> ADDIN ZOTERO_ITEM CSL_CITATION {"citationID":"JInlUqLt","properties":{"formattedCitation":"(Pace-Schott et al., 2011)","plainCitation":"(Pace-Schott et al., 2011)"},"citationItems":[{"id":"ITEM-1","uris":["http://www.mendeley.com/documents/?uuid=5c65e9a3-bbfe-475c-bac5-16e01a0d656a"],"uri":["http://www.mendeley.com/documents/?uuid=5c65e9a3-bbfe-475c-bac5-16e01a0d656a"],"itemData":{"DOI":"10.1016/j.nlm.2010.10.006","ISBN":"1074-7427","ISSN":"10747427","PMID":"20969968","abstract":"The effects of a daytime nap on inter-session habituation to aversive visual stimuli were investigated. Healthy young adult volunteers viewed repeated presentations of highly negative and emotionally neutral (but equally arousing) International Affective Picture System (IAPS) photographs during two afternoon sessions separated by 2.5. h. Half of the photographs were shown at both sessions (Repeated Sets) and half differed between sessions (Novel Sets). For each stimulus presentation, evoked skin conductance response (SCR), heart-rate deceleration (HRD) and corrugator supercilii EMG response (EMG), were computed and range corrected using respective maximum session-1 responses. Following each presentation, subjects rated each photograph on dimensions of pleasantness and arousability. During the inter-session interval, Nap subjects had a 120-min polysomnographically monitored sleep opportunity, whereas Wake subjects watched a non-stimulating video. Nap and Wake subjects did not differ in their subjective ratings of photographs. However, for Repeated-Set photographs, Nap subjects demonstrated greater inter-session habituation in SCR and EMG but a trend toward lesser inter-session habituation in HRD. These group differences were absent for Novel-Set photographs. Group differences across all measures were greater for negative stimuli. Occurrence of SWS during the nap was associated with greater inter-session habituation of EMG whereas occurrence of REM was associated with lesser inter-session habituation of SCR to negative stimuli. Sleep may therefore promote emotional adjustment at the level of somatic responses. Physiological but not subjective inter-session habituation to aversive images was enhanced by a daytime nap. ?? 2010 Elsevier Inc.","author":[{"dropping-particle":"","family":"Pace-Schott","given":"Edward F.","non-dropping-particle":"","parse-names":false,"suffix":""},{"dropping-particle":"","family":"Shepherd","given":"Elizabeth","non-dropping-particle":"","parse-names":false,"suffix":""},{"dropping-particle":"","family":"Spencer","given":"Rebecca M C","non-dropping-particle":"","parse-names":false,"suffix":""},{"dropping-particle":"","family":"Marcello","given":"Matthew","non-dropping-particle":"","parse-names":false,"suffix":""},{"dropping-particle":"","family":"Tucker","given":"Matthew","non-dropping-particle":"","parse-names":false,"suffix":""},{"dropping-particle":"","family":"Propper","given":"Ruth E.","non-dropping-particle":"","parse-names":false,"suffix":""},{"dropping-particle":"","family":"Stickgold","given":"Robert","non-dropping-particle":"","parse-names":false,"suffix":""}],"container-title":"Neurobiology of Learning and Memory","id":"ITEM-1","issue":"1","issued":{"date-parts":[["2011","1"]]},"language":"eng","page":"24-36","publisher-place":"United States","title":"Napping promotes inter-session habituation to emotional stimuli.","type":"article-journal","volume":"95"}}],"schema":"https://github.com/citation-style-language/schema/raw/master/csl-citation.json"} </w:instrText>
      </w:r>
      <w:r w:rsidRPr="00C421E4">
        <w:rPr>
          <w:rFonts w:ascii="Times" w:hAnsi="Times"/>
        </w:rPr>
        <w:fldChar w:fldCharType="separate"/>
      </w:r>
      <w:r w:rsidRPr="00C421E4">
        <w:rPr>
          <w:rFonts w:ascii="Times" w:hAnsi="Times"/>
          <w:noProof/>
        </w:rPr>
        <w:t>(Pace-Schott et al., 2011)</w:t>
      </w:r>
      <w:r w:rsidRPr="00C421E4">
        <w:rPr>
          <w:rFonts w:ascii="Times" w:hAnsi="Times"/>
        </w:rPr>
        <w:fldChar w:fldCharType="end"/>
      </w:r>
      <w:r w:rsidRPr="00C421E4">
        <w:rPr>
          <w:rFonts w:ascii="Times" w:hAnsi="Times"/>
        </w:rPr>
        <w:t xml:space="preserve"> before the next image appeared. When each rating was complete, the next block began. Importantly, the same images were used in each block but images were randomly ordered between blocks to minimize order effects. Between blocks, participants reported their mood using an on-screen rating scale (described below); participants also rated their mood before the first exposure and after each subsequent exposure (i.e., set of images). </w:t>
      </w:r>
    </w:p>
    <w:p w14:paraId="2BC25811" w14:textId="77777777" w:rsidR="00F7044C" w:rsidRPr="00C421E4" w:rsidRDefault="00F7044C" w:rsidP="00F7044C">
      <w:pPr>
        <w:spacing w:line="480" w:lineRule="auto"/>
        <w:rPr>
          <w:rFonts w:ascii="Times" w:hAnsi="Times"/>
        </w:rPr>
      </w:pPr>
    </w:p>
    <w:p w14:paraId="59B95193" w14:textId="77777777" w:rsidR="00F7044C" w:rsidRPr="00C421E4" w:rsidRDefault="00F7044C" w:rsidP="00F7044C">
      <w:pPr>
        <w:spacing w:line="480" w:lineRule="auto"/>
        <w:rPr>
          <w:rFonts w:ascii="Times" w:hAnsi="Times"/>
        </w:rPr>
      </w:pPr>
      <w:r w:rsidRPr="00C421E4">
        <w:rPr>
          <w:rFonts w:ascii="Times" w:hAnsi="Times"/>
        </w:rPr>
        <w:lastRenderedPageBreak/>
        <w:t xml:space="preserve">After a 5-minute break, participants repeated this paradigm viewing 5 blocks of 22 images (15 positive or 15 negative, 7 neutral in each block). </w:t>
      </w:r>
    </w:p>
    <w:p w14:paraId="357B6698" w14:textId="77777777" w:rsidR="00F7044C" w:rsidRPr="00C421E4" w:rsidRDefault="00F7044C" w:rsidP="00F704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w:hAnsi="Times"/>
        </w:rPr>
      </w:pPr>
    </w:p>
    <w:p w14:paraId="5A1BA82A" w14:textId="77777777" w:rsidR="00F7044C" w:rsidRPr="00C421E4" w:rsidRDefault="00F7044C" w:rsidP="00F7044C">
      <w:pPr>
        <w:spacing w:line="480" w:lineRule="auto"/>
        <w:rPr>
          <w:rFonts w:ascii="Times" w:hAnsi="Times"/>
        </w:rPr>
      </w:pPr>
      <w:r w:rsidRPr="00C421E4">
        <w:rPr>
          <w:rFonts w:ascii="Times" w:hAnsi="Times"/>
        </w:rPr>
        <w:t xml:space="preserve">During the entire duration of the experiment (with the exception of questionnaire administration and neuropsychological testing), participants were monitored by a video camera. Participants were asked to not look away from the screen when the stimuli were being presented. A researcher, who was always in the room, confirmed this to be the case, and this was further verified (and facial EMG recordings were confirmed by reviewing the video recordings with a webcam and ADOBE software). If participants failed to keep their eyes on the screen during stimulus presentation, those trials (or participants) would be removed. Each video was reviewed by a research assistant to ensure participants did not look away from the screen prior to making their ratings. Notably, no participants were removed for this reason. </w:t>
      </w:r>
    </w:p>
    <w:p w14:paraId="720F3004" w14:textId="77777777" w:rsidR="00F7044C" w:rsidRPr="00C421E4" w:rsidRDefault="00F7044C" w:rsidP="00F7044C">
      <w:pPr>
        <w:spacing w:line="480" w:lineRule="auto"/>
        <w:rPr>
          <w:rFonts w:ascii="Times" w:hAnsi="Times"/>
          <w:i/>
        </w:rPr>
      </w:pPr>
    </w:p>
    <w:p w14:paraId="4BB204B6" w14:textId="77777777" w:rsidR="00F7044C" w:rsidRPr="00986591" w:rsidRDefault="00F7044C" w:rsidP="00F7044C">
      <w:pPr>
        <w:spacing w:line="480" w:lineRule="auto"/>
        <w:jc w:val="center"/>
        <w:outlineLvl w:val="0"/>
        <w:rPr>
          <w:rFonts w:ascii="Times" w:hAnsi="Times"/>
          <w:b/>
        </w:rPr>
      </w:pPr>
      <w:r>
        <w:rPr>
          <w:rFonts w:ascii="Times" w:hAnsi="Times"/>
          <w:b/>
        </w:rPr>
        <w:t xml:space="preserve">3. </w:t>
      </w:r>
      <w:r w:rsidRPr="00986591">
        <w:rPr>
          <w:rFonts w:ascii="Times" w:hAnsi="Times"/>
          <w:b/>
        </w:rPr>
        <w:t>Questionnaires</w:t>
      </w:r>
    </w:p>
    <w:p w14:paraId="076B8C51" w14:textId="77777777" w:rsidR="00F7044C" w:rsidRPr="00C421E4" w:rsidRDefault="00F7044C" w:rsidP="00F7044C">
      <w:pPr>
        <w:spacing w:line="480" w:lineRule="auto"/>
        <w:rPr>
          <w:rFonts w:ascii="Times" w:hAnsi="Times"/>
          <w:noProof/>
        </w:rPr>
      </w:pPr>
      <w:r w:rsidRPr="00C421E4">
        <w:rPr>
          <w:rFonts w:ascii="Times" w:hAnsi="Times"/>
        </w:rPr>
        <w:t xml:space="preserve">Prior to completing the experiment, participants were asked to fill out the following questionnaires/forms: (1) Pittsburgh Sleep Quality Index </w:t>
      </w:r>
      <w:r w:rsidRPr="00C421E4">
        <w:rPr>
          <w:rFonts w:ascii="Times" w:hAnsi="Times"/>
        </w:rPr>
        <w:sym w:font="Symbol" w:char="F028"/>
      </w:r>
      <w:r w:rsidRPr="00C421E4">
        <w:rPr>
          <w:rFonts w:ascii="Times" w:hAnsi="Times"/>
        </w:rPr>
        <w:t>PSQI</w:t>
      </w:r>
      <w:r w:rsidRPr="00C421E4">
        <w:rPr>
          <w:rFonts w:ascii="Times" w:hAnsi="Times"/>
        </w:rPr>
        <w:sym w:font="Symbol" w:char="F029"/>
      </w:r>
      <w:r w:rsidRPr="00C421E4">
        <w:rPr>
          <w:rFonts w:ascii="Times" w:hAnsi="Times"/>
        </w:rPr>
        <w:sym w:font="Symbol" w:char="F020"/>
      </w:r>
      <w:r w:rsidRPr="00C421E4">
        <w:rPr>
          <w:rFonts w:ascii="Times" w:hAnsi="Times"/>
        </w:rPr>
        <w:t xml:space="preserve">to assess and control for differences in habitual sleep patterns (sensitivity of 90% and specificity of 87% in differentiating good from poor sleepers </w:t>
      </w:r>
      <w:r w:rsidRPr="00C421E4">
        <w:rPr>
          <w:rFonts w:ascii="Times" w:hAnsi="Times"/>
        </w:rPr>
        <w:fldChar w:fldCharType="begin" w:fldLock="1"/>
      </w:r>
      <w:r w:rsidRPr="00C421E4">
        <w:rPr>
          <w:rFonts w:ascii="Times" w:hAnsi="Times"/>
        </w:rPr>
        <w:instrText xml:space="preserve"> ADDIN ZOTERO_ITEM CSL_CITATION {"citationID":"BtciuLvF","properties":{"formattedCitation":"(Buysse et al., 1989)","plainCitation":"(Buysse et al., 1989)"},"citationItems":[{"id":"ITEM-1","uris":["http://www.mendeley.com/documents/?uuid=fbf8dd4f-3fe9-4ae2-8fb1-e779d73c283b"],"uri":["http://www.mendeley.com/documents/?uuid=fbf8dd4f-3fe9-4ae2-8fb1-e779d73c283b"],"itemData":{"DOI":"10.1016/0165-1781(89)90047-4","ISBN":"0165-1781 (Print)\\n0165-1781 (Linking)","ISSN":"0165-1781","PMID":"2748771","abstract":"Despite the prevalence of sleep complaints among psychiatric patients, few questionnaires have been specifically designed to measure sleep quality in clinical populations. The Pittsburgh Sleep Quality Index (PSQI) is a self-rated questionnaire which assesses sleep quality and disturbances over a 1-month time interval. Nineteen individual items generate seven \"component\" scores: subjective sleep quality, sleep latency, sleep duration, habitual sleep efficiency, sleep disturbances, use of sleeping medication, and daytime dysfunction. The sum of scores for these seven components yields one global score. Clinical and clinimetric properties of the PSQI were assessed over an 18-month period with \"good\" sleepers (healthy subjects, n = 52) and \"poor\" sleepers (depressed patients, n = 54; sleep-disorder patients, n = 62). Acceptable measures of internal homogeneity, consistency (test-retest reliability), and validity were obtained. A global PSQI score greater than 5 yielded a diagnostic sensitivity of 89.6% and specificity of 86.5% (kappa = 0.75, p less than 0.001) in distinguishing good and poor sleepers. The clinimetric and clinical properties of the PSQI suggest its utility both in psychiatric clinical practice and research activities.","author":[{"dropping-particle":"","family":"Buysse","given":"D J","non-dropping-particle":"","parse-names":false,"suffix":""},{"dropping-particle":"","family":"Reynolds","given":"C F","non-dropping-particle":"","parse-names":false,"suffix":""},{"dropping-particle":"","family":"Monk","given":"T H","non-dropping-particle":"","parse-names":false,"suffix":""},{"dropping-particle":"","family":"Berman","given":"S R","non-dropping-particle":"","parse-names":false,"suffix":""},{"dropping-particle":"","family":"Kupfer","given":"D J","non-dropping-particle":"","parse-names":false,"suffix":""}],"container-title":"Psychiatry research","id":"ITEM-1","issue":"2","issued":{"date-parts":[["1989"]]},"page":"193-213","title":"The Pittsburgh Sleep Quality Index: a new instrument for psychiatric practice and research.","type":"article-journal","volume":"28"}}],"schema":"https://github.com/citation-style-language/schema/raw/master/csl-citation.json"}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(Buysse et al., 1989)</w:t>
      </w:r>
      <w:r w:rsidRPr="00C421E4">
        <w:rPr>
          <w:rFonts w:ascii="Times" w:hAnsi="Times"/>
        </w:rPr>
        <w:fldChar w:fldCharType="end"/>
      </w:r>
      <w:r w:rsidRPr="00C421E4">
        <w:rPr>
          <w:rFonts w:ascii="Times" w:hAnsi="Times"/>
        </w:rPr>
        <w:t xml:space="preserve">; (2) the Beck Depression Inventory-II (BDI-II) to assess depressive symptoms (internal consistency </w:t>
      </w:r>
      <w:proofErr w:type="gramStart"/>
      <w:r w:rsidRPr="00C421E4">
        <w:rPr>
          <w:rFonts w:ascii="Times" w:hAnsi="Times"/>
        </w:rPr>
        <w:t>of .</w:t>
      </w:r>
      <w:proofErr w:type="gramEnd"/>
      <w:r w:rsidRPr="00C421E4">
        <w:rPr>
          <w:rFonts w:ascii="Times" w:hAnsi="Times"/>
        </w:rPr>
        <w:t xml:space="preserve">9; reliability alpha </w:t>
      </w:r>
      <w:proofErr w:type="gramStart"/>
      <w:r w:rsidRPr="00C421E4">
        <w:rPr>
          <w:rFonts w:ascii="Times" w:hAnsi="Times"/>
        </w:rPr>
        <w:t>of .</w:t>
      </w:r>
      <w:proofErr w:type="gramEnd"/>
      <w:r w:rsidRPr="00C421E4">
        <w:rPr>
          <w:rFonts w:ascii="Times" w:hAnsi="Times"/>
        </w:rPr>
        <w:t xml:space="preserve">93; </w:t>
      </w:r>
      <w:r w:rsidRPr="00C421E4">
        <w:rPr>
          <w:rFonts w:ascii="Times" w:hAnsi="Times"/>
        </w:rPr>
        <w:fldChar w:fldCharType="begin" w:fldLock="1"/>
      </w:r>
      <w:r w:rsidRPr="00C421E4">
        <w:rPr>
          <w:rFonts w:ascii="Times" w:hAnsi="Times"/>
        </w:rPr>
        <w:instrText xml:space="preserve"> ADDIN ZOTERO_ITEM CSL_CITATION {"citationID":"2kgk1V1C","properties":{"formattedCitation":"(Beck, Ward, Mendelson, Mock, &amp; Erbaugh, 1961; Wang &amp; Gorenstein, 2013)","plainCitation":"(Beck, Ward, Mendelson, Mock, &amp; Erbaugh, 1961; Wang &amp; Gorenstein, 2013)"},"citationItems":[{"id":"ITEM-1","uris":["http://www.mendeley.com/documents/?uuid=9debc0bc-d54e-48fc-a345-3c226e19406a"],"uri":["http://www.mendeley.com/documents/?uuid=9debc0bc-d54e-48fc-a345-3c226e19406a"],"itemData":{"DOI":"10.1590/1516-4446-2012-1048","ISBN":"1516444620","ISSN":"15164446","PMID":"24402217","abstract":"OBJECTIVE: To review the psychometric properties of the Beck Depression Inventory-II (BDI-II) as a self-report measure of depression in a variety of settings and populations.\\n\\nMETHODS: Relevant studies of the BDI-II were retrieved through a search of electronic databases, a hand search, and contact with authors. Retained studies (k = 118) were allocated into three groups: non-clinical, psychiatric/institutionalized, and medical samples.\\n\\nRESULTS: The internal consistency was described as around 0.9 and the retest reliability ranged from 0.73 to 0.96. The correlation between BDI-II and the Beck Depression Inventory (BDI-I) was high and substantial overlap with measures of depression and anxiety was reported. The criterion-based validity showed good sensitivity and specificity for detecting depression in comparison to the adopted gold standard. However, the cutoff score to screen for depression varied according to the type of sample. Factor analysis showed a robust dimension of general depression composed by two constructs: cognitive-affective and somatic-vegetative.\\n\\nCONCLUSIONS: The BDI-II is a relevant psychometric instrument, showing high reliability, capacity to discriminate between depressed and non-depressed subjects, and improved concurrent, content, and structural validity. Based on available psychometric evidence, the BDI-II can be viewed as a cost-effective questionnaire for measuring the severity of depression, with broad applicability for research and clinical practice worldwide.","author":[{"dropping-particle":"","family":"Wang","given":"Yuan Pang","non-dropping-particle":"","parse-names":false,"suffix":""},{"dropping-particle":"","family":"Gorenstein","given":"Clarice","non-dropping-particle":"","parse-names":false,"suffix":""}],"container-title":"Revista Brasileira de Psiquiatria","id":"ITEM-1","issue":"4","issued":{"date-parts":[["2013"]]},"page":"416-431","title":"Psychometric properties of the Beck Depression Inventory-II: A comprehensive review","type":"article","volume":"35"}},{"id":"ITEM-2","uris":["http://www.mendeley.com/documents/?uuid=3418d180-bea4-4ddf-82e3-92577e642db3"],"uri":["http://www.mendeley.com/documents/?uuid=3418d180-bea4-4ddf-82e3-92577e642db3"],"itemData":{"DOI":"10.1001/archpsyc.1961.01710120031004","ISBN":"0003-990X, Print","ISSN":"0003-990X","PMID":"13688369","abstract":"The difficulties inherent in obtaining consistent and adequate diagnoses for the purposes of research and therapy have been pointed out by a a number of authors. Pasamanick in a recent article viewed the low interclinician agreement on diagnosis as an indictment of the present state of psychiatry and called for \"the development of objective, measurable and verifiable criteria of classification based not on personal or parochial considerations, but on behavioral and other objectively measurable manifestations.\" Attempts by other investigators to subject clinical observations and judgments to objective measurement have resulted in a wide variety of psychiatric rating scales. These have been well summarized in a recent article by Lorr on \"rating Scales and Check Lists for the Evaluation of Psychopathlogy.\" In the area of psychological testing, a variety of paper-and-pencil tests have been devised for the purpose of measuring specific personality traits; for example, the Depression-Elation Test, devised by Jasper in 1930. This report describes the development of an instrument designed to measure the behavioral manifestations of depression. In the planning of the research design of a project aimed at testing certain psychoanalytic formulations of depression, the necessity for establishing an appropriate system for identifying depression was recognized. Because of the reports on the low degree of interclinician agreement on diagnosis, we could not depend on the clinical diagnosis, but had to formulate a method of defining depression that would be reliable and valid. The available instruments were no considered adequate for our purposes. The Minnesota Multiphasic Personality Inventory, for example, was not specifically designed for the measurement of depression; its scales are based on the old psychiatric nomenclature; and factor analytic studies reveal that the Depression Scale contains a number of heterogeneous factors only one of which is consistent with the clinical concept of depression. Jasper's Depression-Elation test was derived from a study of normal college students, and his report does not refer to any studies with a psychiatric population.","author":[{"dropping-particle":"","family":"Beck","given":"A. T.","non-dropping-particle":"","parse-names":false,"suffix":""},{"dropping-particle":"","family":"Ward","given":"C. H.","non-dropping-particle":"","parse-names":false,"suffix":""},{"dropping-particle":"","family":"Mendelson","given":"M.","non-dropping-particle":"","parse-names":false,"suffix":""},{"dropping-particle":"","family":"Mock","given":"J.","non-dropping-particle":"","parse-names":false,"suffix":""},{"dropping-particle":"","family":"Erbaugh","given":"J.","non-dropping-particle":"","parse-names":false,"suffix":""}],"container-title":"Archives of General Psychiatry","id":"ITEM-2","issue":"6","issued":{"date-parts":[["1961"]]},"page":"561-571","title":"An inventory for measuring depression","type":"article-journal","volume":"4"}}],"schema":"https://github.com/citation-style-language/schema/raw/master/csl-citation.json"} </w:instrText>
      </w:r>
      <w:r w:rsidRPr="00C421E4">
        <w:rPr>
          <w:rFonts w:ascii="Times" w:hAnsi="Times"/>
        </w:rPr>
        <w:fldChar w:fldCharType="separate"/>
      </w:r>
      <w:r w:rsidRPr="00C421E4">
        <w:rPr>
          <w:rFonts w:ascii="Times" w:hAnsi="Times"/>
          <w:noProof/>
        </w:rPr>
        <w:t>(Beck, Ward, Mendelson, Mock, &amp; Erbaugh, 1961; Wang &amp; Gorenstein, 2013)</w:t>
      </w:r>
      <w:r w:rsidRPr="00C421E4">
        <w:rPr>
          <w:rFonts w:ascii="Times" w:hAnsi="Times"/>
        </w:rPr>
        <w:fldChar w:fldCharType="end"/>
      </w:r>
      <w:r w:rsidRPr="00C421E4">
        <w:rPr>
          <w:rFonts w:ascii="Times" w:hAnsi="Times"/>
        </w:rPr>
        <w:t xml:space="preserve">; (3) State Trait Anxiety Inventory (STAI) to assess anxiety symptoms (internal consistency of between .86 </w:t>
      </w:r>
      <w:proofErr w:type="gramStart"/>
      <w:r w:rsidRPr="00C421E4">
        <w:rPr>
          <w:rFonts w:ascii="Times" w:hAnsi="Times"/>
        </w:rPr>
        <w:t>and .</w:t>
      </w:r>
      <w:proofErr w:type="gramEnd"/>
      <w:r w:rsidRPr="00C421E4">
        <w:rPr>
          <w:rFonts w:ascii="Times" w:hAnsi="Times"/>
        </w:rPr>
        <w:t xml:space="preserve">95; </w:t>
      </w:r>
      <w:r w:rsidRPr="00C421E4">
        <w:rPr>
          <w:rFonts w:ascii="Times" w:hAnsi="Times"/>
        </w:rPr>
        <w:fldChar w:fldCharType="begin" w:fldLock="1"/>
      </w:r>
      <w:r w:rsidRPr="00C421E4">
        <w:rPr>
          <w:rFonts w:ascii="Times" w:hAnsi="Times"/>
        </w:rPr>
        <w:instrText xml:space="preserve"> ADDIN ZOTERO_ITEM CSL_CITATION {"citationID":"slTjWZYb","properties":{"formattedCitation":"(Spielberger, 1987)","plainCitation":"(Spielberger, 1987)"},"citationItems":[{"id":"ITEM-1","uris":["http://www.mendeley.com/documents/?uuid=8d9ee541-a4fe-4271-829f-e17cf57ce100"],"uri":["http://www.mendeley.com/documents/?uuid=8d9ee541-a4fe-4271-829f-e17cf57ce100"],"itemData":{"DOI":"10.1037/t06496-000","ISBN":"9780470479216","ISSN":"00215015","PMID":"2000066819","abstract":"State-Trait Anxiety Inventory- is a translated/adapted version of Spielberger's (1970) measure.","author":[{"dropping-particle":"","family":"Spielberger","given":"Charles D","non-dropping-particle":"","parse-names":false,"suffix":""}],"container-title":"Anxiety","id":"ITEM-1","issued":{"date-parts":[["1987"]]},"page":"2009","title":"State-Trait Anxiety Inventory","type":"article","volume":"19"}}],"schema":"https://github.com/citation-style-language/schema/raw/master/csl-citation.json"} </w:instrText>
      </w:r>
      <w:r w:rsidRPr="00C421E4">
        <w:rPr>
          <w:rFonts w:ascii="Times" w:hAnsi="Times"/>
        </w:rPr>
        <w:fldChar w:fldCharType="separate"/>
      </w:r>
      <w:r w:rsidRPr="00C421E4">
        <w:rPr>
          <w:rFonts w:ascii="Times" w:hAnsi="Times"/>
          <w:noProof/>
        </w:rPr>
        <w:t>(Spielberger, 1987)</w:t>
      </w:r>
      <w:r w:rsidRPr="00C421E4">
        <w:rPr>
          <w:rFonts w:ascii="Times" w:hAnsi="Times"/>
        </w:rPr>
        <w:fldChar w:fldCharType="end"/>
      </w:r>
      <w:r w:rsidRPr="00C421E4">
        <w:rPr>
          <w:rFonts w:ascii="Times" w:hAnsi="Times"/>
        </w:rPr>
        <w:t xml:space="preserve">; (4) Rivermead Post </w:t>
      </w:r>
      <w:r w:rsidRPr="00C421E4">
        <w:rPr>
          <w:rFonts w:ascii="Times" w:hAnsi="Times"/>
        </w:rPr>
        <w:lastRenderedPageBreak/>
        <w:t xml:space="preserve">Concussion Symptoms Questionnaire items to assess which post-concussive symptoms (e.g., dizziness, headaches) in the last 24 hours (if any; </w:t>
      </w:r>
      <w:r w:rsidRPr="00C421E4">
        <w:rPr>
          <w:rFonts w:ascii="Times" w:hAnsi="Times"/>
        </w:rPr>
        <w:fldChar w:fldCharType="begin" w:fldLock="1"/>
      </w:r>
      <w:r w:rsidRPr="00C421E4">
        <w:rPr>
          <w:rFonts w:ascii="Times" w:hAnsi="Times"/>
        </w:rPr>
        <w:instrText xml:space="preserve"> ADDIN ZOTERO_ITEM CSL_CITATION {"citationID":"U4WERQIe","properties":{"formattedCitation":"(Potter, Leigh, Wade, &amp; Fleminger, 2006a)","plainCitation":"(Potter, Leigh, Wade, &amp; Fleminger, 2006a)","dontUpdate":true},"citationItems":[{"id":"ITEM-1","uris":["http://www.mendeley.com/documents/?uuid=f54e8587-d021-486e-aed4-3d9afb8f8b62"],"uri":["http://www.mendeley.com/documents/?uuid=f54e8587-d021-486e-aed4-3d9afb8f8b62"],"itemData":{"DOI":"10.1007/s00415-006-0275-z","ISBN":"0340-5354 (Print)","ISSN":"03405354","PMID":"17063314","abstract":"To investigate the factor structure of the Rivermead Post Concussion Symptoms Questionnaire (RPQ) among individuals seen as part of routine follow-up following traumatic brain injury.","author":[{"dropping-particle":"","family":"Potter","given":"Seb","non-dropping-particle":"","parse-names":false,"suffix":""},{"dropping-particle":"","family":"Leigh","given":"Eleanor","non-dropping-particle":"","parse-names":false,"suffix":""},{"dropping-particle":"","family":"Wade","given":"Derick","non-dropping-particle":"","parse-names":false,"suffix":""},{"dropping-particle":"","family":"Fleminger","given":"Simon","non-dropping-particle":"","parse-names":false,"suffix":""}],"container-title":"Journal of Neurology","id":"ITEM-1","issue":"12","issued":{"date-parts":[["2006"]]},"page":"1603-1614","title":"The Rivermead Post Concussion Symptoms Questionnaire: A confirmatory factor analysis","type":"article-journal","volume":"253"}}],"schema":"https://github.com/citation-style-language/schema/raw/master/csl-citation.json"} </w:instrText>
      </w:r>
      <w:r w:rsidRPr="00C421E4">
        <w:rPr>
          <w:rFonts w:ascii="Times" w:hAnsi="Times"/>
        </w:rPr>
        <w:fldChar w:fldCharType="separate"/>
      </w:r>
      <w:r w:rsidRPr="00C421E4">
        <w:rPr>
          <w:rFonts w:ascii="Times" w:hAnsi="Times"/>
          <w:noProof/>
        </w:rPr>
        <w:t>Potter, Leigh, Wade, &amp; Fleminger, 2006)</w:t>
      </w:r>
      <w:r w:rsidRPr="00C421E4">
        <w:rPr>
          <w:rFonts w:ascii="Times" w:hAnsi="Times"/>
        </w:rPr>
        <w:fldChar w:fldCharType="end"/>
      </w:r>
      <w:r w:rsidRPr="00C421E4">
        <w:rPr>
          <w:rFonts w:ascii="Times" w:hAnsi="Times"/>
        </w:rPr>
        <w:t xml:space="preserve">, (5) Behavior Rating Inventory of Executive Function (BRIEF) to assess self-report about executive functioning behaviors (internal consistency alpha of .96 and clinical scales alpha </w:t>
      </w:r>
      <w:proofErr w:type="gramStart"/>
      <w:r w:rsidRPr="00C421E4">
        <w:rPr>
          <w:rFonts w:ascii="Times" w:hAnsi="Times"/>
        </w:rPr>
        <w:t>between .</w:t>
      </w:r>
      <w:proofErr w:type="gramEnd"/>
      <w:r w:rsidRPr="00C421E4">
        <w:rPr>
          <w:rFonts w:ascii="Times" w:hAnsi="Times"/>
        </w:rPr>
        <w:t xml:space="preserve">72 </w:t>
      </w:r>
      <w:proofErr w:type="gramStart"/>
      <w:r w:rsidRPr="00C421E4">
        <w:rPr>
          <w:rFonts w:ascii="Times" w:hAnsi="Times"/>
        </w:rPr>
        <w:t>and .</w:t>
      </w:r>
      <w:proofErr w:type="gramEnd"/>
      <w:r w:rsidRPr="00C421E4">
        <w:rPr>
          <w:rFonts w:ascii="Times" w:hAnsi="Times"/>
        </w:rPr>
        <w:t xml:space="preserve">96; </w:t>
      </w:r>
      <w:r w:rsidRPr="00C421E4">
        <w:rPr>
          <w:rFonts w:ascii="Times" w:hAnsi="Times"/>
        </w:rPr>
        <w:fldChar w:fldCharType="begin" w:fldLock="1"/>
      </w:r>
      <w:r w:rsidRPr="00C421E4">
        <w:rPr>
          <w:rFonts w:ascii="Times" w:hAnsi="Times"/>
        </w:rPr>
        <w:instrText xml:space="preserve"> ADDIN ZOTERO_ITEM CSL_CITATION {"citationID":"emDr4whv","properties":{"formattedCitation":"(Gioia, Isquith, Guy, &amp; Kenworthy, 2000)","plainCitation":"(Gioia, Isquith, Guy, &amp; Kenworthy, 2000)"},"citationItems":[{"id":"ITEM-1","uris":["http://www.mendeley.com/documents/?uuid=c1dcac44-8303-4350-bd7a-5ae87198854f"],"uri":["http://www.mendeley.com/documents/?uuid=c1dcac44-8303-4350-bd7a-5ae87198854f"],"itemData":{"DOI":"10.1076/chin.6.3.235.3152","ISBN":"09297049","ISSN":"0929-7049","PMID":"11419452","abstract":"Child neuropsychologists are often asked to determine whether a child experiencing difficulties in the academic setting has a specific learning disability, attentional deficit, memory impairment, or some combination of these problems. There is less recognition by referral sources that another explanation might be contributory, i. e., presence of impaired executive function. Children with neurological disorders are also subject to the types of behavioral problems correctly subsumed under the broad construct \"executive function\". Therefore, there is a need to reliably obtain valid information that assists in the differential diagnosis and treatment planning for these children. Practitioners now recognize and assess discrete behaviors that reflect executive function problems despite the absence of formal recognition of an executive function disability, e. g., in the DSM-IV. (PsycINFO Database Record (c) 2012 APA, all rights reserved)","author":[{"dropping-particle":"","family":"Gioia","given":"G A","non-dropping-particle":"","parse-names":false,"suffix":""},{"dropping-particle":"","family":"Isquith","given":"P K","non-dropping-particle":"","parse-names":false,"suffix":""},{"dropping-particle":"","family":"Guy","given":"S C","non-dropping-particle":"","parse-names":false,"suffix":""},{"dropping-particle":"","family":"Kenworthy","given":"L","non-dropping-particle":"","parse-names":false,"suffix":""}],"container-title":"Child neuropsychology : a journal on normal and abnormal development in childhood and adolescence","id":"ITEM-1","issue":"3","issued":{"date-parts":[["2000"]]},"page":"235-8","title":"Behavior rating inventory of executive function.","type":"article-journal","volume":"6"}}],"schema":"https://github.com/citation-style-language/schema/raw/master/csl-citation.json"} </w:instrText>
      </w:r>
      <w:r w:rsidRPr="00C421E4">
        <w:rPr>
          <w:rFonts w:ascii="Times" w:hAnsi="Times"/>
        </w:rPr>
        <w:fldChar w:fldCharType="separate"/>
      </w:r>
      <w:r w:rsidRPr="00C421E4">
        <w:rPr>
          <w:rFonts w:ascii="Times" w:hAnsi="Times"/>
          <w:noProof/>
        </w:rPr>
        <w:t>(Gioia, Isquith, Guy, &amp; Kenworthy, 2000)</w:t>
      </w:r>
      <w:r w:rsidRPr="00C421E4">
        <w:rPr>
          <w:rFonts w:ascii="Times" w:hAnsi="Times"/>
        </w:rPr>
        <w:fldChar w:fldCharType="end"/>
      </w:r>
      <w:r w:rsidRPr="00C421E4">
        <w:rPr>
          <w:rFonts w:ascii="Times" w:hAnsi="Times"/>
        </w:rPr>
        <w:t xml:space="preserve">, (6) Morning/eveningness Questionnaire (MEQ), which can accurately discriminate circadian chronotypes (e.g., morning, intermediate, evening; </w:t>
      </w:r>
      <w:r w:rsidRPr="00C421E4">
        <w:rPr>
          <w:rFonts w:ascii="Times" w:hAnsi="Times"/>
        </w:rPr>
        <w:fldChar w:fldCharType="begin" w:fldLock="1"/>
      </w:r>
      <w:r w:rsidRPr="00C421E4">
        <w:rPr>
          <w:rFonts w:ascii="Times" w:hAnsi="Times"/>
        </w:rPr>
        <w:instrText xml:space="preserve"> ADDIN ZOTERO_ITEM CSL_CITATION {"citationID":"jIN1aZkb","properties":{"formattedCitation":"(Horne &amp; Ostberg, 1976)","plainCitation":"(Horne &amp; Ostberg, 1976)"},"citationItems":[{"id":"ITEM-1","uris":["http://www.mendeley.com/documents/?uuid=eed10398-8d74-4ed1-ad86-5a2c38822b12"],"uri":["http://www.mendeley.com/documents/?uuid=eed10398-8d74-4ed1-ad86-5a2c38822b12"],"itemData":{"ISBN":"0300-9998 (Print)\\r0300-9998 (Linking)","ISSN":"0300-9998 (Print) 0300-9998 (Linking)","PMID":"1027738","abstract":"An English language self-assessment Morningness-Eveningness questionnaire is presented and evaluated against individual differences in the circadian vatiation of oral temperature. 48 subjects falling into Morning, Evening and Intermediate type categories regularly took their temperature. Circadian peak time were identified from the smoothed temperature curves of each subject. Results showed that Morning types and a significantly earlier peak time than Evening types and tended to have a higher daytime temperature and lower post peak temperature. The Intermediate type had temperatures between those of the other groups. Although no significant differences in sleep lengths were found between the three types, Morning types retired and arose significantly earlier than Evening types. Whilst these time significatly correlated with peak time, the questionnaire showed a higher peak time correlation. Although sleep habits are an important déterminant of peak time there are other contibutory factors, and these appear to be partly covered by the questionnaire. Although the questionnaire appears to be valid, further evaluation using a wider subject population is required.","author":[{"dropping-particle":"","family":"Horne","given":"J. A.","non-dropping-particle":"","parse-names":false,"suffix":""},{"dropping-particle":"","family":"Ostberg","given":"O.","non-dropping-particle":"","parse-names":false,"suffix":""}],"container-title":"International journal of chronobiology","id":"ITEM-1","issue":"2","issued":{"date-parts":[["1976"]]},"page":"97-110","title":"A self-assessment questionnaire to determine morningness-eveningness in human circadian rhythms.","type":"article-journal","volume":"4"}}],"schema":"https://github.com/citation-style-language/schema/raw/master/csl-citation.json"} </w:instrText>
      </w:r>
      <w:r w:rsidRPr="00C421E4">
        <w:rPr>
          <w:rFonts w:ascii="Times" w:hAnsi="Times"/>
        </w:rPr>
        <w:fldChar w:fldCharType="separate"/>
      </w:r>
      <w:r w:rsidRPr="00C421E4">
        <w:rPr>
          <w:rFonts w:ascii="Times" w:hAnsi="Times"/>
          <w:noProof/>
        </w:rPr>
        <w:t>Horne &amp; Ostberg, 1976)</w:t>
      </w:r>
      <w:r w:rsidRPr="00C421E4">
        <w:rPr>
          <w:rFonts w:ascii="Times" w:hAnsi="Times"/>
        </w:rPr>
        <w:fldChar w:fldCharType="end"/>
      </w:r>
      <w:r w:rsidRPr="00C421E4">
        <w:rPr>
          <w:rFonts w:ascii="Times" w:hAnsi="Times"/>
        </w:rPr>
        <w:t xml:space="preserve">, and (7) PTSD Check List (Civilian Version) to assess the presence of PTSD symptoms </w:t>
      </w:r>
      <w:r w:rsidRPr="00C421E4">
        <w:rPr>
          <w:rFonts w:ascii="Times" w:hAnsi="Times"/>
        </w:rPr>
        <w:fldChar w:fldCharType="begin" w:fldLock="1"/>
      </w:r>
      <w:r w:rsidRPr="00C421E4">
        <w:rPr>
          <w:rFonts w:ascii="Times" w:hAnsi="Times"/>
        </w:rPr>
        <w:instrText xml:space="preserve"> ADDIN ZOTERO_ITEM CSL_CITATION {"citationID":"BYhvpVo5","properties":{"formattedCitation":"(Blanchard, Jones-Alexander, Buckley, &amp; Forneris, 1996)","plainCitation":"(Blanchard, Jones-Alexander, Buckley, &amp; Forneris, 1996)"},"citationItems":[{"id":"ITEM-1","uris":["http://www.mendeley.com/documents/?uuid=0649fb25-9b15-44f9-8d24-fc6221d4d3c3"],"uri":["http://www.mendeley.com/documents/?uuid=0649fb25-9b15-44f9-8d24-fc6221d4d3c3"],"itemData":{"DOI":"10.1016/0005-7967(96)00033-2","ISBN":"0305-4179","ISSN":"00057967","PMID":"8870294","abstract":"The psychometric properties of the PTSD Checklist (PCL), a new, brief, self-report instrument, were determined on a population of 40 motor vehicle accident victims and sexual assault victims using diagnoses and scores from the CAPS (Clinician Administered PTSD Scale) as the criteria. For the PCL as a whole, the correlation with the CAPS was 0.929 and diagnostic efficiency was 0.900 versus CAPS. Examination of the individual items showed wide ranging values of individual item correlations ranging from 0.386 to 0.788, and with diagnostic efficiencies of 0.700 or better for symptoms. We support the value of the PCL as a brief screening instrument for PTSD.","author":[{"dropping-particle":"","family":"Blanchard","given":"Edward B.","non-dropping-particle":"","parse-names":false,"suffix":""},{"dropping-particle":"","family":"Jones-Alexander","given":"Jacqueline","non-dropping-particle":"","parse-names":false,"suffix":""},{"dropping-particle":"","family":"Buckley","given":"Todd C.","non-dropping-particle":"","parse-names":false,"suffix":""},{"dropping-particle":"","family":"Forneris","given":"Catherine A.","non-dropping-particle":"","parse-names":false,"suffix":""}],"container-title":"Behaviour Research and Therapy","id":"ITEM-1","issue":"8","issued":{"date-parts":[["1996"]]},"page":"669-673","title":"Psychometric properties of the PTSD checklist (PCL)","type":"article-journal","volume":"34"}}],"schema":"https://github.com/citation-style-language/schema/raw/master/csl-citation.json"} </w:instrText>
      </w:r>
      <w:r w:rsidRPr="00C421E4">
        <w:rPr>
          <w:rFonts w:ascii="Times" w:hAnsi="Times"/>
        </w:rPr>
        <w:fldChar w:fldCharType="separate"/>
      </w:r>
      <w:r w:rsidRPr="00C421E4">
        <w:rPr>
          <w:rFonts w:ascii="Times" w:hAnsi="Times"/>
          <w:noProof/>
        </w:rPr>
        <w:t>(Blanchard, Jones-Alexander, Buckley, &amp; Forneris, 1996)</w:t>
      </w:r>
      <w:r w:rsidRPr="00C421E4">
        <w:rPr>
          <w:rFonts w:ascii="Times" w:hAnsi="Times"/>
        </w:rPr>
        <w:fldChar w:fldCharType="end"/>
      </w:r>
      <w:r w:rsidRPr="00C421E4">
        <w:rPr>
          <w:rFonts w:ascii="Times" w:hAnsi="Times"/>
        </w:rPr>
        <w:t xml:space="preserve">. After the completion of the behavioral task, participants completed the Dissociative Experiences Scale, which gauges dissociation (reliability alpha of .93; </w:t>
      </w:r>
      <w:r w:rsidRPr="00C421E4">
        <w:rPr>
          <w:rFonts w:ascii="Times" w:hAnsi="Times"/>
        </w:rPr>
        <w:fldChar w:fldCharType="begin" w:fldLock="1"/>
      </w:r>
      <w:r w:rsidRPr="00C421E4">
        <w:rPr>
          <w:rFonts w:ascii="Times" w:hAnsi="Times"/>
        </w:rPr>
        <w:instrText xml:space="preserve"> ADDIN ZOTERO_ITEM CSL_CITATION {"citationID":"ac1XFfFJ","properties":{"formattedCitation":"(Van IJzendoorn &amp; Schuengel, 1996)","plainCitation":"(Van IJzendoorn &amp; Schuengel, 1996)"},"citationItems":[{"id":"ITEM-1","uris":["http://www.mendeley.com/documents/?uuid=20900b48-31c1-4b17-bc90-4249be8179f6"],"uri":["http://www.mendeley.com/documents/?uuid=20900b48-31c1-4b17-bc90-4249be8179f6"],"itemData":{"author":[{"dropping-particle":"","family":"IJzendoorn","given":"MH","non-dropping-particle":"Van","parse-names":false,"suffix":""},{"dropping-particle":"","family":"Schuengel","given":"C","non-dropping-particle":"","parse-names":false,"suffix":""}],"container-title":"Clinical Psychology Review","id":"ITEM-1","issue":"5","issued":{"date-parts":[["1996"]]},"page":"365-382","title":"The measurement of dissociation in normal and clinical populations: Meta-analytic validation of the Dissociative Experiences Scale","type":"article-journal","volume":"16"}}],"schema":"https://github.com/citation-style-language/schema/raw/master/csl-citation.json"} </w:instrText>
      </w:r>
      <w:r w:rsidRPr="00C421E4">
        <w:rPr>
          <w:rFonts w:ascii="Times" w:hAnsi="Times"/>
        </w:rPr>
        <w:fldChar w:fldCharType="separate"/>
      </w:r>
      <w:r w:rsidRPr="00C421E4">
        <w:rPr>
          <w:rFonts w:ascii="Times" w:hAnsi="Times"/>
          <w:noProof/>
        </w:rPr>
        <w:t>Van IJzendoorn &amp; Schuengel, 1996)</w:t>
      </w:r>
      <w:r w:rsidRPr="00C421E4">
        <w:rPr>
          <w:rFonts w:ascii="Times" w:hAnsi="Times"/>
        </w:rPr>
        <w:fldChar w:fldCharType="end"/>
      </w:r>
      <w:r w:rsidRPr="00C421E4">
        <w:rPr>
          <w:rFonts w:ascii="Times" w:hAnsi="Times"/>
        </w:rPr>
        <w:t xml:space="preserve">. </w:t>
      </w:r>
    </w:p>
    <w:p w14:paraId="43F2BCDE" w14:textId="77777777" w:rsidR="00F7044C" w:rsidRPr="00C421E4" w:rsidRDefault="00F7044C" w:rsidP="00F7044C">
      <w:pPr>
        <w:spacing w:line="480" w:lineRule="auto"/>
        <w:rPr>
          <w:rFonts w:ascii="Times" w:hAnsi="Times"/>
        </w:rPr>
      </w:pPr>
    </w:p>
    <w:p w14:paraId="52446864" w14:textId="77777777" w:rsidR="00F7044C" w:rsidRPr="00986591" w:rsidRDefault="00F7044C" w:rsidP="00F7044C">
      <w:pPr>
        <w:spacing w:line="480" w:lineRule="auto"/>
        <w:jc w:val="center"/>
        <w:outlineLvl w:val="0"/>
        <w:rPr>
          <w:rFonts w:ascii="Times" w:hAnsi="Times"/>
          <w:b/>
        </w:rPr>
      </w:pPr>
      <w:r>
        <w:rPr>
          <w:rFonts w:ascii="Times" w:hAnsi="Times"/>
          <w:b/>
        </w:rPr>
        <w:t xml:space="preserve">4. </w:t>
      </w:r>
      <w:r w:rsidRPr="00986591">
        <w:rPr>
          <w:rFonts w:ascii="Times" w:hAnsi="Times"/>
          <w:b/>
        </w:rPr>
        <w:t>Executive Function Tasks</w:t>
      </w:r>
    </w:p>
    <w:p w14:paraId="256592B4" w14:textId="77777777" w:rsidR="00F7044C" w:rsidRPr="00C421E4" w:rsidRDefault="00F7044C" w:rsidP="00F7044C">
      <w:pPr>
        <w:spacing w:line="480" w:lineRule="auto"/>
        <w:rPr>
          <w:rFonts w:ascii="Times" w:hAnsi="Times"/>
        </w:rPr>
      </w:pPr>
      <w:r w:rsidRPr="00C421E4">
        <w:rPr>
          <w:rFonts w:ascii="Times" w:hAnsi="Times"/>
        </w:rPr>
        <w:t xml:space="preserve">Participants completed the following neuropsychological tests: (1) The Stroop test to assess response inhibition/reaction time </w:t>
      </w:r>
      <w:r w:rsidRPr="00C421E4">
        <w:rPr>
          <w:rFonts w:ascii="Times" w:hAnsi="Times"/>
        </w:rPr>
        <w:fldChar w:fldCharType="begin" w:fldLock="1"/>
      </w:r>
      <w:r w:rsidRPr="00C421E4">
        <w:rPr>
          <w:rFonts w:ascii="Times" w:hAnsi="Times"/>
        </w:rPr>
        <w:instrText xml:space="preserve"> ADDIN ZOTERO_ITEM CSL_CITATION {"citationID":"5STaGIm6","properties":{"formattedCitation":"(Stroop, 1935)","plainCitation":"(Stroop, 1935)"},"citationItems":[{"id":"ITEM-1","uris":["http://www.mendeley.com/documents/?uuid=64afa9e6-b606-41e9-9fb4-8e9cca456fa7"],"uri":["http://www.mendeley.com/documents/?uuid=64afa9e6-b606-41e9-9fb4-8e9cca456fa7"],"itemData":{"DOI":"10.1007/978-0-387-79948-3","ISBN":"9780387799476","ISSN":"0887-6177","PMID":"693","abstract":"Traduction française du test des mots en couleur de Stroop","author":[{"dropping-particle":"","family":"Stroop","given":"J. R.","non-dropping-particle":"","parse-names":false,"suffix":""}],"container-title":"J. Exp. Physiol.","id":"ITEM-1","issue":"18","issued":{"date-parts":[["1935"]]},"page":"643-662","title":"Stroop color word test","type":"article-journal"}}],"schema":"https://github.com/citation-style-language/schema/raw/master/csl-citation.json"} </w:instrText>
      </w:r>
      <w:r w:rsidRPr="00C421E4">
        <w:rPr>
          <w:rFonts w:ascii="Times" w:hAnsi="Times"/>
        </w:rPr>
        <w:fldChar w:fldCharType="separate"/>
      </w:r>
      <w:r w:rsidRPr="00C421E4">
        <w:rPr>
          <w:rFonts w:ascii="Times" w:hAnsi="Times"/>
          <w:noProof/>
        </w:rPr>
        <w:t>(Stroop, 1935)</w:t>
      </w:r>
      <w:r w:rsidRPr="00C421E4">
        <w:rPr>
          <w:rFonts w:ascii="Times" w:hAnsi="Times"/>
        </w:rPr>
        <w:fldChar w:fldCharType="end"/>
      </w:r>
      <w:r w:rsidRPr="00C421E4">
        <w:rPr>
          <w:rFonts w:ascii="Times" w:hAnsi="Times"/>
        </w:rPr>
        <w:t xml:space="preserve">; (2) Delis–Kaplan Executive Function System (D-KEFS) Verbal Fluency to assess letter fluency, category fluency, and category switching </w:t>
      </w:r>
      <w:r w:rsidRPr="00C421E4">
        <w:rPr>
          <w:rFonts w:ascii="Times" w:hAnsi="Times"/>
        </w:rPr>
        <w:fldChar w:fldCharType="begin" w:fldLock="1"/>
      </w:r>
      <w:r w:rsidRPr="00C421E4">
        <w:rPr>
          <w:rFonts w:ascii="Times" w:hAnsi="Times"/>
        </w:rPr>
        <w:instrText xml:space="preserve"> ADDIN ZOTERO_ITEM CSL_CITATION {"citationID":"t83alMN4","properties":{"formattedCitation":"(Delis, Kaplan, &amp; Kramer, 2001)","plainCitation":"(Delis, Kaplan, &amp; Kramer, 2001)"},"citationItems":[{"id":"ITEM-1","uris":["http://www.mendeley.com/documents/?uuid=7cbb933a-34fd-4b55-b30c-305df8de6129"],"uri":["http://www.mendeley.com/documents/?uuid=7cbb933a-34fd-4b55-b30c-305df8de6129"],"itemData":{"DOI":"10.1177/0829573506295469","ISBN":"0154091243","ISSN":"0829-5735","PMID":"1000098735","abstract":"Delis, Dean C., Edith Kaplan, and Joel H. Kramer. Delis-Kaplan executive function system (D-KEFS). Psychological Corporation, 2001.","author":[{"dropping-particle":"","family":"Delis","given":"DC","non-dropping-particle":"","parse-names":false,"suffix":""},{"dropping-particle":"","family":"Kaplan","given":"E","non-dropping-particle":"","parse-names":false,"suffix":""},{"dropping-particle":"","family":"Kramer","given":"JH","non-dropping-particle":"","parse-names":false,"suffix":""}],"container-title":"Canadian Journal of School Psychology","id":"ITEM-1","issue":"1-2","issued":{"date-parts":[["2001"]]},"page":"117-128","title":"Delis-Kaplan executive function system (D-KEFS)","type":"article-journal","volume":"20"}}],"schema":"https://github.com/citation-style-language/schema/raw/master/csl-citation.json"} </w:instrText>
      </w:r>
      <w:r w:rsidRPr="00C421E4">
        <w:rPr>
          <w:rFonts w:ascii="Times" w:hAnsi="Times"/>
        </w:rPr>
        <w:fldChar w:fldCharType="separate"/>
      </w:r>
      <w:r w:rsidRPr="00C421E4">
        <w:rPr>
          <w:rFonts w:ascii="Times" w:hAnsi="Times"/>
          <w:noProof/>
        </w:rPr>
        <w:t>(Delis, Kaplan, &amp; Kramer, 2001)</w:t>
      </w:r>
      <w:r w:rsidRPr="00C421E4">
        <w:rPr>
          <w:rFonts w:ascii="Times" w:hAnsi="Times"/>
        </w:rPr>
        <w:fldChar w:fldCharType="end"/>
      </w:r>
      <w:r w:rsidRPr="00C421E4">
        <w:rPr>
          <w:rFonts w:ascii="Times" w:hAnsi="Times"/>
        </w:rPr>
        <w:t xml:space="preserve">; and (3) Digit Span Backward to assess working memory ability </w:t>
      </w:r>
      <w:r w:rsidRPr="00C421E4">
        <w:rPr>
          <w:rFonts w:ascii="Times" w:hAnsi="Times"/>
        </w:rPr>
        <w:fldChar w:fldCharType="begin"/>
      </w:r>
      <w:r w:rsidRPr="00C421E4">
        <w:rPr>
          <w:rFonts w:ascii="Times" w:hAnsi="Times"/>
        </w:rPr>
        <w:instrText xml:space="preserve"> ADDIN ZOTERO_ITEM CSL_CITATION {"citationID":"2df0rgvq7d","properties":{"formattedCitation":"(Holdnack, Zhou, Larrabee, Millis, &amp; Salthouse, 2011)","plainCitation":"(Holdnack, Zhou, Larrabee, Millis, &amp; Salthouse, 2011)"},"citationItems":[{"id":927,"uris":["http://zotero.org/users/4141602/items/FQ7QS36F"],"uri":["http://zotero.org/users/4141602/items/FQ7QS36F"],"itemData":{"id":927,"type":"article-journal","title":"Confirmatory factor analysis of the WAIS-IV/WMS-IV","container-title":"Assessment","page":"178-191","volume":"18","issue":"2","author":[{"family":"Holdnack","given":"James A."},{"family":"Zhou","given":"Xiaobin"},{"family":"Larrabee","given":"Glenn J."},{"family":"Millis","given":"Scott R."},{"family":"Salthouse","given":"Timothy A."}],"issued":{"date-parts":[["2011"]]}}}],"schema":"https://github.com/citation-style-language/schema/raw/master/csl-citation.json"} </w:instrText>
      </w:r>
      <w:r w:rsidRPr="00C421E4">
        <w:rPr>
          <w:rFonts w:ascii="Times" w:hAnsi="Times"/>
        </w:rPr>
        <w:fldChar w:fldCharType="separate"/>
      </w:r>
      <w:r w:rsidRPr="00C421E4">
        <w:rPr>
          <w:rFonts w:ascii="Times" w:hAnsi="Times"/>
          <w:noProof/>
        </w:rPr>
        <w:t>(Holdnack, Zhou, Larrabee, Millis, &amp; Salthouse, 2011)</w:t>
      </w:r>
      <w:r w:rsidRPr="00C421E4">
        <w:rPr>
          <w:rFonts w:ascii="Times" w:hAnsi="Times"/>
        </w:rPr>
        <w:fldChar w:fldCharType="end"/>
      </w:r>
      <w:r w:rsidRPr="00C421E4">
        <w:rPr>
          <w:rFonts w:ascii="Times" w:hAnsi="Times"/>
        </w:rPr>
        <w:t xml:space="preserve">. </w:t>
      </w:r>
    </w:p>
    <w:p w14:paraId="44B9DD14" w14:textId="77777777" w:rsidR="00F7044C" w:rsidRPr="00C421E4" w:rsidRDefault="00F7044C" w:rsidP="00F7044C">
      <w:pPr>
        <w:spacing w:line="480" w:lineRule="auto"/>
        <w:rPr>
          <w:rFonts w:ascii="Times" w:hAnsi="Times"/>
        </w:rPr>
      </w:pPr>
    </w:p>
    <w:p w14:paraId="2963325E" w14:textId="77777777" w:rsidR="00F7044C" w:rsidRPr="00986591" w:rsidRDefault="00F7044C" w:rsidP="00F7044C">
      <w:pPr>
        <w:spacing w:line="480" w:lineRule="auto"/>
        <w:jc w:val="center"/>
        <w:outlineLvl w:val="0"/>
        <w:rPr>
          <w:rFonts w:ascii="Times" w:hAnsi="Times"/>
          <w:b/>
        </w:rPr>
      </w:pPr>
      <w:r>
        <w:rPr>
          <w:rFonts w:ascii="Times" w:hAnsi="Times"/>
          <w:b/>
        </w:rPr>
        <w:t xml:space="preserve">5. </w:t>
      </w:r>
      <w:r w:rsidRPr="00986591">
        <w:rPr>
          <w:rFonts w:ascii="Times" w:hAnsi="Times"/>
          <w:b/>
        </w:rPr>
        <w:t>Physiological Recordings and Data Reduction</w:t>
      </w:r>
    </w:p>
    <w:p w14:paraId="5D8FFB6A" w14:textId="77777777" w:rsidR="00F7044C" w:rsidRPr="00C421E4" w:rsidRDefault="00F7044C" w:rsidP="00F7044C">
      <w:pPr>
        <w:spacing w:line="480" w:lineRule="auto"/>
        <w:rPr>
          <w:rFonts w:ascii="Times" w:hAnsi="Times"/>
        </w:rPr>
      </w:pPr>
      <w:r w:rsidRPr="00C421E4">
        <w:rPr>
          <w:rFonts w:ascii="Times" w:hAnsi="Times"/>
        </w:rPr>
        <w:t xml:space="preserve">Four physiological signals were recorded throughout the duration of the experiment (with the exception of questionnaire administration and neuropsychological testing): one channel for electrocardiogram (heart rate [HR]), two channels for facial </w:t>
      </w:r>
      <w:r w:rsidRPr="00C421E4">
        <w:rPr>
          <w:rFonts w:ascii="Times" w:hAnsi="Times"/>
        </w:rPr>
        <w:lastRenderedPageBreak/>
        <w:t xml:space="preserve">electromyography (EMG, that measure tension in the muscles that control facial expression of emotion), and one channel for skin conductance (SC). </w:t>
      </w:r>
    </w:p>
    <w:p w14:paraId="77AD0558" w14:textId="77777777" w:rsidR="00F7044C" w:rsidRPr="00C421E4" w:rsidRDefault="00F7044C" w:rsidP="00F7044C">
      <w:pPr>
        <w:spacing w:line="480" w:lineRule="auto"/>
        <w:rPr>
          <w:rFonts w:ascii="Times" w:hAnsi="Times"/>
        </w:rPr>
      </w:pPr>
    </w:p>
    <w:p w14:paraId="43B2FA21" w14:textId="77777777" w:rsidR="00F7044C" w:rsidRPr="00C421E4" w:rsidRDefault="00F7044C" w:rsidP="00F7044C">
      <w:pPr>
        <w:spacing w:line="480" w:lineRule="auto"/>
        <w:rPr>
          <w:rFonts w:ascii="Times" w:hAnsi="Times"/>
        </w:rPr>
      </w:pPr>
      <w:r w:rsidRPr="00C421E4">
        <w:rPr>
          <w:rFonts w:ascii="Times" w:hAnsi="Times"/>
        </w:rPr>
        <w:t xml:space="preserve">Heart Rate was recorded using ECG100C, ECG Electrocardiogram Amplifier to which is connected a LEAD110S-R and a LEAD110S-W (Red and White Clip 1M TP Shielded Leads) each connected to an EL503 disposable electrodes. One such electrode is attached to the torso over the first intercostal space, and the other is attached below the lowest rib. As in previous work </w:t>
      </w:r>
      <w:r w:rsidRPr="00C421E4">
        <w:rPr>
          <w:rFonts w:ascii="Times" w:hAnsi="Times"/>
        </w:rPr>
        <w:fldChar w:fldCharType="begin" w:fldLock="1"/>
      </w:r>
      <w:r w:rsidRPr="00C421E4">
        <w:rPr>
          <w:rFonts w:ascii="Times" w:hAnsi="Times"/>
        </w:rPr>
        <w:instrText xml:space="preserve"> ADDIN ZOTERO_ITEM CSL_CITATION {"citationID":"1WZbMKsE","properties":{"formattedCitation":"(Cunningham et al., 2014)","plainCitation":"(Cunningham et al., 2014)"},"citationItems":[{"id":"ITEM-1","uris":["http://www.mendeley.com/documents/?uuid=7ffb4d97-37f1-4851-9414-3df6a2c8df90"],"uri":["http://www.mendeley.com/documents/?uuid=7ffb4d97-37f1-4851-9414-3df6a2c8df90"],"itemData":{"DOI":"10.1016/j.nlm.2014.06.002","ISBN":"1074-7427","ISSN":"10959564","PMID":"24952130","abstract":"While sleep's role in emotional memory processing is gaining increasing support, its effect on emotion regulation remains equivocal. Moreover, little is known about the link between emotional reactivity at the time of encoding and subsequent sleep-based emotional memory consolidation. This study examined whether sleep would potentiate, protect, or depotentiate measures of heart rate and skin conductance in response to scenes containing emotional and neutral objects, and assessed how these measures of reactivity would predict subsequent memory for the objects across delays of sleep and wake. Heart rate deceleration (HRD) and skin conductance response (SCR) data were collected at encoding and recognition. Although HRD and SCR reactivity to objects were depotentiated after a sleep-filled delay, they remained unchanged after a delay containing wakefulness. Moreover, increased arousal responses to negative scenes at encoding as measured by HRD and SCR responses were positively correlated with subsequent memory for the negative objects of scenes, but only in the sleep group. This suggests that larger reactions to negative images at the time of encoding set the stage for the preferential consolidation of these images during a night of sleep. Although arousal responses are often thought to account for emotional enhancement in long-term memory, these findings suggest that both an arousal response at encoding and a subsequent period of sleep are needed to optimize selective emotional memory consolidation. ?? 2014 Elsevier Inc.","author":[{"dropping-particle":"","family":"Cunningham","given":"Tony J.","non-dropping-particle":"","parse-names":false,"suffix":""},{"dropping-particle":"","family":"Crowell","given":"Charles R.","non-dropping-particle":"","parse-names":false,"suffix":""},{"dropping-particle":"","family":"Alger","given":"Sara E.","non-dropping-particle":"","parse-names":false,"suffix":""},{"dropping-particle":"","family":"Kensinger","given":"Elizabeth A.","non-dropping-particle":"","parse-names":false,"suffix":""},{"dropping-particle":"","family":"Villano","given":"Michael A.","non-dropping-particle":"","parse-names":false,"suffix":""},{"dropping-particle":"","family":"Mattingly","given":"Stephen M.","non-dropping-particle":"","parse-names":false,"suffix":""},{"dropping-particle":"","family":"Payne","given":"Jessica D.","non-dropping-particle":"","parse-names":false,"suffix":""}],"container-title":"Neurobiology of Learning and Memory","id":"ITEM-1","issued":{"date-parts":[["2014"]]},"page":"155-164","title":"Psychophysiological arousal at encoding leads to reduced reactivity but enhanced emotional memory following sleep","type":"article-journal","volume":"114"}}],"schema":"https://github.com/citation-style-language/schema/raw/master/csl-citation.json"} </w:instrText>
      </w:r>
      <w:r w:rsidRPr="00C421E4">
        <w:rPr>
          <w:rFonts w:ascii="Times" w:hAnsi="Times"/>
        </w:rPr>
        <w:fldChar w:fldCharType="separate"/>
      </w:r>
      <w:r w:rsidRPr="00C421E4">
        <w:rPr>
          <w:rFonts w:ascii="Times" w:hAnsi="Times"/>
          <w:noProof/>
        </w:rPr>
        <w:t>(Cunningham et al., 2014)</w:t>
      </w:r>
      <w:r w:rsidRPr="00C421E4">
        <w:rPr>
          <w:rFonts w:ascii="Times" w:hAnsi="Times"/>
        </w:rPr>
        <w:fldChar w:fldCharType="end"/>
      </w:r>
      <w:r w:rsidRPr="00C421E4">
        <w:rPr>
          <w:rFonts w:ascii="Times" w:hAnsi="Times"/>
        </w:rPr>
        <w:t xml:space="preserve">, HR was analyzed in 1-second bins. The 1-second bin prior to stimulus onset was used as a baseline HR. The minimum beats per minute (BPM) from the 4 1-second bins after stimulus onset were subtracted from the baseline BPM, such that deceleration is the maximum deceleration (maximum autonomic response) following stimulus onset </w:t>
      </w:r>
      <w:r w:rsidRPr="00C421E4">
        <w:rPr>
          <w:rFonts w:ascii="Times" w:hAnsi="Times"/>
        </w:rPr>
        <w:fldChar w:fldCharType="begin" w:fldLock="1"/>
      </w:r>
      <w:r w:rsidRPr="00C421E4">
        <w:rPr>
          <w:rFonts w:ascii="Times" w:hAnsi="Times"/>
        </w:rPr>
        <w:instrText xml:space="preserve"> ADDIN ZOTERO_ITEM CSL_CITATION {"citationID":"Qe7BbyAP","properties":{"formattedCitation":"(Abercrombie, Chambers, Greischar, &amp; Monticelli, 2008)","plainCitation":"(Abercrombie, Chambers, Greischar, &amp; Monticelli, 2008)"},"citationItems":[{"id":"ITEM-1","uris":["http://www.mendeley.com/documents/?uuid=f5f0351d-06f5-426c-86d9-9ee3581c95c8"],"uri":["http://www.mendeley.com/documents/?uuid=f5f0351d-06f5-426c-86d9-9ee3581c95c8"],"itemData":{"DOI":"10.1016/j.nlm.2008.08.001","ISBN":"1095-9564 (Electronic)\\r1074-7427 (Linking)","ISSN":"10747427","PMID":"18755284","abstract":"Arousal-related processes associated with heightened heart rate (HR) predict memory enhancement, especially for emotionally arousing stimuli. In addition, phasic HR deceleration reflects \"orienting\" and sensory receptivity during perception of stimuli. We hypothesized that both tonic elevations in HR as well as phasic HR deceleration during viewing of pictures would be associated with deeper encoding and better subsequent memory for stimuli. Emotional pictures are more memorable and cause greater HR deceleration than neutral pictures. Thus, we predicted that the relations between cardiac activity and memory enhancement would be most pronounced for emotionally-laden compared to neutral pictures. We measured HR in 53 males during viewing of unpleasant, neutral, and pleasant pictures, and tested memory for the pictures two days later. Phasic HR deceleration during viewing of individual pictures was greater for subsequently remembered than forgotten pictures across all three emotion categories. Elevated mean HR across the entire encoding epoch also predicted better memory performance, but only for emotionally arousing pictures. Elevated mean HR and phasic HR deceleration were associated, such that individuals with greater tonic HR also showed greater HR decelerations during picture viewing, but only for emotionally arousing pictures. Results suggest that tonic elevations in HR are associated both with greater orienting and heightened memory for emotionally arousing stimuli. ?? 2008 Elsevier Inc. All rights reserved.","author":[{"dropping-particle":"","family":"Abercrombie","given":"Heather C.","non-dropping-particle":"","parse-names":false,"suffix":""},{"dropping-particle":"","family":"Chambers","given":"Andrea S.","non-dropping-particle":"","parse-names":false,"suffix":""},{"dropping-particle":"","family":"Greischar","given":"Lawrence","non-dropping-particle":"","parse-names":false,"suffix":""},{"dropping-particle":"","family":"Monticelli","given":"Roxanne M.","non-dropping-particle":"","parse-names":false,"suffix":""}],"container-title":"Neurobiology of Learning and Memory","id":"ITEM-1","issue":"4","issued":{"date-parts":[["2008"]]},"page":"644-650","title":"Orienting, emotion, and memory: Phasic and tonic variation in heart rate predicts memory for emotional pictures in men","type":"article-journal","volume":"90"}}],"schema":"https://github.com/citation-style-language/schema/raw/master/csl-citation.json"} </w:instrText>
      </w:r>
      <w:r w:rsidRPr="00C421E4">
        <w:rPr>
          <w:rFonts w:ascii="Times" w:hAnsi="Times"/>
        </w:rPr>
        <w:fldChar w:fldCharType="separate"/>
      </w:r>
      <w:r w:rsidRPr="00C421E4">
        <w:rPr>
          <w:rFonts w:ascii="Times" w:hAnsi="Times"/>
          <w:noProof/>
        </w:rPr>
        <w:t>(Abercrombie, Chambers, Greischar, &amp; Monticelli, 2008)</w:t>
      </w:r>
      <w:r w:rsidRPr="00C421E4">
        <w:rPr>
          <w:rFonts w:ascii="Times" w:hAnsi="Times"/>
        </w:rPr>
        <w:fldChar w:fldCharType="end"/>
      </w:r>
      <w:r w:rsidRPr="00C421E4">
        <w:rPr>
          <w:rFonts w:ascii="Times" w:hAnsi="Times"/>
        </w:rPr>
        <w:t xml:space="preserve">. Therefore, a positive number represents deceleration.  </w:t>
      </w:r>
    </w:p>
    <w:p w14:paraId="443292E3" w14:textId="77777777" w:rsidR="00F7044C" w:rsidRPr="00C421E4" w:rsidRDefault="00F7044C" w:rsidP="00F7044C">
      <w:pPr>
        <w:spacing w:line="480" w:lineRule="auto"/>
        <w:rPr>
          <w:rFonts w:ascii="Times" w:hAnsi="Times"/>
        </w:rPr>
      </w:pPr>
    </w:p>
    <w:p w14:paraId="6339F291" w14:textId="77777777" w:rsidR="00F7044C" w:rsidRPr="00C421E4" w:rsidRDefault="00F7044C" w:rsidP="00F7044C">
      <w:pPr>
        <w:spacing w:line="480" w:lineRule="auto"/>
        <w:rPr>
          <w:rFonts w:ascii="Times" w:hAnsi="Times"/>
        </w:rPr>
      </w:pPr>
      <w:r w:rsidRPr="00C421E4">
        <w:rPr>
          <w:rFonts w:ascii="Times" w:hAnsi="Times"/>
        </w:rPr>
        <w:t xml:space="preserve">Facial EMG was recorded using the EMG100C Electromyogram Amplifier. Two MEC110C cables with BIOPAC EL254S Ag-AgCl 4-mm TP shielded recording electrodes were attached to the amplifier. Electrodes were filled with CG04 Saline Base Signa Gel, and electrodes were placed on the Corrugator and Zygomaticus muscles </w:t>
      </w:r>
      <w:r w:rsidRPr="00C421E4">
        <w:rPr>
          <w:rFonts w:ascii="Times" w:hAnsi="Times"/>
        </w:rPr>
        <w:fldChar w:fldCharType="begin" w:fldLock="1"/>
      </w:r>
      <w:r w:rsidRPr="00C421E4">
        <w:rPr>
          <w:rFonts w:ascii="Times" w:hAnsi="Times"/>
        </w:rPr>
        <w:instrText xml:space="preserve"> ADDIN ZOTERO_ITEM CSL_CITATION {"citationID":"zgkagHJf","properties":{"formattedCitation":"(Fridlund &amp; Cacioppo, 1986)","plainCitation":"(Fridlund &amp; Cacioppo, 1986)"},"citationItems":[{"id":"ITEM-1","uris":["http://www.mendeley.com/documents/?uuid=063c5519-e951-4819-9646-a9b839f3c6cc"],"uri":["http://www.mendeley.com/documents/?uuid=063c5519-e951-4819-9646-a9b839f3c6cc"],"itemData":{"DOI":"10.1111/j.1469-8986.1986.tb00676.x","ISBN":"0048-5772\\r1469-8986","ISSN":"1469-8986","PMID":"3809364","abstract":"Guidelines are proposed for the collection, analysis, and description of electromyographic (EMG) data. The guidelines cover technological issues in EMG recording, social aspects of EMG experimentation, and limits to inferences that can be drawn in EMG research. An atlas is proposed for facial EMG electrode placements, and standard EMG terminology is suggested.","author":[{"dropping-particle":"","family":"Fridlund","given":"Alan J.","non-dropping-particle":"","parse-names":false,"suffix":""},{"dropping-particle":"","family":"Cacioppo","given":"John T.","non-dropping-particle":"","parse-names":false,"suffix":""}],"container-title":"Psychophysiology","id":"ITEM-1","issue":"5","issued":{"date-parts":[["1986"]]},"page":"567–589","title":"Guidelines for Human Electromyographic Research","type":"article-journal","volume":"23"}}],"schema":"https://github.com/citation-style-language/schema/raw/master/csl-citation.json"} </w:instrText>
      </w:r>
      <w:r w:rsidRPr="00C421E4">
        <w:rPr>
          <w:rFonts w:ascii="Times" w:hAnsi="Times"/>
        </w:rPr>
        <w:fldChar w:fldCharType="separate"/>
      </w:r>
      <w:r w:rsidRPr="00C421E4">
        <w:rPr>
          <w:rFonts w:ascii="Times" w:hAnsi="Times"/>
          <w:noProof/>
        </w:rPr>
        <w:t>(Fridlund &amp; Cacioppo, 1986)</w:t>
      </w:r>
      <w:r w:rsidRPr="00C421E4">
        <w:rPr>
          <w:rFonts w:ascii="Times" w:hAnsi="Times"/>
        </w:rPr>
        <w:fldChar w:fldCharType="end"/>
      </w:r>
      <w:r w:rsidRPr="00C421E4">
        <w:rPr>
          <w:rFonts w:ascii="Times" w:hAnsi="Times"/>
        </w:rPr>
        <w:t xml:space="preserve">. EMG tone was calculated based on methods established in previous work </w:t>
      </w:r>
      <w:r w:rsidRPr="00C421E4">
        <w:rPr>
          <w:rFonts w:ascii="Times" w:hAnsi="Times"/>
        </w:rPr>
        <w:fldChar w:fldCharType="begin" w:fldLock="1"/>
      </w:r>
      <w:r w:rsidRPr="00C421E4">
        <w:rPr>
          <w:rFonts w:ascii="Times" w:hAnsi="Times"/>
        </w:rPr>
        <w:instrText xml:space="preserve"> ADDIN ZOTERO_ITEM CSL_CITATION {"citationID":"nPEWBU4d","properties":{"formattedCitation":"(Pace-Schott et al., 2011)","plainCitation":"(Pace-Schott et al., 2011)"},"citationItems":[{"id":"ITEM-1","uris":["http://www.mendeley.com/documents/?uuid=5c65e9a3-bbfe-475c-bac5-16e01a0d656a"],"uri":["http://www.mendeley.com/documents/?uuid=5c65e9a3-bbfe-475c-bac5-16e01a0d656a"],"itemData":{"DOI":"10.1016/j.nlm.2010.10.006","ISBN":"1074-7427","ISSN":"10747427","PMID":"20969968","abstract":"The effects of a daytime nap on inter-session habituation to aversive visual stimuli were investigated. Healthy young adult volunteers viewed repeated presentations of highly negative and emotionally neutral (but equally arousing) International Affective Picture System (IAPS) photographs during two afternoon sessions separated by 2.5. h. Half of the photographs were shown at both sessions (Repeated Sets) and half differed between sessions (Novel Sets). For each stimulus presentation, evoked skin conductance response (SCR), heart-rate deceleration (HRD) and corrugator supercilii EMG response (EMG), were computed and range corrected using respective maximum session-1 responses. Following each presentation, subjects rated each photograph on dimensions of pleasantness and arousability. During the inter-session interval, Nap subjects had a 120-min polysomnographically monitored sleep opportunity, whereas Wake subjects watched a non-stimulating video. Nap and Wake subjects did not differ in their subjective ratings of photographs. However, for Repeated-Set photographs, Nap subjects demonstrated greater inter-session habituation in SCR and EMG but a trend toward lesser inter-session habituation in HRD. These group differences were absent for Novel-Set photographs. Group differences across all measures were greater for negative stimuli. Occurrence of SWS during the nap was associated with greater inter-session habituation of EMG whereas occurrence of REM was associated with lesser inter-session habituation of SCR to negative stimuli. Sleep may therefore promote emotional adjustment at the level of somatic responses. Physiological but not subjective inter-session habituation to aversive images was enhanced by a daytime nap. ?? 2010 Elsevier Inc.","author":[{"dropping-particle":"","family":"Pace-Schott","given":"Edward F.","non-dropping-particle":"","parse-names":false,"suffix":""},{"dropping-particle":"","family":"Shepherd","given":"Elizabeth","non-dropping-particle":"","parse-names":false,"suffix":""},{"dropping-particle":"","family":"Spencer","given":"Rebecca M C","non-dropping-particle":"","parse-names":false,"suffix":""},{"dropping-particle":"","family":"Marcello","given":"Matthew","non-dropping-particle":"","parse-names":false,"suffix":""},{"dropping-particle":"","family":"Tucker","given":"Matthew","non-dropping-particle":"","parse-names":false,"suffix":""},{"dropping-particle":"","family":"Propper","given":"Ruth E.","non-dropping-particle":"","parse-names":false,"suffix":""},{"dropping-particle":"","family":"Stickgold","given":"Robert","non-dropping-particle":"","parse-names":false,"suffix":""}],"container-title":"Neurobiology of Learning and Memory","id":"ITEM-1","issue":"1","issued":{"date-parts":[["2011","1"]]},"language":"eng","page":"24-36","publisher-place":"United States","title":"Napping promotes inter-session habituation to emotional stimuli.","type":"article-journal","volume":"95"}}],"schema":"https://github.com/citation-style-language/schema/raw/master/csl-citation.json"} </w:instrText>
      </w:r>
      <w:r w:rsidRPr="00C421E4">
        <w:rPr>
          <w:rFonts w:ascii="Times" w:hAnsi="Times"/>
        </w:rPr>
        <w:fldChar w:fldCharType="separate"/>
      </w:r>
      <w:r w:rsidRPr="00C421E4">
        <w:rPr>
          <w:rFonts w:ascii="Times" w:hAnsi="Times"/>
          <w:noProof/>
        </w:rPr>
        <w:t>(Pace-Schott et al., 2011)</w:t>
      </w:r>
      <w:r w:rsidRPr="00C421E4">
        <w:rPr>
          <w:rFonts w:ascii="Times" w:hAnsi="Times"/>
        </w:rPr>
        <w:fldChar w:fldCharType="end"/>
      </w:r>
      <w:r w:rsidRPr="00C421E4">
        <w:rPr>
          <w:rFonts w:ascii="Times" w:hAnsi="Times"/>
        </w:rPr>
        <w:t xml:space="preserve">. EMG muscle tone was integrated over a 250 ms time constant. EMG response to each stimulus was calculated by subtracting the mean signal amplitude in the 4 seconds following stimulus presentation from the 1 second preceding stimulus presentation. </w:t>
      </w:r>
    </w:p>
    <w:p w14:paraId="411B984A" w14:textId="77777777" w:rsidR="00F7044C" w:rsidRPr="00C421E4" w:rsidRDefault="00F7044C" w:rsidP="00F7044C">
      <w:pPr>
        <w:spacing w:line="480" w:lineRule="auto"/>
        <w:rPr>
          <w:rFonts w:ascii="Times" w:hAnsi="Times"/>
        </w:rPr>
      </w:pPr>
    </w:p>
    <w:p w14:paraId="5AAE3323" w14:textId="77777777" w:rsidR="00F7044C" w:rsidRPr="00C421E4" w:rsidRDefault="00F7044C" w:rsidP="00F7044C">
      <w:pPr>
        <w:spacing w:line="480" w:lineRule="auto"/>
        <w:rPr>
          <w:rFonts w:ascii="Times" w:hAnsi="Times"/>
        </w:rPr>
      </w:pPr>
      <w:r w:rsidRPr="00C421E4">
        <w:rPr>
          <w:rFonts w:ascii="Times" w:hAnsi="Times"/>
        </w:rPr>
        <w:t xml:space="preserve">Skin conductance was measured with two disposable BIOPAC EL507 adhesive sensors on the hypothenar surface of the non-dominant hand (10mm apart). ACQ, built-in BIOPAC software, will be used for SC analyses. As in previous work </w:t>
      </w:r>
      <w:r w:rsidRPr="00C421E4">
        <w:rPr>
          <w:rFonts w:ascii="Times" w:hAnsi="Times"/>
        </w:rPr>
        <w:fldChar w:fldCharType="begin" w:fldLock="1"/>
      </w:r>
      <w:r w:rsidRPr="00C421E4">
        <w:rPr>
          <w:rFonts w:ascii="Times" w:hAnsi="Times"/>
        </w:rPr>
        <w:instrText xml:space="preserve"> ADDIN ZOTERO_ITEM CSL_CITATION {"citationID":"Lp3o5al4","properties":{"formattedCitation":"(Cunningham et al., 2014)","plainCitation":"(Cunningham et al., 2014)"},"citationItems":[{"id":"ITEM-1","uris":["http://www.mendeley.com/documents/?uuid=7ffb4d97-37f1-4851-9414-3df6a2c8df90"],"uri":["http://www.mendeley.com/documents/?uuid=7ffb4d97-37f1-4851-9414-3df6a2c8df90"],"itemData":{"DOI":"10.1016/j.nlm.2014.06.002","ISBN":"1074-7427","ISSN":"10959564","PMID":"24952130","abstract":"While sleep's role in emotional memory processing is gaining increasing support, its effect on emotion regulation remains equivocal. Moreover, little is known about the link between emotional reactivity at the time of encoding and subsequent sleep-based emotional memory consolidation. This study examined whether sleep would potentiate, protect, or depotentiate measures of heart rate and skin conductance in response to scenes containing emotional and neutral objects, and assessed how these measures of reactivity would predict subsequent memory for the objects across delays of sleep and wake. Heart rate deceleration (HRD) and skin conductance response (SCR) data were collected at encoding and recognition. Although HRD and SCR reactivity to objects were depotentiated after a sleep-filled delay, they remained unchanged after a delay containing wakefulness. Moreover, increased arousal responses to negative scenes at encoding as measured by HRD and SCR responses were positively correlated with subsequent memory for the negative objects of scenes, but only in the sleep group. This suggests that larger reactions to negative images at the time of encoding set the stage for the preferential consolidation of these images during a night of sleep. Although arousal responses are often thought to account for emotional enhancement in long-term memory, these findings suggest that both an arousal response at encoding and a subsequent period of sleep are needed to optimize selective emotional memory consolidation. ?? 2014 Elsevier Inc.","author":[{"dropping-particle":"","family":"Cunningham","given":"Tony J.","non-dropping-particle":"","parse-names":false,"suffix":""},{"dropping-particle":"","family":"Crowell","given":"Charles R.","non-dropping-particle":"","parse-names":false,"suffix":""},{"dropping-particle":"","family":"Alger","given":"Sara E.","non-dropping-particle":"","parse-names":false,"suffix":""},{"dropping-particle":"","family":"Kensinger","given":"Elizabeth A.","non-dropping-particle":"","parse-names":false,"suffix":""},{"dropping-particle":"","family":"Villano","given":"Michael A.","non-dropping-particle":"","parse-names":false,"suffix":""},{"dropping-particle":"","family":"Mattingly","given":"Stephen M.","non-dropping-particle":"","parse-names":false,"suffix":""},{"dropping-particle":"","family":"Payne","given":"Jessica D.","non-dropping-particle":"","parse-names":false,"suffix":""}],"container-title":"Neurobiology of Learning and Memory","id":"ITEM-1","issued":{"date-parts":[["2014"]]},"page":"155-164","title":"Psychophysiological arousal at encoding leads to reduced reactivity but enhanced emotional memory following sleep","type":"article-journal","volume":"114"}}],"schema":"https://github.com/citation-style-language/schema/raw/master/csl-citation.json"} </w:instrText>
      </w:r>
      <w:r w:rsidRPr="00C421E4">
        <w:rPr>
          <w:rFonts w:ascii="Times" w:hAnsi="Times"/>
        </w:rPr>
        <w:fldChar w:fldCharType="separate"/>
      </w:r>
      <w:r w:rsidRPr="00C421E4">
        <w:rPr>
          <w:rFonts w:ascii="Times" w:hAnsi="Times"/>
          <w:noProof/>
        </w:rPr>
        <w:t>(Cunningham et al., 2014)</w:t>
      </w:r>
      <w:r w:rsidRPr="00C421E4">
        <w:rPr>
          <w:rFonts w:ascii="Times" w:hAnsi="Times"/>
        </w:rPr>
        <w:fldChar w:fldCharType="end"/>
      </w:r>
      <w:r w:rsidRPr="00C421E4">
        <w:rPr>
          <w:rFonts w:ascii="Times" w:hAnsi="Times"/>
        </w:rPr>
        <w:t xml:space="preserve">, tonic SC was filtered through a 0.05 Hz high pass filter to create phasic waveforms. ACQ algorithms detected a change in electrical conductance (P0.02 microSiemens; </w:t>
      </w:r>
      <w:r w:rsidRPr="00C421E4">
        <w:rPr>
          <w:rFonts w:ascii="Times" w:hAnsi="Times"/>
        </w:rPr>
        <w:fldChar w:fldCharType="begin" w:fldLock="1"/>
      </w:r>
      <w:r w:rsidRPr="00C421E4">
        <w:rPr>
          <w:rFonts w:ascii="Times" w:hAnsi="Times"/>
        </w:rPr>
        <w:instrText xml:space="preserve"> ADDIN ZOTERO_ITEM CSL_CITATION {"citationID":"U0CcvJyC","properties":{"formattedCitation":"(M. Dawson, Schell, &amp; Filion, 2000)","plainCitation":"(M. Dawson, Schell, &amp; Filion, 2000)"},"citationItems":[{"id":"ITEM-1","uris":["http://www.mendeley.com/documents/?uuid=3b8f7619-7512-4c08-a789-db7a2607e073"],"uri":["http://www.mendeley.com/documents/?uuid=3b8f7619-7512-4c08-a789-db7a2607e073"],"itemData":{"ISBN":"052162634X","abstract":"Cacioppo, J. T., Tassinary, L. G., &amp; Berntson, G. G. (2000). Handbook of psychophysiology. (J. T. Cacioppo, L. G. Tassinary, &amp; G. Berntson, Eds.)Handbook of Psychophysiology (Vol. 3, p. 1039). Cambridge University Press.","author":[{"dropping-particle":"","family":"Dawson","given":"Michael","non-dropping-particle":"","parse-names":false,"suffix":""},{"dropping-particle":"","family":"Schell","given":"Anne","non-dropping-particle":"","parse-names":false,"suffix":""},{"dropping-particle":"","family":"Filion","given":"Diane","non-dropping-particle":"","parse-names":false,"suffix":""}],"container-title":"Handbook of Psychophysiology","id":"ITEM-1","issued":{"date-parts":[["2000"]]},"page":"200-223","title":"The Electrodermal System","type":"chapter"}}],"schema":"https://github.com/citation-style-language/schema/raw/master/csl-citation.json"} </w:instrText>
      </w:r>
      <w:r w:rsidRPr="00C421E4">
        <w:rPr>
          <w:rFonts w:ascii="Times" w:hAnsi="Times"/>
        </w:rPr>
        <w:fldChar w:fldCharType="separate"/>
      </w:r>
      <w:r w:rsidRPr="00C421E4">
        <w:rPr>
          <w:rFonts w:ascii="Times" w:hAnsi="Times"/>
          <w:noProof/>
        </w:rPr>
        <w:t>(Dawson, Schell, &amp; Filion, 2000)</w:t>
      </w:r>
      <w:r w:rsidRPr="00C421E4">
        <w:rPr>
          <w:rFonts w:ascii="Times" w:hAnsi="Times"/>
        </w:rPr>
        <w:fldChar w:fldCharType="end"/>
      </w:r>
      <w:r w:rsidRPr="00C421E4">
        <w:rPr>
          <w:rFonts w:ascii="Times" w:hAnsi="Times"/>
        </w:rPr>
        <w:t xml:space="preserve"> within 4s of stimulus presentation. The maximal SC after stimulus presentation will be used for analysis. Skin conductance maximum from the 4 seconds after stimulus onset was subtracted from tonic skin conductance prior to stimulus onset to determine how the stimulus affected autonomic arousal </w:t>
      </w:r>
      <w:r w:rsidRPr="00C421E4">
        <w:rPr>
          <w:rFonts w:ascii="Times" w:hAnsi="Times"/>
        </w:rPr>
        <w:fldChar w:fldCharType="begin" w:fldLock="1"/>
      </w:r>
      <w:r w:rsidRPr="00C421E4">
        <w:rPr>
          <w:rFonts w:ascii="Times" w:hAnsi="Times"/>
        </w:rPr>
        <w:instrText xml:space="preserve"> ADDIN ZOTERO_ITEM CSL_CITATION {"citationID":"W4rD1Ghe","properties":{"formattedCitation":"(Cunningham et al., 2014)","plainCitation":"(Cunningham et al., 2014)"},"citationItems":[{"id":"ITEM-1","uris":["http://www.mendeley.com/documents/?uuid=7ffb4d97-37f1-4851-9414-3df6a2c8df90"],"uri":["http://www.mendeley.com/documents/?uuid=7ffb4d97-37f1-4851-9414-3df6a2c8df90"],"itemData":{"DOI":"10.1016/j.nlm.2014.06.002","ISBN":"1074-7427","ISSN":"10959564","PMID":"24952130","abstract":"While sleep's role in emotional memory processing is gaining increasing support, its effect on emotion regulation remains equivocal. Moreover, little is known about the link between emotional reactivity at the time of encoding and subsequent sleep-based emotional memory consolidation. This study examined whether sleep would potentiate, protect, or depotentiate measures of heart rate and skin conductance in response to scenes containing emotional and neutral objects, and assessed how these measures of reactivity would predict subsequent memory for the objects across delays of sleep and wake. Heart rate deceleration (HRD) and skin conductance response (SCR) data were collected at encoding and recognition. Although HRD and SCR reactivity to objects were depotentiated after a sleep-filled delay, they remained unchanged after a delay containing wakefulness. Moreover, increased arousal responses to negative scenes at encoding as measured by HRD and SCR responses were positively correlated with subsequent memory for the negative objects of scenes, but only in the sleep group. This suggests that larger reactions to negative images at the time of encoding set the stage for the preferential consolidation of these images during a night of sleep. Although arousal responses are often thought to account for emotional enhancement in long-term memory, these findings suggest that both an arousal response at encoding and a subsequent period of sleep are needed to optimize selective emotional memory consolidation. ?? 2014 Elsevier Inc.","author":[{"dropping-particle":"","family":"Cunningham","given":"Tony J.","non-dropping-particle":"","parse-names":false,"suffix":""},{"dropping-particle":"","family":"Crowell","given":"Charles R.","non-dropping-particle":"","parse-names":false,"suffix":""},{"dropping-particle":"","family":"Alger","given":"Sara E.","non-dropping-particle":"","parse-names":false,"suffix":""},{"dropping-particle":"","family":"Kensinger","given":"Elizabeth A.","non-dropping-particle":"","parse-names":false,"suffix":""},{"dropping-particle":"","family":"Villano","given":"Michael A.","non-dropping-particle":"","parse-names":false,"suffix":""},{"dropping-particle":"","family":"Mattingly","given":"Stephen M.","non-dropping-particle":"","parse-names":false,"suffix":""},{"dropping-particle":"","family":"Payne","given":"Jessica D.","non-dropping-particle":"","parse-names":false,"suffix":""}],"container-title":"Neurobiology of Learning and Memory","id":"ITEM-1","issued":{"date-parts":[["2014"]]},"page":"155-164","title":"Psychophysiological arousal at encoding leads to reduced reactivity but enhanced emotional memory following sleep","type":"article-journal","volume":"114"}}],"schema":"https://github.com/citation-style-language/schema/raw/master/csl-citation.json"} </w:instrText>
      </w:r>
      <w:r w:rsidRPr="00C421E4">
        <w:rPr>
          <w:rFonts w:ascii="Times" w:hAnsi="Times"/>
        </w:rPr>
        <w:fldChar w:fldCharType="separate"/>
      </w:r>
      <w:r w:rsidRPr="00C421E4">
        <w:rPr>
          <w:rFonts w:ascii="Times" w:hAnsi="Times"/>
          <w:noProof/>
        </w:rPr>
        <w:t>(Cunningham et al., 2014)</w:t>
      </w:r>
      <w:r w:rsidRPr="00C421E4">
        <w:rPr>
          <w:rFonts w:ascii="Times" w:hAnsi="Times"/>
        </w:rPr>
        <w:fldChar w:fldCharType="end"/>
      </w:r>
      <w:r w:rsidRPr="00C421E4">
        <w:rPr>
          <w:rFonts w:ascii="Times" w:hAnsi="Times"/>
        </w:rPr>
        <w:t xml:space="preserve">. </w:t>
      </w:r>
    </w:p>
    <w:p w14:paraId="67ECA0E7" w14:textId="77777777" w:rsidR="00F7044C" w:rsidRPr="00C421E4" w:rsidRDefault="00F7044C" w:rsidP="00F7044C">
      <w:pPr>
        <w:spacing w:line="480" w:lineRule="auto"/>
        <w:rPr>
          <w:rFonts w:ascii="Times" w:hAnsi="Times"/>
        </w:rPr>
      </w:pPr>
    </w:p>
    <w:p w14:paraId="7BE599ED" w14:textId="77777777" w:rsidR="00F7044C" w:rsidRPr="00C421E4" w:rsidRDefault="00F7044C" w:rsidP="00F7044C">
      <w:pPr>
        <w:spacing w:line="480" w:lineRule="auto"/>
        <w:rPr>
          <w:rFonts w:ascii="Times" w:hAnsi="Times"/>
        </w:rPr>
      </w:pPr>
      <w:r w:rsidRPr="00C421E4">
        <w:rPr>
          <w:rFonts w:ascii="Times" w:hAnsi="Times"/>
        </w:rPr>
        <w:t xml:space="preserve">Physiological measures were recorded using the MP150 BIOPAC data acquisition unit (BIOPAC Systems, Inc., Goleta, CA) and its AcqKnowledge analysis software with data acquisition performed on a Macintosh. SuperLab 4-triggered square pulse outputs coincided with each stimulus presentation and were transmitted directly to the MP150 using a BIOPAC STP100 optical interface. Square pulse signals acquired synchronously with ongoing recording allowed precise alignment of each stimulus onset with physiological data. Sampling rate was 2000 Hz. </w:t>
      </w:r>
    </w:p>
    <w:p w14:paraId="324F1B66" w14:textId="77777777" w:rsidR="00F7044C" w:rsidRPr="00C421E4" w:rsidRDefault="00F7044C" w:rsidP="00F7044C">
      <w:pPr>
        <w:spacing w:line="480" w:lineRule="auto"/>
        <w:rPr>
          <w:rFonts w:ascii="Times" w:hAnsi="Times"/>
        </w:rPr>
      </w:pPr>
    </w:p>
    <w:p w14:paraId="1FDAED1A" w14:textId="77777777" w:rsidR="00F7044C" w:rsidRPr="00121144" w:rsidRDefault="00F7044C" w:rsidP="00F7044C">
      <w:pPr>
        <w:spacing w:line="480" w:lineRule="auto"/>
        <w:jc w:val="center"/>
        <w:outlineLvl w:val="0"/>
        <w:rPr>
          <w:rFonts w:ascii="Times" w:hAnsi="Times"/>
          <w:b/>
        </w:rPr>
      </w:pPr>
      <w:r>
        <w:rPr>
          <w:rFonts w:ascii="Times" w:hAnsi="Times"/>
          <w:b/>
        </w:rPr>
        <w:t xml:space="preserve">6. </w:t>
      </w:r>
      <w:r w:rsidRPr="00121144">
        <w:rPr>
          <w:rFonts w:ascii="Times" w:hAnsi="Times"/>
          <w:b/>
        </w:rPr>
        <w:t>Subjective Measures of Mood</w:t>
      </w:r>
    </w:p>
    <w:p w14:paraId="2CC6B824" w14:textId="77777777" w:rsidR="00F7044C" w:rsidRPr="00C421E4" w:rsidRDefault="00F7044C" w:rsidP="00F7044C">
      <w:pPr>
        <w:spacing w:line="480" w:lineRule="auto"/>
        <w:rPr>
          <w:rFonts w:ascii="Times" w:hAnsi="Times"/>
        </w:rPr>
      </w:pPr>
      <w:r w:rsidRPr="00C421E4">
        <w:rPr>
          <w:rFonts w:ascii="Times" w:hAnsi="Times"/>
        </w:rPr>
        <w:t xml:space="preserve">Participants rated their mood on 2 scales (positive mood and negative mood) before exposure to the first set of images and after each subsequent exposure set, resulting in 6 </w:t>
      </w:r>
      <w:r w:rsidRPr="00C421E4">
        <w:rPr>
          <w:rFonts w:ascii="Times" w:hAnsi="Times"/>
        </w:rPr>
        <w:lastRenderedPageBreak/>
        <w:t xml:space="preserve">total ratings for each emotion stimulus set. Participants rated their current negative and positive mood on a 1-9 scale (1= low; 9 = high). </w:t>
      </w:r>
    </w:p>
    <w:p w14:paraId="5E9311AC" w14:textId="77777777" w:rsidR="00F7044C" w:rsidRPr="00C421E4" w:rsidRDefault="00F7044C" w:rsidP="00F7044C">
      <w:pPr>
        <w:spacing w:line="480" w:lineRule="auto"/>
        <w:rPr>
          <w:rFonts w:ascii="Times" w:hAnsi="Times"/>
          <w:bCs/>
        </w:rPr>
      </w:pPr>
    </w:p>
    <w:p w14:paraId="4B19D018" w14:textId="77777777" w:rsidR="00F7044C" w:rsidRPr="00121144" w:rsidRDefault="00F7044C" w:rsidP="00F7044C">
      <w:pPr>
        <w:spacing w:line="480" w:lineRule="auto"/>
        <w:jc w:val="center"/>
        <w:outlineLvl w:val="0"/>
        <w:rPr>
          <w:rFonts w:ascii="Times" w:hAnsi="Times"/>
          <w:b/>
          <w:bCs/>
        </w:rPr>
      </w:pPr>
      <w:r>
        <w:rPr>
          <w:rFonts w:ascii="Times" w:hAnsi="Times"/>
          <w:b/>
          <w:bCs/>
        </w:rPr>
        <w:t xml:space="preserve">7. </w:t>
      </w:r>
      <w:r w:rsidRPr="00121144">
        <w:rPr>
          <w:rFonts w:ascii="Times" w:hAnsi="Times"/>
          <w:b/>
          <w:bCs/>
        </w:rPr>
        <w:t>Statistical Analyses</w:t>
      </w:r>
    </w:p>
    <w:p w14:paraId="3851160A" w14:textId="77777777" w:rsidR="00F7044C" w:rsidRPr="00C421E4" w:rsidRDefault="00F7044C" w:rsidP="00F7044C">
      <w:pPr>
        <w:spacing w:line="480" w:lineRule="auto"/>
        <w:rPr>
          <w:rFonts w:ascii="Times" w:hAnsi="Times"/>
          <w:bCs/>
        </w:rPr>
      </w:pPr>
      <w:r w:rsidRPr="00C421E4">
        <w:rPr>
          <w:rFonts w:ascii="Times" w:hAnsi="Times"/>
          <w:bCs/>
        </w:rPr>
        <w:t xml:space="preserve">Analyses were performed on SPSS 23 software (Armonk, NY). Results are reported as significant if </w:t>
      </w:r>
      <w:r w:rsidRPr="00C421E4">
        <w:rPr>
          <w:rFonts w:ascii="Times" w:hAnsi="Times"/>
          <w:bCs/>
          <w:i/>
        </w:rPr>
        <w:t>p</w:t>
      </w:r>
      <w:r w:rsidRPr="00C421E4">
        <w:rPr>
          <w:rFonts w:ascii="Times" w:hAnsi="Times"/>
          <w:bCs/>
        </w:rPr>
        <w:t xml:space="preserve"> &lt; .01. Effect sizes for statistically significant ANCOVA tests are reported as partial-eta squared (</w:t>
      </w:r>
      <w:r w:rsidRPr="00C421E4">
        <w:rPr>
          <w:rFonts w:ascii="Times" w:hAnsi="Times"/>
        </w:rPr>
        <w:sym w:font="Symbol" w:char="F068"/>
      </w:r>
      <w:r w:rsidRPr="00C421E4">
        <w:rPr>
          <w:rFonts w:ascii="Times" w:hAnsi="Times"/>
        </w:rPr>
        <w:t xml:space="preserve">). Effect sizes for regression tests (B) are reported in each respective regression table. When comparing subsamples, rather than reporting </w:t>
      </w:r>
      <w:r w:rsidRPr="00C421E4">
        <w:rPr>
          <w:rFonts w:ascii="Times" w:hAnsi="Times"/>
          <w:i/>
        </w:rPr>
        <w:t>p</w:t>
      </w:r>
      <w:r w:rsidRPr="00C421E4">
        <w:rPr>
          <w:rFonts w:ascii="Times" w:hAnsi="Times"/>
        </w:rPr>
        <w:t xml:space="preserve">-values, Cohen’s </w:t>
      </w:r>
      <w:r w:rsidRPr="00C421E4">
        <w:rPr>
          <w:rFonts w:ascii="Times" w:hAnsi="Times"/>
          <w:i/>
        </w:rPr>
        <w:t>d</w:t>
      </w:r>
      <w:r w:rsidRPr="00C421E4">
        <w:rPr>
          <w:rFonts w:ascii="Times" w:hAnsi="Times"/>
        </w:rPr>
        <w:t xml:space="preserve"> effect sizes are reported. </w:t>
      </w:r>
    </w:p>
    <w:p w14:paraId="19C75800" w14:textId="77777777" w:rsidR="00F7044C" w:rsidRPr="00C421E4" w:rsidRDefault="00F7044C" w:rsidP="00F7044C">
      <w:pPr>
        <w:spacing w:line="480" w:lineRule="auto"/>
        <w:rPr>
          <w:rFonts w:ascii="Times" w:hAnsi="Times"/>
          <w:bCs/>
          <w:u w:val="single"/>
        </w:rPr>
      </w:pPr>
    </w:p>
    <w:p w14:paraId="0F87ADBA" w14:textId="77777777" w:rsidR="00F7044C" w:rsidRPr="00121144" w:rsidRDefault="00F7044C" w:rsidP="00F7044C">
      <w:pPr>
        <w:spacing w:line="480" w:lineRule="auto"/>
        <w:jc w:val="center"/>
        <w:rPr>
          <w:rFonts w:ascii="Times" w:hAnsi="Times"/>
          <w:b/>
          <w:bCs/>
        </w:rPr>
      </w:pPr>
      <w:r>
        <w:rPr>
          <w:rFonts w:ascii="Times" w:hAnsi="Times"/>
          <w:b/>
          <w:bCs/>
        </w:rPr>
        <w:t xml:space="preserve">8. </w:t>
      </w:r>
      <w:r w:rsidRPr="00121144">
        <w:rPr>
          <w:rFonts w:ascii="Times" w:hAnsi="Times"/>
          <w:b/>
          <w:bCs/>
        </w:rPr>
        <w:t>Preliminary Analyses</w:t>
      </w:r>
    </w:p>
    <w:p w14:paraId="6320751C" w14:textId="77777777" w:rsidR="00F7044C" w:rsidRPr="00C421E4" w:rsidRDefault="00F7044C" w:rsidP="00F7044C">
      <w:pPr>
        <w:spacing w:line="480" w:lineRule="auto"/>
        <w:rPr>
          <w:rFonts w:ascii="Times" w:hAnsi="Times"/>
          <w:bCs/>
        </w:rPr>
      </w:pPr>
      <w:r w:rsidRPr="00C421E4">
        <w:rPr>
          <w:rFonts w:ascii="Times" w:hAnsi="Times"/>
          <w:bCs/>
        </w:rPr>
        <w:t xml:space="preserve">Demographic and descriptive differences between the mTBI and non-TBI groups were assessed using independent-sample t-tests (for continuous variables) and chi-squared tests (for categorical variables). The presence of order effects was examined by comparing reactivity values and habituation slopes using independent-sample t-tests. If differences in sleep quality, circadian chronotype, executive functioning, or trauma symptoms (i.e., PTSD and dissociation) were detected, those variables were used as covariates. Gender was also used as a covariate in each analysis </w:t>
      </w:r>
      <w:r w:rsidRPr="00C421E4">
        <w:rPr>
          <w:rFonts w:ascii="Times" w:hAnsi="Times"/>
          <w:bCs/>
        </w:rPr>
        <w:fldChar w:fldCharType="begin" w:fldLock="1"/>
      </w:r>
      <w:r w:rsidRPr="00C421E4">
        <w:rPr>
          <w:rFonts w:ascii="Times" w:hAnsi="Times"/>
          <w:bCs/>
        </w:rPr>
        <w:instrText xml:space="preserve"> ADDIN ZOTERO_ITEM CSL_CITATION {"citationID":"WAbeMRRo","properties":{"formattedCitation":"(Fischer et al., 2004)","plainCitation":"(Fischer et al., 2004)"},"citationItems":[{"id":"ITEM-1","uris":["http://www.mendeley.com/documents/?uuid=46e8bfbf-dc98-4e06-8877-748e511f3420"],"uri":["http://www.mendeley.com/documents/?uuid=46e8bfbf-dc98-4e06-8877-748e511f3420"],"itemData":{"DOI":"10.1037/1528-3542.4.1.87","ISBN":"1528-3542","ISSN":"1528-3542","PMID":"15053728","abstract":"In this article, the authors report a secondary analysis on a cross-cultural dataset on gender differences in 6 emotions, collected in 37 countries all over the world. The aim was to test the universality of the gender-specific pattern found in studies with Western respondents, namely that men report more powerful emotions (e.g., anger), whereas women report more powerless emotions (e.g., sadness, fear). The authors expected the strength of these gender differences to depend on women's status and roles in their respective countries, as operationalized by the Gender Empowerment Measure (GEM; United Nations Development Programme Human Development Report 2002). Overall, the gender-specific pattern of women reporting to experience and express more powerless emotions and men more powerful emotions was replicated, and only some interactions with the GEM were found.","author":[{"dropping-particle":"","family":"Fischer","given":"Agneta H","non-dropping-particle":"","parse-names":false,"suffix":""},{"dropping-particle":"","family":"Rodriguez Mosquera","given":"Patricia M","non-dropping-particle":"","parse-names":false,"suffix":""},{"dropping-particle":"","family":"Vianen","given":"Annelies E M","non-dropping-particle":"van","parse-names":false,"suffix":""},{"dropping-particle":"","family":"Manstead","given":"Antony S R","non-dropping-particle":"","parse-names":false,"suffix":""}],"container-title":"Emotion","id":"ITEM-1","issue":"1","issued":{"date-parts":[["2004"]]},"page":"87-94","title":"Gender and culture differences in emotion.","type":"article-journal","volume":"4"}}],"schema":"https://github.com/citation-style-language/schema/raw/master/csl-citation.json"} </w:instrText>
      </w:r>
      <w:r w:rsidRPr="00C421E4">
        <w:rPr>
          <w:rFonts w:ascii="Times" w:hAnsi="Times"/>
          <w:bCs/>
        </w:rPr>
        <w:fldChar w:fldCharType="separate"/>
      </w:r>
      <w:r w:rsidRPr="00C421E4">
        <w:rPr>
          <w:rFonts w:ascii="Times" w:hAnsi="Times"/>
          <w:bCs/>
          <w:noProof/>
        </w:rPr>
        <w:t>(Fischer et al., 2004)</w:t>
      </w:r>
      <w:r w:rsidRPr="00C421E4">
        <w:rPr>
          <w:rFonts w:ascii="Times" w:hAnsi="Times"/>
          <w:bCs/>
        </w:rPr>
        <w:fldChar w:fldCharType="end"/>
      </w:r>
      <w:r w:rsidRPr="00C421E4">
        <w:rPr>
          <w:rFonts w:ascii="Times" w:hAnsi="Times"/>
          <w:bCs/>
        </w:rPr>
        <w:t xml:space="preserve">. </w:t>
      </w:r>
      <w:r w:rsidRPr="00C421E4">
        <w:rPr>
          <w:rFonts w:ascii="Times" w:hAnsi="Times"/>
        </w:rPr>
        <w:t xml:space="preserve">We planned to use time-of-day as a covariate if circadian differences were found between groups.  </w:t>
      </w:r>
    </w:p>
    <w:p w14:paraId="6F39AA61" w14:textId="77777777" w:rsidR="00F7044C" w:rsidRPr="00C421E4" w:rsidRDefault="00F7044C" w:rsidP="00F7044C">
      <w:pPr>
        <w:spacing w:line="480" w:lineRule="auto"/>
        <w:rPr>
          <w:rFonts w:ascii="Times" w:hAnsi="Times"/>
          <w:bCs/>
        </w:rPr>
      </w:pPr>
    </w:p>
    <w:p w14:paraId="124A4B12" w14:textId="77777777" w:rsidR="00F7044C" w:rsidRPr="00C421E4" w:rsidRDefault="00F7044C" w:rsidP="00F7044C">
      <w:pPr>
        <w:spacing w:line="480" w:lineRule="auto"/>
        <w:rPr>
          <w:rFonts w:ascii="Times" w:hAnsi="Times"/>
          <w:bCs/>
        </w:rPr>
      </w:pPr>
      <w:r w:rsidRPr="00C421E4">
        <w:rPr>
          <w:rFonts w:ascii="Times" w:hAnsi="Times"/>
          <w:bCs/>
        </w:rPr>
        <w:t xml:space="preserve">The relationship between self-reported reactivity and circadian rhythmicity was tested. Circadian curvature was sought using a cubic regression, which is achieved by cubing the independent variable and conducting a linear regression </w:t>
      </w:r>
      <w:r w:rsidRPr="00C421E4">
        <w:rPr>
          <w:rFonts w:ascii="Times" w:hAnsi="Times"/>
          <w:bCs/>
        </w:rPr>
        <w:fldChar w:fldCharType="begin" w:fldLock="1"/>
      </w:r>
      <w:r w:rsidRPr="00C421E4">
        <w:rPr>
          <w:rFonts w:ascii="Times" w:hAnsi="Times"/>
          <w:bCs/>
        </w:rPr>
        <w:instrText xml:space="preserve"> ADDIN ZOTERO_ITEM CSL_CITATION {"citationID":"YojZAEOZ","properties":{"formattedCitation":"(Daan &amp; Beersma, 2002; Loudon, Ihara, &amp; Menaker, 1998; Perry, Kirwan, Jessop, &amp; Hunt, 2008)","plainCitation":"(Daan &amp; Beersma, 2002; Loudon, Ihara, &amp; Menaker, 1998; Perry, Kirwan, Jessop, &amp; Hunt, 2008)"},"citationItems":[{"id":"ITEM-1","uris":["http://www.mendeley.com/documents/?uuid=e3a0382f-abd8-4a28-8aeb-67037409f69a"],"uri":["http://www.mendeley.com/documents/?uuid=e3a0382f-abd8-4a28-8aeb-67037409f69a"],"itemData":{"author":[{"dropping-particle":"","family":"Loudon","given":"A.I.","non-dropping-particle":"","parse-names":false,"suffix":""},{"dropping-particle":"","family":"Ihara","given":"N.","non-dropping-particle":"","parse-names":false,"suffix":""},{"dropping-particle":"","family":"Menaker","given":"M.","non-dropping-particle":"","parse-names":false,"suffix":""}],"container-title":"Proceedings of the Royal Society of London B: Biological Sciences","id":"ITEM-1","issue":"2395","issued":{"date-parts":[["1998"]]},"page":"517-521","title":"Effects of a circadian mutation on seasonality in Syrian hamsters (Mesocricetus auratus)","type":"article-journal","volume":"265"}},{"id":"ITEM-2","uris":["http://www.mendeley.com/documents/?uuid=78a41ee0-a65f-4963-9868-ecc8d0bb5eba"],"uri":["http://www.mendeley.com/documents/?uuid=78a41ee0-a65f-4963-9868-ecc8d0bb5eba"],"itemData":{"author":[{"dropping-particle":"","family":"Daan","given":"S.","non-dropping-particle":"","parse-names":false,"suffix":""},{"dropping-particle":"","family":"Beersma","given":"D.G.M.","non-dropping-particle":"","parse-names":false,"suffix":""}],"container-title":"Biological Rhythms","id":"ITEM-2","issued":{"date-parts":[["2002"]]},"title":"Circadian frequency and its variability","type":"article-journal","volume":"3"}},{"id":"ITEM-3","uris":["http://www.mendeley.com/documents/?uuid=2d816007-090b-47ea-a7e6-1d0d829b54bd"],"uri":["http://www.mendeley.com/documents/?uuid=2d816007-090b-47ea-a7e6-1d0d829b54bd"],"itemData":{"DOI":"10.1136/ard.2007.086561","ISBN":"1468-2060 (Electronic)\\r0003-4967 (Linking)","ISSN":"0003-4967","PMID":"18375536","abstract":"OBJECTIVE: To investigate overnight variations in absolute values and patterns of cytokines including interleukin 6 (IL6) and tumour necrosis factor alpha (TNFalpha) in rheumatoid arthritis (RA), and to relate any changes to those occurring in blood cortisol.\\n\\nMETHODS: A total of 16 people (8 female) with active RA and who had received no recent glucocorticoids were admitted overnight. Blood samples were obtained at 13 time points between 21.00 and 10.00.\\n\\nRESULTS: The geometric mean IL6 concentration rose significantly from 35 pg/ml at 22:00 to 64 pg/ml at 07:15 (repeated measures analysis of variance (ANOVA), p&lt;0.001). The geometric mean cortisol concentration rose significantly overnight from 57 ng/ml at 01:00 to 229 ng/ml at 07:15 (repeated measures ANOVA, p&lt;0.001). Neither TNFalpha nor the other cytokines measured changed significantly. Using cubic regression modelling IL6 began to rise before cortisol (range 0.01 to 4.83 h) in eight participants and after cortisol (range 1.11 to 5.14 h) in three participants. In a random coefficient model including data from all participants, the estimated mean IL6 value began to rise 3.05 h before the estimated mean cortisol value, with the IL6 peak occurring 0.70 h before the cortisol peak.\\n\\nCONCLUSION: The mean IL6 and cortisol concentrations showed a significant overnight variation. Neither TNFalpha nor the other cytokines measured changed significantly. In a random coefficient model IL6 began to rise approximately 3 h, and reached a peak about 40 min, before cortisol. These studies confirm that there are abnormalities in plasma cortisol and IL6 concentrations and dynamics. The data also link the overnight rise in IL6 to the circadian variation in symptoms.","author":[{"dropping-particle":"","family":"Perry","given":"M G","non-dropping-particle":"","parse-names":false,"suffix":""},{"dropping-particle":"","family":"Kirwan","given":"J R","non-dropping-particle":"","parse-names":false,"suffix":""},{"dropping-particle":"","family":"Jessop","given":"D S","non-dropping-particle":"","parse-names":false,"suffix":""},{"dropping-particle":"","family":"Hunt","given":"L P","non-dropping-particle":"","parse-names":false,"suffix":""}],"container-title":"Annals of the Rheumatic Diseases","id":"ITEM-3","issue":"1","issued":{"date-parts":[["2008"]]},"page":"63-68","title":"Overnight variations in cortisol, interleukin 6, tumour necrosis factor   and other cytokines in people with rheumatoid arthritis","type":"article-journal","volume":"68"}}],"schema":"https://github.com/citation-style-language/schema/raw/master/csl-citation.json"} </w:instrText>
      </w:r>
      <w:r w:rsidRPr="00C421E4">
        <w:rPr>
          <w:rFonts w:ascii="Times" w:hAnsi="Times"/>
          <w:bCs/>
        </w:rPr>
        <w:fldChar w:fldCharType="separate"/>
      </w:r>
      <w:r w:rsidRPr="00C421E4">
        <w:rPr>
          <w:rFonts w:ascii="Times" w:hAnsi="Times"/>
          <w:bCs/>
          <w:noProof/>
        </w:rPr>
        <w:t xml:space="preserve">(Daan &amp; Beersma, 2002; </w:t>
      </w:r>
      <w:r w:rsidRPr="00C421E4">
        <w:rPr>
          <w:rFonts w:ascii="Times" w:hAnsi="Times"/>
          <w:bCs/>
          <w:noProof/>
        </w:rPr>
        <w:lastRenderedPageBreak/>
        <w:t>Loudon, Ihara, &amp; Menaker, 1998; Perry, Kirwan, Jessop, &amp; Hunt, 2008)</w:t>
      </w:r>
      <w:r w:rsidRPr="00C421E4">
        <w:rPr>
          <w:rFonts w:ascii="Times" w:hAnsi="Times"/>
          <w:bCs/>
        </w:rPr>
        <w:fldChar w:fldCharType="end"/>
      </w:r>
      <w:r w:rsidRPr="00C421E4">
        <w:rPr>
          <w:rFonts w:ascii="Times" w:hAnsi="Times"/>
          <w:bCs/>
        </w:rPr>
        <w:t xml:space="preserve">. A significant cubic curve in reactivity signifies circadian variation. Although seeking between-subject circadian rhythmicity, relative to a within-person analysis, is not ideal due to increased error variance, there have been numerous investigations (using a lesser or equal sample size than in the current study) that have detected a cubic curve using this type of analysis </w:t>
      </w:r>
      <w:r w:rsidRPr="00C421E4">
        <w:rPr>
          <w:rFonts w:ascii="Times" w:hAnsi="Times"/>
          <w:bCs/>
        </w:rPr>
        <w:fldChar w:fldCharType="begin" w:fldLock="1"/>
      </w:r>
      <w:r w:rsidRPr="00C421E4">
        <w:rPr>
          <w:rFonts w:ascii="Times" w:hAnsi="Times"/>
          <w:bCs/>
        </w:rPr>
        <w:instrText xml:space="preserve"> ADDIN ZOTERO_ITEM CSL_CITATION {"citationID":"ljbnqwvd","properties":{"formattedCitation":"(Michielse et al., 2010; Miller et al., 2012; Mulder, Shek, &amp; Dietz, 2012; Ramirez et al., 2014; Terribilli et al., 2011)","plainCitation":"(Michielse et al., 2010; Miller et al., 2012; Mulder, Shek, &amp; Dietz, 2012; Ramirez et al., 2014; Terribilli et al., 2011)"},"citationItems":[{"id":"ITEM-1","uris":["http://www.mendeley.com/documents/?uuid=a2ea72fe-72c7-4385-b285-de526f9cf498"],"uri":["http://www.mendeley.com/documents/?uuid=a2ea72fe-72c7-4385-b285-de526f9cf498"],"itemData":{"DOI":"10.1073/pnas.1117943109","ISBN":"1091-6490 (Electronic)\\n0027-8424 (Linking)","ISSN":"1091-6490","PMID":"23012402","abstract":"Nerve myelination facilitates saltatory action potential conduction and exhibits spatiotemporal variation during development associated with the acquisition of behavioral and cognitive maturity. Although human cognitive development is unique, it is not known whether the ontogenetic progression of myelination in the human neocortex is evolutionarily exceptional. In this study, we quantified myelinated axon fiber length density and the expression of myelin-related proteins throughout postnatal life in the somatosensory (areas 3b/3a/1/2), motor (area 4), frontopolar (prefrontal area 10), and visual (areas 17/18) neocortex of chimpanzees (N = 20) and humans (N = 33). Our examination revealed that neocortical myelination is developmentally protracted in humans compared with chimpanzees. In chimpanzees, the density of myelinated axons increased steadily until adult-like levels were achieved at approximately the time of sexual maturity. In contrast, humans displayed slower myelination during childhood, characterized by a delayed period of maturation that extended beyond late adolescence. This comparative research contributes evidence crucial to understanding the evolution of human cognition and behavior, which arises from the unfolding of nervous system development within the context of an enriched cultural environment. Perturbations of normal developmental processes and the decreased expression of myelin-related molecules have been related to psychiatric disorders such as schizophrenia. Thus, these species differences suggest that the human-specific shift in the timing of cortical maturation during adolescence may have implications for vulnerability to certain psychiatric disorders.","author":[{"dropping-particle":"","family":"Miller","given":"Daniel J","non-dropping-particle":"","parse-names":false,"suffix":""},{"dropping-particle":"","family":"Duka","given":"Tetyana","non-dropping-particle":"","parse-names":false,"suffix":""},{"dropping-particle":"","family":"Stimpson","given":"Cheryl D","non-dropping-particle":"","parse-names":false,"suffix":""},{"dropping-particle":"","family":"Schapiro","given":"Steven J","non-dropping-particle":"","parse-names":false,"suffix":""},{"dropping-particle":"","family":"Baze","given":"Wallace B","non-dropping-particle":"","parse-names":false,"suffix":""},{"dropping-particle":"","family":"McArthur","given":"Mark J","non-dropping-particle":"","parse-names":false,"suffix":""},{"dropping-particle":"","family":"Fobbs","given":"Archibald J","non-dropping-particle":"","parse-names":false,"suffix":""},{"dropping-particle":"","family":"Sousa","given":"André M M","non-dropping-particle":"","parse-names":false,"suffix":""},{"dropping-particle":"","family":"Sestan","given":"Nenad","non-dropping-particle":"","parse-names":false,"suffix":""},{"dropping-particle":"","family":"Wildman","given":"Derek E","non-dropping-particle":"","parse-names":false,"suffix":""},{"dropping-particle":"","family":"Lipovich","given":"Leonard","non-dropping-particle":"","parse-names":false,"suffix":""},{"dropping-particle":"","family":"Kuzawa","given":"Christopher W","non-dropping-particle":"","parse-names":false,"suffix":""},{"dropping-particle":"","family":"Hof","given":"Patrick R","non-dropping-particle":"","parse-names":false,"suffix":""},{"dropping-particle":"","family":"Sherwood","given":"Chet C","non-dropping-particle":"","parse-names":false,"suffix":""}],"container-title":"Proceedings of the National Academy of Sciences of the United States of America","id":"ITEM-1","issue":"41","issued":{"date-parts":[["2012"]]},"page":"16480-5","title":"Prolonged myelination in human neocortical evolution.","type":"article-journal","volume":"109"}},{"id":"ITEM-2","uris":["http://www.mendeley.com/documents/?uuid=d2f70af3-a4eb-4210-9046-b63795447e3d"],"uri":["http://www.mendeley.com/documents/?uuid=d2f70af3-a4eb-4210-9046-b63795447e3d"],"itemData":{"author":[{"dropping-particle":"","family":"Michielse","given":"S.","non-dropping-particle":"","parse-names":false,"suffix":""},{"dropping-particle":"","family":"Coupland","given":"N.","non-dropping-particle":"","parse-names":false,"suffix":""},{"dropping-particle":"","family":"Camicioli","given":"R.","non-dropping-particle":"","parse-names":false,"suffix":""},{"dropping-particle":"","family":"Carter","given":"R.","non-dropping-particle":"","parse-names":false,"suffix":""},{"dropping-particle":"","family":"Seres","given":"P.","non-dropping-particle":"","parse-names":false,"suffix":""},{"dropping-particle":"","family":"Sabino","given":"J.","non-dropping-particle":"","parse-names":false,"suffix":""},{"dropping-particle":"","family":"Malykhin","given":"N.","non-dropping-particle":"","parse-names":false,"suffix":""}],"container-title":"NeuroImage","id":"ITEM-2","issue":"4","issued":{"date-parts":[["2010"]]},"page":"1190-1201","title":"Selective effects of aging on brain white matter microstructure: a diffusion tensor imaging tractography study","type":"article-journal","volume":"52"}},{"id":"ITEM-3","uris":["http://www.mendeley.com/documents/?uuid=2260f685-c676-4d17-b21f-62121a646d68"],"uri":["http://www.mendeley.com/documents/?uuid=2260f685-c676-4d17-b21f-62121a646d68"],"itemData":{"author":[{"dropping-particle":"","family":"Mulder","given":"F.E.","non-dropping-particle":"","parse-names":false,"suffix":""},{"dropping-particle":"","family":"Shek","given":"K.L.","non-dropping-particle":"","parse-names":false,"suffix":""},{"dropping-particle":"","family":"Dietz","given":"H.P.","non-dropping-particle":"","parse-names":false,"suffix":""}],"container-title":"Australian and New Zealand Journal of Obstetrics and Gynaecology","id":"ITEM-3","issue":"3","issued":{"date-parts":[["2012"]]},"page":"282-285","title":"What's a proper push? The Valsalva manoeuvre revisited","type":"article-journal","volume":"52"}},{"id":"ITEM-4","uris":["http://www.mendeley.com/documents/?uuid=f7f88983-6bb7-40fa-99b6-41cf38088043"],"uri":["http://www.mendeley.com/documents/?uuid=f7f88983-6bb7-40fa-99b6-41cf38088043"],"itemData":{"author":[{"dropping-particle":"","family":"Ramirez","given":"C.E.","non-dropping-particle":"","parse-names":false,"suffix":""},{"dropping-particle":"","family":"Shuey","given":"M.M.","non-dropping-particle":"","parse-names":false,"suffix":""},{"dropping-particle":"","family":"Milne","given":"G.L.","non-dropping-particle":"","parse-names":false,"suffix":""},{"dropping-particle":"","family":"Gilbert","given":"K.","non-dropping-particle":"","parse-names":false,"suffix":""},{"dropping-particle":"","family":"Hui","given":"N.","non-dropping-particle":"","parse-names":false,"suffix":""},{"dropping-particle":"","family":"Yu","given":"C.","non-dropping-particle":"","parse-names":false,"suffix":""},{"dropping-particle":"","family":"Luther","given":"J.M.","non-dropping-particle":"","parse-names":false,"suffix":""},{"dropping-particle":"","family":"Brown","given":"N.J.","non-dropping-particle":"","parse-names":false,"suffix":""}],"container-title":"Prostaglandins &amp; other lipid mediators","id":"ITEM-4","issued":{"date-parts":[["2014"]]},"page":"38-44","title":"Arg287Gln variant of EPHX2 and epoxyeicosatrienoic acids are associated with insulin sensitivity in humans","type":"article-journal","volume":"113"}},{"id":"ITEM-5","uris":["http://www.mendeley.com/documents/?uuid=c5c3bee2-d56e-41e9-ba7a-06d690b9babc"],"uri":["http://www.mendeley.com/documents/?uuid=c5c3bee2-d56e-41e9-ba7a-06d690b9babc"],"itemData":{"author":[{"dropping-particle":"","family":"Terribilli","given":"D.","non-dropping-particle":"","parse-names":false,"suffix":""},{"dropping-particle":"","family":"Schaufelberger","given":"M.S.","non-dropping-particle":"","parse-names":false,"suffix":""},{"dropping-particle":"","family":"Duran","given":"F.L.","non-dropping-particle":"","parse-names":false,"suffix":""},{"dropping-particle":"","family":"Zanetti","given":"M.V.","non-dropping-particle":"","parse-names":false,"suffix":""},{"dropping-particle":"","family":"Curiati","given":"P.K.","non-dropping-particle":"","parse-names":false,"suffix":""},{"dropping-particle":"","family":"Menezes","given":"P.R.","non-dropping-particle":"","parse-names":false,"suffix":""},{"dropping-particle":"","family":"Scazufca","given":"M.","non-dropping-particle":"","parse-names":false,"suffix":""},{"dropping-particle":"","family":"Amaro","given":"E.","non-dropping-particle":"","parse-names":false,"suffix":""},{"dropping-particle":"","family":"Leite","given":"C.C.","non-dropping-particle":"","parse-names":false,"suffix":""},{"dropping-particle":"","family":"Busatto","given":"G.F.","non-dropping-particle":"","parse-names":false,"suffix":""}],"container-title":"Neurobiology of Aging","id":"ITEM-5","issue":"2","issued":{"date-parts":[["2011"]]},"page":"354-368","title":"Age-related gray matter volume changes in the brain during non-elderly adulthood","type":"article-journal","volume":"32"}}],"schema":"https://github.com/citation-style-language/schema/raw/master/csl-citation.json"} </w:instrText>
      </w:r>
      <w:r w:rsidRPr="00C421E4">
        <w:rPr>
          <w:rFonts w:ascii="Times" w:hAnsi="Times"/>
          <w:bCs/>
        </w:rPr>
        <w:fldChar w:fldCharType="separate"/>
      </w:r>
      <w:r w:rsidRPr="00C421E4">
        <w:rPr>
          <w:rFonts w:ascii="Times" w:hAnsi="Times"/>
          <w:bCs/>
          <w:noProof/>
        </w:rPr>
        <w:t>(Michielse et al., 2010; Miller et al., 2012; Mulder, Shek, &amp; Dietz, 2012; Ramirez et al., 2014; Terribilli et al., 2011)</w:t>
      </w:r>
      <w:r w:rsidRPr="00C421E4">
        <w:rPr>
          <w:rFonts w:ascii="Times" w:hAnsi="Times"/>
          <w:bCs/>
        </w:rPr>
        <w:fldChar w:fldCharType="end"/>
      </w:r>
      <w:r w:rsidRPr="00C421E4">
        <w:rPr>
          <w:rFonts w:ascii="Times" w:hAnsi="Times"/>
          <w:bCs/>
        </w:rPr>
        <w:t xml:space="preserve">. These studies come from varying fields, suggesting a cubic regression is a widely utilized test of non-linear distributions. One study of similar design to the current work comprised 89 participants </w:t>
      </w:r>
      <w:r w:rsidRPr="00C421E4">
        <w:rPr>
          <w:rFonts w:ascii="Times" w:hAnsi="Times"/>
          <w:bCs/>
        </w:rPr>
        <w:fldChar w:fldCharType="begin" w:fldLock="1"/>
      </w:r>
      <w:r w:rsidRPr="00C421E4">
        <w:rPr>
          <w:rFonts w:ascii="Times" w:hAnsi="Times"/>
          <w:bCs/>
        </w:rPr>
        <w:instrText xml:space="preserve"> ADDIN ZOTERO_ITEM CSL_CITATION {"citationID":"P3weFXoc","properties":{"formattedCitation":"(Terribilli et al., 2011)","plainCitation":"(Terribilli et al., 2011)"},"citationItems":[{"id":"ITEM-1","uris":["http://www.mendeley.com/documents/?uuid=c5c3bee2-d56e-41e9-ba7a-06d690b9babc"],"uri":["http://www.mendeley.com/documents/?uuid=c5c3bee2-d56e-41e9-ba7a-06d690b9babc"],"itemData":{"author":[{"dropping-particle":"","family":"Terribilli","given":"D.","non-dropping-particle":"","parse-names":false,"suffix":""},{"dropping-particle":"","family":"Schaufelberger","given":"M.S.","non-dropping-particle":"","parse-names":false,"suffix":""},{"dropping-particle":"","family":"Duran","given":"F.L.","non-dropping-particle":"","parse-names":false,"suffix":""},{"dropping-particle":"","family":"Zanetti","given":"M.V.","non-dropping-particle":"","parse-names":false,"suffix":""},{"dropping-particle":"","family":"Curiati","given":"P.K.","non-dropping-particle":"","parse-names":false,"suffix":""},{"dropping-particle":"","family":"Menezes","given":"P.R.","non-dropping-particle":"","parse-names":false,"suffix":""},{"dropping-particle":"","family":"Scazufca","given":"M.","non-dropping-particle":"","parse-names":false,"suffix":""},{"dropping-particle":"","family":"Amaro","given":"E.","non-dropping-particle":"","parse-names":false,"suffix":""},{"dropping-particle":"","family":"Leite","given":"C.C.","non-dropping-particle":"","parse-names":false,"suffix":""},{"dropping-particle":"","family":"Busatto","given":"G.F.","non-dropping-particle":"","parse-names":false,"suffix":""}],"container-title":"Neurobiology of Aging","id":"ITEM-1","issue":"2","issued":{"date-parts":[["2011"]]},"page":"354-368","title":"Age-related gray matter volume changes in the brain during non-elderly adulthood","type":"article-journal","volume":"32"}}],"schema":"https://github.com/citation-style-language/schema/raw/master/csl-citation.json"} </w:instrText>
      </w:r>
      <w:r w:rsidRPr="00C421E4">
        <w:rPr>
          <w:rFonts w:ascii="Times" w:hAnsi="Times"/>
          <w:bCs/>
        </w:rPr>
        <w:fldChar w:fldCharType="separate"/>
      </w:r>
      <w:r w:rsidRPr="00C421E4">
        <w:rPr>
          <w:rFonts w:ascii="Times" w:hAnsi="Times"/>
          <w:bCs/>
          <w:noProof/>
        </w:rPr>
        <w:t>(Terribilli et al., 2011)</w:t>
      </w:r>
      <w:r w:rsidRPr="00C421E4">
        <w:rPr>
          <w:rFonts w:ascii="Times" w:hAnsi="Times"/>
          <w:bCs/>
        </w:rPr>
        <w:fldChar w:fldCharType="end"/>
      </w:r>
      <w:r w:rsidRPr="00C421E4">
        <w:rPr>
          <w:rFonts w:ascii="Times" w:hAnsi="Times"/>
          <w:bCs/>
        </w:rPr>
        <w:t>. In this previous study, the researchers initially conducted a cubic regression using the whole sample. They then split the sample in half (into males and females) and repeated the analyses to search for differing trajectories between genders. The analyses in the current study were more conservative. Specifically, we conducted a cubic regression with the whole sample with an interaction term for “Injury Group” (mTBI vs. non-TBI). There was no clear circadian rhythmicity - that is, no clear differences based on time-of-day - in reactivity, and therefore, the sample was not split by group and re-analyzed.</w:t>
      </w:r>
    </w:p>
    <w:p w14:paraId="472EA085" w14:textId="77777777" w:rsidR="00F7044C" w:rsidRPr="00C421E4" w:rsidRDefault="00F7044C" w:rsidP="00F7044C">
      <w:pPr>
        <w:spacing w:line="480" w:lineRule="auto"/>
        <w:rPr>
          <w:rFonts w:ascii="Times" w:hAnsi="Times"/>
          <w:bCs/>
        </w:rPr>
      </w:pPr>
    </w:p>
    <w:p w14:paraId="62D0E3E2" w14:textId="77777777" w:rsidR="00F7044C" w:rsidRPr="00C421E4" w:rsidRDefault="00F7044C" w:rsidP="00F7044C">
      <w:pPr>
        <w:spacing w:line="480" w:lineRule="auto"/>
        <w:rPr>
          <w:rFonts w:ascii="Times" w:hAnsi="Times"/>
        </w:rPr>
      </w:pPr>
      <w:r w:rsidRPr="008F70F1">
        <w:rPr>
          <w:rFonts w:ascii="Times" w:hAnsi="Times"/>
        </w:rPr>
        <w:t>Aim 1 Analyses: Determine habituation to repeated emotional stimuli in mTBI relative to controls.</w:t>
      </w:r>
      <w:r w:rsidRPr="00C421E4">
        <w:rPr>
          <w:rFonts w:ascii="Times" w:hAnsi="Times"/>
        </w:rPr>
        <w:t xml:space="preserve"> Both physiological and behavioral habituation were gauged using mixed-model ANOVA tests with a between-subject factor of Group (mTBI vs. non-TBI), and a within-subject factor of Exposure (image exposures 1-5). A significant main effect of Group signified an overall difference in habituation between head injury groups. A significant main effect of Exposure signified all participants had reactivity reductions (or increases) </w:t>
      </w:r>
      <w:r w:rsidRPr="00C421E4">
        <w:rPr>
          <w:rFonts w:ascii="Times" w:hAnsi="Times"/>
        </w:rPr>
        <w:lastRenderedPageBreak/>
        <w:t xml:space="preserve">over time. A significant interaction between these factors indicated mTBI and non-TBI groups differed in the pattern of Exposures over time. If an interaction occurred, post-hoc t-tests were conducted to clarify differences in slopes between the mTBI and non-TBI groups. Negative and positive images were combined into one analysis. </w:t>
      </w:r>
    </w:p>
    <w:p w14:paraId="02C33F94" w14:textId="77777777" w:rsidR="00F7044C" w:rsidRPr="00C421E4" w:rsidRDefault="00F7044C" w:rsidP="00F7044C">
      <w:pPr>
        <w:spacing w:line="480" w:lineRule="auto"/>
        <w:rPr>
          <w:rFonts w:ascii="Times" w:hAnsi="Times"/>
          <w:b/>
        </w:rPr>
      </w:pPr>
    </w:p>
    <w:p w14:paraId="176AC884" w14:textId="77777777" w:rsidR="00F7044C" w:rsidRPr="00C421E4" w:rsidRDefault="00F7044C" w:rsidP="00F7044C">
      <w:pPr>
        <w:spacing w:line="480" w:lineRule="auto"/>
        <w:rPr>
          <w:rFonts w:ascii="Times" w:hAnsi="Times"/>
        </w:rPr>
      </w:pPr>
      <w:r w:rsidRPr="008F70F1">
        <w:rPr>
          <w:rFonts w:ascii="Times" w:hAnsi="Times"/>
        </w:rPr>
        <w:t>Aim 2 Analyses: Determine differences in reactivity to emotional stimuli in mTBI relative to controls and whether reactivity is linked to circadian rhythmicity.</w:t>
      </w:r>
      <w:r w:rsidRPr="00C421E4">
        <w:rPr>
          <w:rFonts w:ascii="Times" w:hAnsi="Times"/>
        </w:rPr>
        <w:t xml:space="preserve"> </w:t>
      </w:r>
      <w:r w:rsidRPr="00C421E4">
        <w:rPr>
          <w:rFonts w:ascii="Times" w:hAnsi="Times"/>
          <w:bCs/>
        </w:rPr>
        <w:t>Analyses for reactivity (i.e., physiological and self-rated reactivity to negative and positive images, sampled during the first exposure) occurred in two phases. First, as described earlier, we sought a cubic curve in valence reactivity using a cubic regression. Circadian effects were not found, so time of testing was not used as a control variable in the subsequent analyses.</w:t>
      </w:r>
      <w:r w:rsidRPr="00C421E4">
        <w:rPr>
          <w:rFonts w:ascii="Times" w:hAnsi="Times"/>
        </w:rPr>
        <w:t xml:space="preserve"> We then </w:t>
      </w:r>
      <w:r w:rsidRPr="00C421E4">
        <w:rPr>
          <w:rFonts w:ascii="Times" w:hAnsi="Times"/>
          <w:bCs/>
        </w:rPr>
        <w:t>compared reactivity between groups using an ANCOVA with mTBI vs. non-TBI as the between-subject factor.</w:t>
      </w:r>
    </w:p>
    <w:p w14:paraId="769B28D3" w14:textId="77777777" w:rsidR="00F7044C" w:rsidRPr="00C421E4" w:rsidRDefault="00F7044C" w:rsidP="00F7044C">
      <w:pPr>
        <w:spacing w:line="480" w:lineRule="auto"/>
        <w:rPr>
          <w:rFonts w:ascii="Times" w:hAnsi="Times"/>
        </w:rPr>
      </w:pPr>
    </w:p>
    <w:p w14:paraId="397A1253" w14:textId="77777777" w:rsidR="00F7044C" w:rsidRPr="00C421E4" w:rsidRDefault="00F7044C" w:rsidP="00F7044C">
      <w:pPr>
        <w:spacing w:line="480" w:lineRule="auto"/>
        <w:rPr>
          <w:rFonts w:ascii="Times" w:hAnsi="Times"/>
        </w:rPr>
      </w:pPr>
      <w:r w:rsidRPr="008F70F1">
        <w:rPr>
          <w:rFonts w:ascii="Times" w:hAnsi="Times"/>
        </w:rPr>
        <w:t>Aim 3 Analyses: Assess whether reactivity and habituation characteristics predict mood symptomology.</w:t>
      </w:r>
      <w:r w:rsidRPr="00C421E4">
        <w:rPr>
          <w:rFonts w:ascii="Times" w:hAnsi="Times"/>
          <w:b/>
        </w:rPr>
        <w:t xml:space="preserve"> </w:t>
      </w:r>
      <w:r w:rsidRPr="00C421E4">
        <w:rPr>
          <w:rFonts w:ascii="Times" w:hAnsi="Times"/>
        </w:rPr>
        <w:t xml:space="preserve">A “habituation slope” of self-reported and physiological measures was created [as in </w:t>
      </w:r>
      <w:r w:rsidRPr="00C421E4">
        <w:rPr>
          <w:rFonts w:ascii="Times" w:hAnsi="Times"/>
        </w:rPr>
        <w:fldChar w:fldCharType="begin" w:fldLock="1"/>
      </w:r>
      <w:r w:rsidRPr="00C421E4">
        <w:rPr>
          <w:rFonts w:ascii="Times" w:hAnsi="Times"/>
        </w:rPr>
        <w:instrText xml:space="preserve"> ADDIN ZOTERO_ITEM CSL_CITATION {"citationID":"nAuryKHM","properties":{"formattedCitation":"(Leventhal, Martin, Seals, Tapia, &amp; Rehm, 2007)","plainCitation":"(Leventhal, Martin, Seals, Tapia, &amp; Rehm, 2007)"},"citationItems":[{"id":"ITEM-1","uris":["http://www.mendeley.com/documents/?uuid=3dedfc70-9416-4760-bf5c-fe56e3772842"],"uri":["http://www.mendeley.com/documents/?uuid=3dedfc70-9416-4760-bf5c-fe56e3772842"],"itemData":{"author":[{"dropping-particle":"","family":"Leventhal","given":"A. M.","non-dropping-particle":"","parse-names":false,"suffix":""},{"dropping-particle":"","family":"Martin","given":"R. L.","non-dropping-particle":"","parse-names":false,"suffix":""},{"dropping-particle":"","family":"Seals","given":"R. W.","non-dropping-particle":"","parse-names":false,"suffix":""},{"dropping-particle":"","family":"Tapia","given":"E.","non-dropping-particle":"","parse-names":false,"suffix":""},{"dropping-particle":"","family":"Rehm","given":"L. P.","non-dropping-particle":"","parse-names":false,"suffix":""}],"container-title":"Motivation and emotion","id":"ITEM-1","issue":"2","issued":{"date-parts":[["2007"]]},"page":"145-157","title":"Investigating the dynamics of affect: Psychological mechanisms of affective habituation to pleasurable stimuli","type":"article-journal","volume":"31"}}],"schema":"https://github.com/citation-style-language/schema/raw/master/csl-citation.json"} </w:instrText>
      </w:r>
      <w:r w:rsidRPr="00C421E4">
        <w:rPr>
          <w:rFonts w:ascii="Times" w:hAnsi="Times"/>
        </w:rPr>
        <w:fldChar w:fldCharType="separate"/>
      </w:r>
      <w:r w:rsidRPr="00C421E4">
        <w:rPr>
          <w:rFonts w:ascii="Times" w:hAnsi="Times"/>
          <w:noProof/>
        </w:rPr>
        <w:t>(Leventhal, Martin, Seals, Tapia, &amp; Rehm, 2007)</w:t>
      </w:r>
      <w:r w:rsidRPr="00C421E4">
        <w:rPr>
          <w:rFonts w:ascii="Times" w:hAnsi="Times"/>
        </w:rPr>
        <w:fldChar w:fldCharType="end"/>
      </w:r>
      <w:r w:rsidRPr="00C421E4">
        <w:rPr>
          <w:rFonts w:ascii="Times" w:hAnsi="Times"/>
        </w:rPr>
        <w:t xml:space="preserve">] for each individual. Both initial reactivity scores (i.e., results from the first exposure) and habituation slopes were separately regressed on BDI-II and STAI scores to determine whether responses to emotional stimuli predict depressive and anxiety symptoms. Although we did not expect group differences in these regressions (i.e., we expected reactivity and habituation to predict symptoms similarly in both groups), we conducted exploratory analyses to examine whether group differences were present. Therefore, interaction terms were </w:t>
      </w:r>
      <w:r w:rsidRPr="00C421E4">
        <w:rPr>
          <w:rFonts w:ascii="Times" w:hAnsi="Times"/>
        </w:rPr>
        <w:lastRenderedPageBreak/>
        <w:t xml:space="preserve">created by multiplying each factor by Injury Group. All three terms were included in the model (e.g., EMG tone; Injury Group; EMG tone * Injury Group), along with gender. Twenty separate models were conducted, as we have 20 predictors (positive valence, negative valence, positive arousal, negative arousal, skin conductance to positive images, skin conductance to negative images, Corrugator EMG tone, Zygomaticus EMG tone, HR to positive images, heart rate to negative images for both habituation and reactivity). In each model, we were able to determine whether there was an overall effect of one factor (e.g., habituation of arousal ratings) on mood symptomology, and also whether there was an interaction between that factor and head injury status. Given the number of analyses conducted in Aim 3, results should be considered exploratory. </w:t>
      </w:r>
    </w:p>
    <w:p w14:paraId="1B1DD4BE" w14:textId="77777777" w:rsidR="00F7044C" w:rsidRPr="00C421E4" w:rsidRDefault="00F7044C" w:rsidP="00F7044C">
      <w:pPr>
        <w:spacing w:line="480" w:lineRule="auto"/>
        <w:rPr>
          <w:rFonts w:ascii="Times" w:hAnsi="Times"/>
        </w:rPr>
      </w:pPr>
    </w:p>
    <w:p w14:paraId="627747A6" w14:textId="77777777" w:rsidR="00F7044C" w:rsidRPr="00C421E4" w:rsidRDefault="00F7044C" w:rsidP="00F7044C">
      <w:pPr>
        <w:spacing w:line="480" w:lineRule="auto"/>
        <w:rPr>
          <w:rFonts w:ascii="Times" w:hAnsi="Times"/>
        </w:rPr>
      </w:pPr>
      <w:r w:rsidRPr="00C421E4">
        <w:rPr>
          <w:rFonts w:ascii="Times" w:hAnsi="Times"/>
        </w:rPr>
        <w:t xml:space="preserve">Additionally, given the number of analyses conducted, to increase statistical stringency, we considered two approaches: (1) utilizing one-tailed statistical testing with an alpha of .05 and (2) retaining two-tailed testing while reducing alpha to .01. Both of these methods have strengths and limitations. Using one-tailed statistical testing would allow us to test for statistical significance in an expected direction. This method minimizes the detection of random effects that might occur in the unexpected direction. However, using this approach, meaningful results that occur in the unexpected direction could be missed (i.e., Type II error may occur). This statistical approach is often used when there is strong support for a hypothesis in previous work for results going in one direction. Two-tailed statistical testing on the other hand, is used in more exploratory situations. In our case, given that this work is novel, yet there is previous data on which to base our hypotheses, we chose to use two-tailed testing and to use an alpha of .01. This approach also has </w:t>
      </w:r>
      <w:r w:rsidRPr="00C421E4">
        <w:rPr>
          <w:rFonts w:ascii="Times" w:hAnsi="Times"/>
        </w:rPr>
        <w:lastRenderedPageBreak/>
        <w:t>strengths and limitations. Using an alpha of .01 (rather than .05) reduces the chances of Type I statistical error. However, it also increases the risk of Type II statistical error (false negatives). Nevertheless, despite this limitation, we chose to utilize this approach to increase statistical conservativeness of the analyses by reducing Type I error.</w:t>
      </w:r>
    </w:p>
    <w:p w14:paraId="1504A837" w14:textId="77777777" w:rsidR="00F7044C" w:rsidRPr="00C421E4" w:rsidRDefault="00F7044C" w:rsidP="00F7044C">
      <w:pPr>
        <w:spacing w:line="480" w:lineRule="auto"/>
        <w:rPr>
          <w:rFonts w:ascii="Times" w:hAnsi="Times"/>
        </w:rPr>
      </w:pPr>
    </w:p>
    <w:p w14:paraId="6EB5F196" w14:textId="77777777" w:rsidR="00F7044C" w:rsidRPr="00C421E4" w:rsidRDefault="00F7044C" w:rsidP="00F7044C">
      <w:pPr>
        <w:spacing w:line="480" w:lineRule="auto"/>
        <w:rPr>
          <w:rFonts w:ascii="Times" w:hAnsi="Times"/>
        </w:rPr>
      </w:pPr>
      <w:r w:rsidRPr="00C421E4">
        <w:rPr>
          <w:rFonts w:ascii="Times" w:hAnsi="Times"/>
        </w:rPr>
        <w:t xml:space="preserve">We conducted power analyses based effect sizes from </w:t>
      </w:r>
      <w:r w:rsidRPr="00C421E4">
        <w:rPr>
          <w:rFonts w:ascii="Times" w:hAnsi="Times"/>
          <w:b/>
        </w:rPr>
        <w:t>Study 2</w:t>
      </w:r>
      <w:r w:rsidRPr="00C421E4">
        <w:rPr>
          <w:rFonts w:ascii="Times" w:hAnsi="Times"/>
        </w:rPr>
        <w:t xml:space="preserve">. For Aim 1 (habituation), the necessary sample size was calculated using the effect size of habituation (i.e., change of valence ratings between both rating sessions) in the non-TBI group in </w:t>
      </w:r>
      <w:r w:rsidRPr="00C421E4">
        <w:rPr>
          <w:rFonts w:ascii="Times" w:hAnsi="Times"/>
          <w:b/>
        </w:rPr>
        <w:t>Study 2</w:t>
      </w:r>
      <w:r w:rsidRPr="00C421E4">
        <w:rPr>
          <w:rFonts w:ascii="Times" w:hAnsi="Times"/>
        </w:rPr>
        <w:t xml:space="preserve"> (partial eta-squared = .18). With power of .80 (with 2 groups; 4 as the F-statement numerator to include co-variates for gender and cognition), 60 participants would be needed to detect this effect. With 2 more covariates (time-of-testing, order of testing), 69 participants would be needed to detect the effect. For Aim 2 (reactivity), partial eta-square of morning group difference (i.e., the mTBI and non-TBI groups had differing valence ratings in the morning) in </w:t>
      </w:r>
      <w:r w:rsidRPr="00C421E4">
        <w:rPr>
          <w:rFonts w:ascii="Times" w:hAnsi="Times"/>
          <w:b/>
        </w:rPr>
        <w:t>Study 2</w:t>
      </w:r>
      <w:r w:rsidRPr="00C421E4">
        <w:rPr>
          <w:rFonts w:ascii="Times" w:hAnsi="Times"/>
        </w:rPr>
        <w:t xml:space="preserve"> was .087. Using a t-test, to detect this effect with 80% power, 85 participants would be needed. Adding covariates did not change the needed sample size. For Aim 3, we did not have pilot data available for an exemplar of effect size. However, to detect a medium effect for R</w:t>
      </w:r>
      <w:r w:rsidRPr="00C421E4">
        <w:rPr>
          <w:rFonts w:ascii="Times" w:hAnsi="Times"/>
          <w:vertAlign w:val="superscript"/>
        </w:rPr>
        <w:t>2</w:t>
      </w:r>
      <w:r w:rsidRPr="00C421E4">
        <w:rPr>
          <w:rFonts w:ascii="Times" w:hAnsi="Times"/>
        </w:rPr>
        <w:t xml:space="preserve"> tests (.15), at 80% power with 1 predictor, 55 participants would be needed. For analyses including Injury Group as a moderator, 3 predictors are needed (the independent variable, the moderator, the interaction term). In order to detect a medium effect size with this type of analysis, 77 participants would be needed. When including gender as a covariate (i.e., when including 4 predictors), 85 participants would be needed. Therefore, for the current analyses, we had sufficient </w:t>
      </w:r>
      <w:r w:rsidRPr="00C421E4">
        <w:rPr>
          <w:rFonts w:ascii="Times" w:hAnsi="Times"/>
        </w:rPr>
        <w:lastRenderedPageBreak/>
        <w:t xml:space="preserve">power to detect effects in this sample. However, for the circadian analyses, which focused on highly variable data, we may not have had sufficient power. </w:t>
      </w:r>
    </w:p>
    <w:p w14:paraId="5501FCC1" w14:textId="77777777" w:rsidR="00F7044C" w:rsidRPr="00C421E4" w:rsidRDefault="00F7044C" w:rsidP="00F7044C">
      <w:pPr>
        <w:spacing w:line="480" w:lineRule="auto"/>
        <w:rPr>
          <w:rFonts w:ascii="Times" w:hAnsi="Times"/>
        </w:rPr>
      </w:pPr>
    </w:p>
    <w:p w14:paraId="484A5C4B" w14:textId="77777777" w:rsidR="00F7044C" w:rsidRPr="00E30E3C" w:rsidRDefault="00F7044C" w:rsidP="00F7044C">
      <w:pPr>
        <w:spacing w:line="480" w:lineRule="auto"/>
        <w:jc w:val="center"/>
        <w:outlineLvl w:val="0"/>
        <w:rPr>
          <w:rFonts w:ascii="Times" w:hAnsi="Times"/>
          <w:b/>
          <w:u w:val="single"/>
        </w:rPr>
      </w:pPr>
      <w:r w:rsidRPr="00E30E3C">
        <w:rPr>
          <w:rFonts w:ascii="Times" w:hAnsi="Times"/>
          <w:b/>
          <w:u w:val="single"/>
        </w:rPr>
        <w:t>C. Results</w:t>
      </w:r>
    </w:p>
    <w:p w14:paraId="67C37D77" w14:textId="77777777" w:rsidR="00F7044C" w:rsidRPr="00E30E3C" w:rsidRDefault="00F7044C" w:rsidP="00F7044C">
      <w:pPr>
        <w:spacing w:line="480" w:lineRule="auto"/>
        <w:jc w:val="center"/>
        <w:outlineLvl w:val="0"/>
        <w:rPr>
          <w:rFonts w:ascii="Times" w:hAnsi="Times"/>
          <w:b/>
        </w:rPr>
      </w:pPr>
      <w:r>
        <w:rPr>
          <w:rFonts w:ascii="Times" w:hAnsi="Times"/>
          <w:b/>
        </w:rPr>
        <w:t xml:space="preserve">1. </w:t>
      </w:r>
      <w:r w:rsidRPr="00E30E3C">
        <w:rPr>
          <w:rFonts w:ascii="Times" w:hAnsi="Times"/>
          <w:b/>
        </w:rPr>
        <w:t>Preliminary Analyses</w:t>
      </w:r>
    </w:p>
    <w:p w14:paraId="51B11E5D" w14:textId="77777777" w:rsidR="00F7044C" w:rsidRPr="00C421E4" w:rsidRDefault="00F7044C" w:rsidP="00F7044C">
      <w:pPr>
        <w:spacing w:line="480" w:lineRule="auto"/>
        <w:rPr>
          <w:rFonts w:ascii="Times" w:hAnsi="Times"/>
        </w:rPr>
      </w:pPr>
      <w:r>
        <w:rPr>
          <w:rFonts w:ascii="Times" w:hAnsi="Times"/>
        </w:rPr>
        <w:t>As shown in Table 6</w:t>
      </w:r>
      <w:r w:rsidRPr="00C421E4">
        <w:rPr>
          <w:rFonts w:ascii="Times" w:hAnsi="Times"/>
        </w:rPr>
        <w:t xml:space="preserve">, there were no significant differences between mTBI and non-TBI groups for age, years of education, ethnicity, or gender. There were no differences in sleep quality (via the PSQI), or morningness-eveningness preference (via the MEQ). Finally, there were no group differences in executive functioning (via the BRIEF), PTSD symptoms, or dissociation symptoms. Therefore, none of these factors were used as covariates in subsequent analyses. Gender, however, was used as a covariate. </w:t>
      </w:r>
    </w:p>
    <w:p w14:paraId="12E6B15A" w14:textId="77777777" w:rsidR="00F7044C" w:rsidRPr="00C421E4" w:rsidRDefault="00F7044C" w:rsidP="00F7044C">
      <w:pPr>
        <w:spacing w:line="480" w:lineRule="auto"/>
        <w:rPr>
          <w:rFonts w:ascii="Times" w:hAnsi="Times"/>
        </w:rPr>
      </w:pPr>
    </w:p>
    <w:p w14:paraId="372E7BD3" w14:textId="77777777" w:rsidR="00F7044C" w:rsidRPr="00C421E4" w:rsidRDefault="00F7044C" w:rsidP="00F7044C">
      <w:pPr>
        <w:spacing w:line="480" w:lineRule="auto"/>
        <w:rPr>
          <w:rFonts w:ascii="Times" w:hAnsi="Times"/>
        </w:rPr>
      </w:pPr>
      <w:r w:rsidRPr="00C421E4">
        <w:rPr>
          <w:rFonts w:ascii="Times" w:hAnsi="Times"/>
        </w:rPr>
        <w:t>Unexpectedly, the mTBI group performed significantly better on one of the cognitive tests (Verbal Flue</w:t>
      </w:r>
      <w:r>
        <w:rPr>
          <w:rFonts w:ascii="Times" w:hAnsi="Times"/>
        </w:rPr>
        <w:t>ncy Word Pair Condition; Table 6</w:t>
      </w:r>
      <w:r w:rsidRPr="00C421E4">
        <w:rPr>
          <w:rFonts w:ascii="Times" w:hAnsi="Times"/>
        </w:rPr>
        <w:t>). Given this, we included this variable as a covariate for behavioral analyses. Although this cognitive difference emerged, cognitive measures were not correlated wi</w:t>
      </w:r>
      <w:r>
        <w:rPr>
          <w:rFonts w:ascii="Times" w:hAnsi="Times"/>
        </w:rPr>
        <w:t>th emotion measures (Table 7</w:t>
      </w:r>
      <w:r w:rsidRPr="00C421E4">
        <w:rPr>
          <w:rFonts w:ascii="Times" w:hAnsi="Times"/>
        </w:rPr>
        <w:t>). Therefore, we do not believe cognition influenced emotion, or vice versa.</w:t>
      </w:r>
    </w:p>
    <w:p w14:paraId="0D5114FD" w14:textId="77777777" w:rsidR="00F7044C" w:rsidRPr="00C421E4" w:rsidRDefault="00F7044C" w:rsidP="00F7044C">
      <w:pPr>
        <w:spacing w:line="480" w:lineRule="auto"/>
        <w:outlineLvl w:val="0"/>
        <w:rPr>
          <w:rFonts w:ascii="Times" w:hAnsi="Times"/>
        </w:rPr>
      </w:pPr>
    </w:p>
    <w:p w14:paraId="7A9EDE63" w14:textId="77777777" w:rsidR="00F7044C" w:rsidRPr="00C421E4" w:rsidRDefault="00F7044C" w:rsidP="00F7044C">
      <w:pPr>
        <w:spacing w:line="480" w:lineRule="auto"/>
        <w:rPr>
          <w:rFonts w:ascii="Times" w:hAnsi="Times"/>
        </w:rPr>
      </w:pPr>
      <w:r w:rsidRPr="00C421E4">
        <w:rPr>
          <w:rFonts w:ascii="Times" w:hAnsi="Times"/>
        </w:rPr>
        <w:t>The mTBI group had significantly higher anx</w:t>
      </w:r>
      <w:r>
        <w:rPr>
          <w:rFonts w:ascii="Times" w:hAnsi="Times"/>
        </w:rPr>
        <w:t>iety scores on the STAI (Table 6</w:t>
      </w:r>
      <w:r w:rsidRPr="00C421E4">
        <w:rPr>
          <w:rFonts w:ascii="Times" w:hAnsi="Times"/>
        </w:rPr>
        <w:t xml:space="preserve">). However, there were no differences between groups for depressive symptoms. STAI scores were not used as a covariate because they were used as an outcome measure in </w:t>
      </w:r>
      <w:r w:rsidRPr="00C421E4">
        <w:rPr>
          <w:rFonts w:ascii="Times" w:hAnsi="Times"/>
          <w:b/>
        </w:rPr>
        <w:t>Aim 3</w:t>
      </w:r>
      <w:r w:rsidRPr="00C421E4">
        <w:rPr>
          <w:rFonts w:ascii="Times" w:hAnsi="Times"/>
        </w:rPr>
        <w:t>. However, notably, the inclusion of STAI scores as a covariate did not change behavioral results for Aims 1 and 2.</w:t>
      </w:r>
    </w:p>
    <w:p w14:paraId="3BC669CF" w14:textId="77777777" w:rsidR="00F7044C" w:rsidRPr="00C421E4" w:rsidRDefault="00F7044C" w:rsidP="00F7044C">
      <w:pPr>
        <w:spacing w:line="480" w:lineRule="auto"/>
        <w:rPr>
          <w:rFonts w:ascii="Times" w:hAnsi="Times"/>
        </w:rPr>
      </w:pPr>
    </w:p>
    <w:p w14:paraId="45D60F21" w14:textId="77777777" w:rsidR="00F7044C" w:rsidRPr="00E30E3C" w:rsidRDefault="00F7044C" w:rsidP="00F7044C">
      <w:pPr>
        <w:spacing w:line="480" w:lineRule="auto"/>
        <w:jc w:val="center"/>
        <w:outlineLvl w:val="0"/>
        <w:rPr>
          <w:rFonts w:ascii="Times" w:hAnsi="Times"/>
          <w:b/>
        </w:rPr>
      </w:pPr>
      <w:r>
        <w:rPr>
          <w:rFonts w:ascii="Times" w:hAnsi="Times"/>
          <w:b/>
        </w:rPr>
        <w:t xml:space="preserve">2. </w:t>
      </w:r>
      <w:r w:rsidRPr="00E30E3C">
        <w:rPr>
          <w:rFonts w:ascii="Times" w:hAnsi="Times"/>
          <w:b/>
        </w:rPr>
        <w:t>mTBI Characteristics</w:t>
      </w:r>
    </w:p>
    <w:p w14:paraId="400F322A" w14:textId="77777777" w:rsidR="00F7044C" w:rsidRPr="00C421E4" w:rsidRDefault="00F7044C" w:rsidP="00F7044C">
      <w:pPr>
        <w:spacing w:line="480" w:lineRule="auto"/>
        <w:rPr>
          <w:rFonts w:ascii="Times" w:hAnsi="Times"/>
        </w:rPr>
      </w:pPr>
      <w:r w:rsidRPr="00C421E4">
        <w:rPr>
          <w:rFonts w:ascii="Times" w:hAnsi="Times"/>
        </w:rPr>
        <w:t xml:space="preserve">The mTBI group had their most recent mTBI 3.27 </w:t>
      </w:r>
      <w:r w:rsidRPr="00C421E4">
        <w:rPr>
          <w:rFonts w:ascii="Times" w:hAnsi="Times"/>
        </w:rPr>
        <w:sym w:font="Symbol" w:char="F0B1"/>
      </w:r>
      <w:r w:rsidRPr="00C421E4">
        <w:rPr>
          <w:rFonts w:ascii="Times" w:hAnsi="Times"/>
        </w:rPr>
        <w:t xml:space="preserve"> 1.52 years prior to participation in the study. On average, participants had 2.22 </w:t>
      </w:r>
      <w:r w:rsidRPr="00C421E4">
        <w:rPr>
          <w:rFonts w:ascii="Times" w:hAnsi="Times"/>
        </w:rPr>
        <w:sym w:font="Symbol" w:char="F0B1"/>
      </w:r>
      <w:r w:rsidRPr="00C421E4">
        <w:rPr>
          <w:rFonts w:ascii="Times" w:hAnsi="Times"/>
        </w:rPr>
        <w:t xml:space="preserve"> 1.61 mTBIs. Forty two percent suffered from 1 mTBI, 31% suffered from 2 mTBIs, and 27% had 3 or more mTBIs.</w:t>
      </w:r>
    </w:p>
    <w:p w14:paraId="2204528C" w14:textId="77777777" w:rsidR="00F7044C" w:rsidRPr="00C421E4" w:rsidRDefault="00F7044C" w:rsidP="00F7044C">
      <w:pPr>
        <w:spacing w:line="480" w:lineRule="auto"/>
        <w:rPr>
          <w:rFonts w:ascii="Times" w:hAnsi="Times"/>
        </w:rPr>
      </w:pPr>
    </w:p>
    <w:p w14:paraId="1ADF7DCF" w14:textId="77777777" w:rsidR="00F7044C" w:rsidRPr="00C421E4" w:rsidRDefault="00F7044C" w:rsidP="00F7044C">
      <w:pPr>
        <w:spacing w:line="480" w:lineRule="auto"/>
        <w:rPr>
          <w:rFonts w:ascii="Times" w:hAnsi="Times"/>
        </w:rPr>
      </w:pPr>
      <w:r w:rsidRPr="00C421E4">
        <w:rPr>
          <w:rFonts w:ascii="Times" w:hAnsi="Times"/>
        </w:rPr>
        <w:t>Participants were asked how many physical symptoms (items taken from the Rivermead Concussion Questionnaire) they had suffered over the past two weeks, without probing them about whether the physical symptoms were related to head injury. mTBI subjects reported significantly more dizziness (</w:t>
      </w:r>
      <w:r>
        <w:rPr>
          <w:rFonts w:ascii="Times" w:hAnsi="Times"/>
        </w:rPr>
        <w:t>Table 8</w:t>
      </w:r>
      <w:r w:rsidRPr="00C421E4">
        <w:rPr>
          <w:rFonts w:ascii="Times" w:hAnsi="Times"/>
        </w:rPr>
        <w:t xml:space="preserve">). </w:t>
      </w:r>
    </w:p>
    <w:p w14:paraId="0AEA237A" w14:textId="77777777" w:rsidR="00F7044C" w:rsidRPr="00C421E4" w:rsidRDefault="00F7044C" w:rsidP="00F7044C">
      <w:pPr>
        <w:spacing w:line="480" w:lineRule="auto"/>
        <w:rPr>
          <w:rFonts w:ascii="Times" w:hAnsi="Times"/>
        </w:rPr>
      </w:pPr>
    </w:p>
    <w:p w14:paraId="535FB86A" w14:textId="77777777" w:rsidR="00F7044C" w:rsidRPr="00C421E4" w:rsidRDefault="00F7044C" w:rsidP="00F7044C">
      <w:pPr>
        <w:spacing w:line="480" w:lineRule="auto"/>
        <w:rPr>
          <w:rFonts w:ascii="Times" w:hAnsi="Times"/>
        </w:rPr>
      </w:pPr>
      <w:r w:rsidRPr="00C421E4">
        <w:rPr>
          <w:rFonts w:ascii="Times" w:hAnsi="Times"/>
        </w:rPr>
        <w:t xml:space="preserve">Of the mTBI sample, 71.1% suffered from sports-related mTBIs, 15.6% received the mTBI from a fall, 8.9% received the mTBI from a car accident, and 4.4% received the mTBI from another type of incident. When comparing those who suffered from a sports-related incident to those who received an mTBI from another source, there were no differences in reactivity ratings or habituation rates. </w:t>
      </w:r>
    </w:p>
    <w:p w14:paraId="1A32A416" w14:textId="77777777" w:rsidR="00F7044C" w:rsidRPr="00C421E4" w:rsidRDefault="00F7044C" w:rsidP="00F7044C">
      <w:pPr>
        <w:spacing w:line="480" w:lineRule="auto"/>
        <w:rPr>
          <w:rFonts w:ascii="Times" w:hAnsi="Times"/>
        </w:rPr>
      </w:pPr>
    </w:p>
    <w:p w14:paraId="23CD90D9" w14:textId="77777777" w:rsidR="00F7044C" w:rsidRPr="00C421E4" w:rsidRDefault="00F7044C" w:rsidP="00F7044C">
      <w:pPr>
        <w:spacing w:line="480" w:lineRule="auto"/>
        <w:rPr>
          <w:rFonts w:ascii="Times" w:hAnsi="Times"/>
        </w:rPr>
      </w:pPr>
      <w:r w:rsidRPr="00C421E4">
        <w:rPr>
          <w:rFonts w:ascii="Times" w:hAnsi="Times"/>
        </w:rPr>
        <w:t>To determine whether mTBI factors (e.g., time since mTBI, number of mTBIs) were related to reactivity or habituation, we conducted correlations between these factors. There were no correlations between mTBI factors and behavioral</w:t>
      </w:r>
      <w:r>
        <w:rPr>
          <w:rFonts w:ascii="Times" w:hAnsi="Times"/>
        </w:rPr>
        <w:t>/physiological factors (Tables 9 and 10</w:t>
      </w:r>
      <w:r w:rsidRPr="00C421E4">
        <w:rPr>
          <w:rFonts w:ascii="Times" w:hAnsi="Times"/>
        </w:rPr>
        <w:t xml:space="preserve">, respectively). Therefore, no mTBI factors were used as covariates in subsequent analyses. </w:t>
      </w:r>
    </w:p>
    <w:p w14:paraId="203A98CB" w14:textId="77777777" w:rsidR="00F7044C" w:rsidRPr="00C421E4" w:rsidRDefault="00F7044C" w:rsidP="00F7044C">
      <w:pPr>
        <w:spacing w:line="480" w:lineRule="auto"/>
        <w:rPr>
          <w:rFonts w:ascii="Times" w:hAnsi="Times"/>
        </w:rPr>
      </w:pPr>
    </w:p>
    <w:p w14:paraId="030473EC" w14:textId="77777777" w:rsidR="00F7044C" w:rsidRPr="002B34C7" w:rsidRDefault="00F7044C" w:rsidP="00F7044C">
      <w:pPr>
        <w:spacing w:line="480" w:lineRule="auto"/>
        <w:jc w:val="center"/>
        <w:outlineLvl w:val="0"/>
        <w:rPr>
          <w:rFonts w:ascii="Times" w:hAnsi="Times"/>
          <w:b/>
        </w:rPr>
      </w:pPr>
      <w:r w:rsidRPr="002B34C7">
        <w:rPr>
          <w:rFonts w:ascii="Times" w:hAnsi="Times"/>
          <w:b/>
        </w:rPr>
        <w:lastRenderedPageBreak/>
        <w:t>3. Order Effects</w:t>
      </w:r>
    </w:p>
    <w:p w14:paraId="5CDFE5D8" w14:textId="77777777" w:rsidR="00F7044C" w:rsidRPr="00C421E4" w:rsidRDefault="00F7044C" w:rsidP="00F7044C">
      <w:pPr>
        <w:spacing w:line="480" w:lineRule="auto"/>
        <w:rPr>
          <w:rFonts w:ascii="Times" w:hAnsi="Times"/>
        </w:rPr>
      </w:pPr>
      <w:r w:rsidRPr="00C421E4">
        <w:rPr>
          <w:rFonts w:ascii="Times" w:hAnsi="Times"/>
        </w:rPr>
        <w:t>Participants completed the negative and positive conditions in a counter-balanced order. There were no differences in valence ratings of positive stimuli (</w:t>
      </w:r>
      <w:proofErr w:type="gramStart"/>
      <w:r w:rsidRPr="00C421E4">
        <w:rPr>
          <w:rFonts w:ascii="Times" w:hAnsi="Times"/>
        </w:rPr>
        <w:t>t(</w:t>
      </w:r>
      <w:proofErr w:type="gramEnd"/>
      <w:r w:rsidRPr="00C421E4">
        <w:rPr>
          <w:rFonts w:ascii="Times" w:hAnsi="Times"/>
        </w:rPr>
        <w:t>88) = -1.56, p = .12) or negative stimuli (t(88) = .32, p = .75) between individuals who completed the positive condition first and those who completed the negative condition first. There were also no differences between groups in positive (</w:t>
      </w:r>
      <w:proofErr w:type="gramStart"/>
      <w:r w:rsidRPr="00C421E4">
        <w:rPr>
          <w:rFonts w:ascii="Times" w:hAnsi="Times"/>
        </w:rPr>
        <w:t>t(</w:t>
      </w:r>
      <w:proofErr w:type="gramEnd"/>
      <w:r w:rsidRPr="00C421E4">
        <w:rPr>
          <w:rFonts w:ascii="Times" w:hAnsi="Times"/>
        </w:rPr>
        <w:t>88) = .14, p = .89) or negative arousal ratings (t(88) = -.26, p = .80). Similarly, for habituation, there were no order effects for positive valence (</w:t>
      </w:r>
      <w:proofErr w:type="gramStart"/>
      <w:r w:rsidRPr="00C421E4">
        <w:rPr>
          <w:rFonts w:ascii="Times" w:hAnsi="Times"/>
        </w:rPr>
        <w:t>t(</w:t>
      </w:r>
      <w:proofErr w:type="gramEnd"/>
      <w:r w:rsidRPr="00C421E4">
        <w:rPr>
          <w:rFonts w:ascii="Times" w:hAnsi="Times"/>
        </w:rPr>
        <w:t xml:space="preserve">88) = -.15, p = .88), negative valence (t(88) = -1.40, p = .16), positive arousal (t(88) = -.70, p = 49), or negative arousal (t(88) = .70, p = .48). </w:t>
      </w:r>
    </w:p>
    <w:p w14:paraId="148189C2" w14:textId="77777777" w:rsidR="00F7044C" w:rsidRPr="00C421E4" w:rsidRDefault="00F7044C" w:rsidP="00F7044C">
      <w:pPr>
        <w:spacing w:line="480" w:lineRule="auto"/>
        <w:rPr>
          <w:rFonts w:ascii="Times" w:hAnsi="Times"/>
        </w:rPr>
      </w:pPr>
    </w:p>
    <w:p w14:paraId="488E8C60" w14:textId="77777777" w:rsidR="00F7044C" w:rsidRPr="002B34C7" w:rsidRDefault="00F7044C" w:rsidP="00F7044C">
      <w:pPr>
        <w:spacing w:line="480" w:lineRule="auto"/>
        <w:jc w:val="center"/>
        <w:outlineLvl w:val="0"/>
        <w:rPr>
          <w:rFonts w:ascii="Times" w:hAnsi="Times"/>
          <w:b/>
        </w:rPr>
      </w:pPr>
      <w:r>
        <w:rPr>
          <w:rFonts w:ascii="Times" w:hAnsi="Times"/>
          <w:b/>
        </w:rPr>
        <w:t xml:space="preserve">4. </w:t>
      </w:r>
      <w:r w:rsidRPr="002B34C7">
        <w:rPr>
          <w:rFonts w:ascii="Times" w:hAnsi="Times"/>
          <w:b/>
        </w:rPr>
        <w:t>Neutral Images</w:t>
      </w:r>
    </w:p>
    <w:p w14:paraId="1FAC21DC" w14:textId="77777777" w:rsidR="00F7044C" w:rsidRDefault="00F7044C" w:rsidP="00F7044C">
      <w:pPr>
        <w:spacing w:line="480" w:lineRule="auto"/>
        <w:rPr>
          <w:rFonts w:ascii="Times" w:hAnsi="Times"/>
        </w:rPr>
      </w:pPr>
      <w:r w:rsidRPr="00C421E4">
        <w:rPr>
          <w:rFonts w:ascii="Times" w:hAnsi="Times"/>
        </w:rPr>
        <w:t>Neutral images were included to prevent a response bias (i.e., a habit or pattern of rating) from occurring. Nevertheless, it is necessary to determine whether or not individuals with a history of mTBI perceive neutral images differently than the non-TBI group prior to interpreting results for negative and positive images. There were no differences between groups for valence ratings of neutral images during the positive (</w:t>
      </w:r>
      <w:proofErr w:type="gramStart"/>
      <w:r w:rsidRPr="00C421E4">
        <w:rPr>
          <w:rFonts w:ascii="Times" w:hAnsi="Times"/>
        </w:rPr>
        <w:t>t(</w:t>
      </w:r>
      <w:proofErr w:type="gramEnd"/>
      <w:r w:rsidRPr="00C421E4">
        <w:rPr>
          <w:rFonts w:ascii="Times" w:hAnsi="Times"/>
        </w:rPr>
        <w:t>88) = 1.33, p = .19) or negative condition (t(88) = -.68, p = .50). There were also no differences between groups for arousal ratings of neutral images during the positive (</w:t>
      </w:r>
      <w:proofErr w:type="gramStart"/>
      <w:r w:rsidRPr="00C421E4">
        <w:rPr>
          <w:rFonts w:ascii="Times" w:hAnsi="Times"/>
        </w:rPr>
        <w:t>t(</w:t>
      </w:r>
      <w:proofErr w:type="gramEnd"/>
      <w:r w:rsidRPr="00C421E4">
        <w:rPr>
          <w:rFonts w:ascii="Times" w:hAnsi="Times"/>
        </w:rPr>
        <w:t xml:space="preserve">88) = -.07, p = .94) or negative condition (t(88) = -.73, p = .47). </w:t>
      </w:r>
    </w:p>
    <w:p w14:paraId="299BA660" w14:textId="77777777" w:rsidR="00F7044C" w:rsidRDefault="00F7044C" w:rsidP="00F7044C">
      <w:pPr>
        <w:spacing w:line="480" w:lineRule="auto"/>
        <w:rPr>
          <w:rFonts w:ascii="Times" w:hAnsi="Times"/>
        </w:rPr>
      </w:pPr>
    </w:p>
    <w:p w14:paraId="534A8638" w14:textId="77777777" w:rsidR="00F7044C" w:rsidRPr="00BB6188" w:rsidRDefault="00F7044C" w:rsidP="00F7044C">
      <w:pPr>
        <w:spacing w:line="480" w:lineRule="auto"/>
        <w:jc w:val="center"/>
        <w:rPr>
          <w:rFonts w:ascii="Times" w:hAnsi="Times"/>
          <w:b/>
        </w:rPr>
      </w:pPr>
      <w:r>
        <w:rPr>
          <w:rFonts w:ascii="Times" w:hAnsi="Times"/>
          <w:b/>
        </w:rPr>
        <w:t xml:space="preserve">5. </w:t>
      </w:r>
      <w:r w:rsidRPr="00BB6188">
        <w:rPr>
          <w:rFonts w:ascii="Times" w:hAnsi="Times"/>
          <w:b/>
        </w:rPr>
        <w:t>Main Analyses</w:t>
      </w:r>
    </w:p>
    <w:p w14:paraId="6D0BE7E9" w14:textId="77777777" w:rsidR="00F7044C" w:rsidRPr="00C421E4" w:rsidRDefault="00F7044C" w:rsidP="00F7044C">
      <w:pPr>
        <w:spacing w:line="480" w:lineRule="auto"/>
        <w:rPr>
          <w:rFonts w:ascii="Times" w:hAnsi="Times"/>
        </w:rPr>
      </w:pPr>
    </w:p>
    <w:p w14:paraId="7CCCC01D" w14:textId="77777777" w:rsidR="00F7044C" w:rsidRPr="0089473A" w:rsidRDefault="00F7044C" w:rsidP="00F7044C">
      <w:pPr>
        <w:spacing w:line="480" w:lineRule="auto"/>
        <w:outlineLvl w:val="0"/>
        <w:rPr>
          <w:rFonts w:ascii="Times" w:hAnsi="Times"/>
          <w:b/>
          <w:u w:val="single"/>
        </w:rPr>
      </w:pPr>
      <w:r w:rsidRPr="0089473A">
        <w:rPr>
          <w:rFonts w:ascii="Times" w:hAnsi="Times"/>
          <w:b/>
          <w:u w:val="single"/>
        </w:rPr>
        <w:t xml:space="preserve">a. Aim 1: Valence </w:t>
      </w:r>
    </w:p>
    <w:p w14:paraId="55F31D15" w14:textId="77777777" w:rsidR="00F7044C" w:rsidRPr="00C421E4" w:rsidRDefault="00F7044C" w:rsidP="00F7044C">
      <w:pPr>
        <w:spacing w:line="480" w:lineRule="auto"/>
        <w:rPr>
          <w:rFonts w:ascii="Times" w:hAnsi="Times"/>
        </w:rPr>
      </w:pPr>
      <w:r w:rsidRPr="00C421E4">
        <w:rPr>
          <w:rFonts w:ascii="Times" w:hAnsi="Times"/>
        </w:rPr>
        <w:lastRenderedPageBreak/>
        <w:t>Negative and positive images were combined in one model for analyses. There was no main effect of Injury Group (</w:t>
      </w:r>
      <w:proofErr w:type="gramStart"/>
      <w:r w:rsidRPr="00C421E4">
        <w:rPr>
          <w:rFonts w:ascii="Times" w:hAnsi="Times"/>
        </w:rPr>
        <w:t>F(</w:t>
      </w:r>
      <w:proofErr w:type="gramEnd"/>
      <w:r w:rsidRPr="00C421E4">
        <w:rPr>
          <w:rFonts w:ascii="Times" w:hAnsi="Times"/>
        </w:rPr>
        <w:t>1,87) = 1.14, p = .29). As expected, there was a main effect of Emotion (</w:t>
      </w:r>
      <w:proofErr w:type="gramStart"/>
      <w:r w:rsidRPr="00C421E4">
        <w:rPr>
          <w:rFonts w:ascii="Times" w:hAnsi="Times"/>
        </w:rPr>
        <w:t>F(</w:t>
      </w:r>
      <w:proofErr w:type="gramEnd"/>
      <w:r w:rsidRPr="00C421E4">
        <w:rPr>
          <w:rFonts w:ascii="Times" w:hAnsi="Times"/>
        </w:rPr>
        <w:t xml:space="preserve">1,87) = 276.48, p &lt; .001, </w:t>
      </w:r>
      <w:r w:rsidRPr="00C421E4">
        <w:rPr>
          <w:rFonts w:ascii="Times" w:hAnsi="Times"/>
        </w:rPr>
        <w:sym w:font="Symbol" w:char="F068"/>
      </w:r>
      <w:r w:rsidRPr="00C421E4">
        <w:rPr>
          <w:rFonts w:ascii="Times" w:hAnsi="Times"/>
        </w:rPr>
        <w:t xml:space="preserve"> = .76), indicating differences in valence ratings between the negative and positive stimuli. There was a main effect of Exposure (</w:t>
      </w:r>
      <w:proofErr w:type="gramStart"/>
      <w:r w:rsidRPr="00C421E4">
        <w:rPr>
          <w:rFonts w:ascii="Times" w:hAnsi="Times"/>
        </w:rPr>
        <w:t>F(</w:t>
      </w:r>
      <w:proofErr w:type="gramEnd"/>
      <w:r w:rsidRPr="00C421E4">
        <w:rPr>
          <w:rFonts w:ascii="Times" w:hAnsi="Times"/>
        </w:rPr>
        <w:t xml:space="preserve">4,348) = 289.552, p &lt; .001, </w:t>
      </w:r>
      <w:r w:rsidRPr="00C421E4">
        <w:rPr>
          <w:rFonts w:ascii="Times" w:hAnsi="Times"/>
        </w:rPr>
        <w:sym w:font="Symbol" w:char="F068"/>
      </w:r>
      <w:r w:rsidRPr="00C421E4">
        <w:rPr>
          <w:rFonts w:ascii="Times" w:hAnsi="Times"/>
        </w:rPr>
        <w:t xml:space="preserve"> = .77) such that valence decreased toward neutrality with subsequent exposures (i.e.</w:t>
      </w:r>
      <w:r>
        <w:rPr>
          <w:rFonts w:ascii="Times" w:hAnsi="Times"/>
        </w:rPr>
        <w:t>, habituation occurred; Figure 8</w:t>
      </w:r>
      <w:r w:rsidRPr="00C421E4">
        <w:rPr>
          <w:rFonts w:ascii="Times" w:hAnsi="Times"/>
        </w:rPr>
        <w:t>). There was also an Emotion by Exposure interaction (</w:t>
      </w:r>
      <w:proofErr w:type="gramStart"/>
      <w:r w:rsidRPr="00C421E4">
        <w:rPr>
          <w:rFonts w:ascii="Times" w:hAnsi="Times"/>
        </w:rPr>
        <w:t>F(</w:t>
      </w:r>
      <w:proofErr w:type="gramEnd"/>
      <w:r w:rsidRPr="00C421E4">
        <w:rPr>
          <w:rFonts w:ascii="Times" w:hAnsi="Times"/>
        </w:rPr>
        <w:t xml:space="preserve">4,348) = 269.89, p &lt; .001, </w:t>
      </w:r>
      <w:r w:rsidRPr="00C421E4">
        <w:rPr>
          <w:rFonts w:ascii="Times" w:hAnsi="Times"/>
        </w:rPr>
        <w:sym w:font="Symbol" w:char="F068"/>
      </w:r>
      <w:r w:rsidRPr="00C421E4">
        <w:rPr>
          <w:rFonts w:ascii="Times" w:hAnsi="Times"/>
        </w:rPr>
        <w:t xml:space="preserve"> = .76). Follow-up analyses showed a main effect of Exposure for positive images (</w:t>
      </w:r>
      <w:proofErr w:type="gramStart"/>
      <w:r w:rsidRPr="00C421E4">
        <w:rPr>
          <w:rFonts w:ascii="Times" w:hAnsi="Times"/>
        </w:rPr>
        <w:t>F(</w:t>
      </w:r>
      <w:proofErr w:type="gramEnd"/>
      <w:r w:rsidRPr="00C421E4">
        <w:rPr>
          <w:rFonts w:ascii="Times" w:hAnsi="Times"/>
        </w:rPr>
        <w:t xml:space="preserve">4,348) = 7.75, p = .001, </w:t>
      </w:r>
      <w:r w:rsidRPr="00C421E4">
        <w:rPr>
          <w:rFonts w:ascii="Times" w:hAnsi="Times"/>
        </w:rPr>
        <w:sym w:font="Symbol" w:char="F068"/>
      </w:r>
      <w:r w:rsidRPr="00C421E4">
        <w:rPr>
          <w:rFonts w:ascii="Times" w:hAnsi="Times"/>
        </w:rPr>
        <w:t xml:space="preserve"> = .12); they were rated more neutral over time, but no main effect of Exposure for negative images (F(4,348) = .84, p = .50). Finally, there was no interaction between Exposure and Injury Group (</w:t>
      </w:r>
      <w:proofErr w:type="gramStart"/>
      <w:r w:rsidRPr="00C421E4">
        <w:rPr>
          <w:rFonts w:ascii="Times" w:hAnsi="Times"/>
        </w:rPr>
        <w:t>F(</w:t>
      </w:r>
      <w:proofErr w:type="gramEnd"/>
      <w:r w:rsidRPr="00C421E4">
        <w:rPr>
          <w:rFonts w:ascii="Times" w:hAnsi="Times"/>
        </w:rPr>
        <w:t xml:space="preserve">4,348) = 2.60, p = .04), no Emotion by Injury Group interaction (F(1,87) = 1.02, p = .32), and no three-way interaction between these factors (F(4,348) = 3.18, p = .014). </w:t>
      </w:r>
    </w:p>
    <w:p w14:paraId="6AAF94E7" w14:textId="77777777" w:rsidR="00F7044C" w:rsidRPr="00C421E4" w:rsidRDefault="00F7044C" w:rsidP="00F7044C">
      <w:pPr>
        <w:spacing w:line="480" w:lineRule="auto"/>
        <w:rPr>
          <w:rFonts w:ascii="Times" w:hAnsi="Times"/>
          <w:b/>
        </w:rPr>
      </w:pPr>
    </w:p>
    <w:p w14:paraId="6CF05FCC" w14:textId="77777777" w:rsidR="00F7044C" w:rsidRPr="0089473A" w:rsidRDefault="00F7044C" w:rsidP="00F7044C">
      <w:pPr>
        <w:spacing w:line="480" w:lineRule="auto"/>
        <w:rPr>
          <w:rFonts w:ascii="Times" w:hAnsi="Times"/>
          <w:b/>
          <w:u w:val="single"/>
        </w:rPr>
      </w:pPr>
      <w:r w:rsidRPr="0089473A">
        <w:rPr>
          <w:rFonts w:ascii="Times" w:hAnsi="Times"/>
          <w:b/>
          <w:u w:val="single"/>
        </w:rPr>
        <w:t xml:space="preserve">b. Aim 1: Arousal  </w:t>
      </w:r>
    </w:p>
    <w:p w14:paraId="5C97F4F1" w14:textId="77777777" w:rsidR="00F7044C" w:rsidRPr="00C421E4" w:rsidRDefault="00F7044C" w:rsidP="00F7044C">
      <w:pPr>
        <w:spacing w:line="480" w:lineRule="auto"/>
        <w:rPr>
          <w:rFonts w:ascii="Times" w:hAnsi="Times"/>
        </w:rPr>
      </w:pPr>
      <w:r w:rsidRPr="00C421E4">
        <w:rPr>
          <w:rFonts w:ascii="Times" w:hAnsi="Times"/>
        </w:rPr>
        <w:t>Arousal ratings for negative and positive images were included in one model. There was no main effect of Injury Group (</w:t>
      </w:r>
      <w:proofErr w:type="gramStart"/>
      <w:r w:rsidRPr="00C421E4">
        <w:rPr>
          <w:rFonts w:ascii="Times" w:hAnsi="Times"/>
        </w:rPr>
        <w:t>F(</w:t>
      </w:r>
      <w:proofErr w:type="gramEnd"/>
      <w:r w:rsidRPr="00C421E4">
        <w:rPr>
          <w:rFonts w:ascii="Times" w:hAnsi="Times"/>
        </w:rPr>
        <w:t>1,87) = .12, p = .73). There was a main effect of Emotion (</w:t>
      </w:r>
      <w:proofErr w:type="gramStart"/>
      <w:r w:rsidRPr="00C421E4">
        <w:rPr>
          <w:rFonts w:ascii="Times" w:hAnsi="Times"/>
        </w:rPr>
        <w:t>F(</w:t>
      </w:r>
      <w:proofErr w:type="gramEnd"/>
      <w:r w:rsidRPr="00C421E4">
        <w:rPr>
          <w:rFonts w:ascii="Times" w:hAnsi="Times"/>
        </w:rPr>
        <w:t xml:space="preserve">1,87) = 13.23, p &lt;.001, </w:t>
      </w:r>
      <w:r w:rsidRPr="00C421E4">
        <w:rPr>
          <w:rFonts w:ascii="Times" w:hAnsi="Times"/>
        </w:rPr>
        <w:sym w:font="Symbol" w:char="F068"/>
      </w:r>
      <w:r w:rsidRPr="00C421E4">
        <w:rPr>
          <w:rFonts w:ascii="Times" w:hAnsi="Times"/>
        </w:rPr>
        <w:t xml:space="preserve"> = .13), such that negative images were rated as more arousing than positive images, and there was a main effect of Exposure (F(4,348) = 23.48, p = &lt;.001, </w:t>
      </w:r>
      <w:r w:rsidRPr="00C421E4">
        <w:rPr>
          <w:rFonts w:ascii="Times" w:hAnsi="Times"/>
        </w:rPr>
        <w:sym w:font="Symbol" w:char="F068"/>
      </w:r>
      <w:r w:rsidRPr="00C421E4">
        <w:rPr>
          <w:rFonts w:ascii="Times" w:hAnsi="Times"/>
        </w:rPr>
        <w:t xml:space="preserve"> = .21), such that arousal ratin</w:t>
      </w:r>
      <w:r>
        <w:rPr>
          <w:rFonts w:ascii="Times" w:hAnsi="Times"/>
        </w:rPr>
        <w:t>gs decreased over time (Figure 9</w:t>
      </w:r>
      <w:r w:rsidRPr="00C421E4">
        <w:rPr>
          <w:rFonts w:ascii="Times" w:hAnsi="Times"/>
        </w:rPr>
        <w:t>). There was no Emotion by Exposure interaction (</w:t>
      </w:r>
      <w:proofErr w:type="gramStart"/>
      <w:r w:rsidRPr="00C421E4">
        <w:rPr>
          <w:rFonts w:ascii="Times" w:hAnsi="Times"/>
        </w:rPr>
        <w:t>F(</w:t>
      </w:r>
      <w:proofErr w:type="gramEnd"/>
      <w:r w:rsidRPr="00C421E4">
        <w:rPr>
          <w:rFonts w:ascii="Times" w:hAnsi="Times"/>
        </w:rPr>
        <w:t>4,348) = .15, p = .96). However, there was an Exposure by Injury Group interaction (</w:t>
      </w:r>
      <w:proofErr w:type="gramStart"/>
      <w:r w:rsidRPr="00C421E4">
        <w:rPr>
          <w:rFonts w:ascii="Times" w:hAnsi="Times"/>
        </w:rPr>
        <w:t>F(</w:t>
      </w:r>
      <w:proofErr w:type="gramEnd"/>
      <w:r w:rsidRPr="00C421E4">
        <w:rPr>
          <w:rFonts w:ascii="Times" w:hAnsi="Times"/>
        </w:rPr>
        <w:t xml:space="preserve">4,348) = 3.38, p = .01, </w:t>
      </w:r>
      <w:r w:rsidRPr="00C421E4">
        <w:rPr>
          <w:rFonts w:ascii="Times" w:hAnsi="Times"/>
        </w:rPr>
        <w:sym w:font="Symbol" w:char="F068"/>
      </w:r>
      <w:r w:rsidRPr="00C421E4">
        <w:rPr>
          <w:rFonts w:ascii="Times" w:hAnsi="Times"/>
        </w:rPr>
        <w:t xml:space="preserve"> = .04). Therefore, we </w:t>
      </w:r>
      <w:r w:rsidRPr="00C421E4">
        <w:rPr>
          <w:rFonts w:ascii="Times" w:hAnsi="Times"/>
        </w:rPr>
        <w:lastRenderedPageBreak/>
        <w:t>compared habituation slopes between groups. Habituation was significantly greater for the mTBI group than for the non-TBI group (</w:t>
      </w:r>
      <w:proofErr w:type="gramStart"/>
      <w:r w:rsidRPr="00C421E4">
        <w:rPr>
          <w:rFonts w:ascii="Times" w:hAnsi="Times"/>
        </w:rPr>
        <w:t>t(</w:t>
      </w:r>
      <w:proofErr w:type="gramEnd"/>
      <w:r w:rsidRPr="00C421E4">
        <w:rPr>
          <w:rFonts w:ascii="Times" w:hAnsi="Times"/>
        </w:rPr>
        <w:t xml:space="preserve">87) = 7.87, p = .006, </w:t>
      </w:r>
      <w:r w:rsidRPr="00C421E4">
        <w:rPr>
          <w:rFonts w:ascii="Times" w:hAnsi="Times"/>
        </w:rPr>
        <w:sym w:font="Symbol" w:char="F068"/>
      </w:r>
      <w:r w:rsidRPr="00C421E4">
        <w:rPr>
          <w:rFonts w:ascii="Times" w:hAnsi="Times"/>
        </w:rPr>
        <w:t xml:space="preserve"> = .08). Lastly, there was no Emotion by Injury Group interaction (</w:t>
      </w:r>
      <w:proofErr w:type="gramStart"/>
      <w:r w:rsidRPr="00C421E4">
        <w:rPr>
          <w:rFonts w:ascii="Times" w:hAnsi="Times"/>
        </w:rPr>
        <w:t>F(</w:t>
      </w:r>
      <w:proofErr w:type="gramEnd"/>
      <w:r w:rsidRPr="00C421E4">
        <w:rPr>
          <w:rFonts w:ascii="Times" w:hAnsi="Times"/>
        </w:rPr>
        <w:t xml:space="preserve">1,87) = 2.86, p = .10), and there was no Emotion by Exposure by Injury Group interaction (F(4,348) = 2.28, p = .06). </w:t>
      </w:r>
    </w:p>
    <w:p w14:paraId="4C9CA7AD" w14:textId="77777777" w:rsidR="00F7044C" w:rsidRPr="00C421E4" w:rsidRDefault="00F7044C" w:rsidP="00F7044C">
      <w:pPr>
        <w:spacing w:line="480" w:lineRule="auto"/>
        <w:outlineLvl w:val="0"/>
        <w:rPr>
          <w:rFonts w:ascii="Times" w:hAnsi="Times"/>
          <w:b/>
        </w:rPr>
      </w:pPr>
    </w:p>
    <w:p w14:paraId="30D987CB" w14:textId="77777777" w:rsidR="00F7044C" w:rsidRPr="004D354C" w:rsidRDefault="00F7044C" w:rsidP="00F7044C">
      <w:pPr>
        <w:spacing w:line="480" w:lineRule="auto"/>
        <w:outlineLvl w:val="0"/>
        <w:rPr>
          <w:rFonts w:ascii="Times" w:hAnsi="Times"/>
          <w:b/>
          <w:u w:val="single"/>
        </w:rPr>
      </w:pPr>
      <w:r w:rsidRPr="004D354C">
        <w:rPr>
          <w:rFonts w:ascii="Times" w:hAnsi="Times"/>
          <w:b/>
          <w:u w:val="single"/>
        </w:rPr>
        <w:t>c. Aim 1: Skin Conductance</w:t>
      </w:r>
    </w:p>
    <w:p w14:paraId="243B3876" w14:textId="77777777" w:rsidR="00F7044C" w:rsidRPr="00C421E4" w:rsidRDefault="00F7044C" w:rsidP="00F7044C">
      <w:pPr>
        <w:spacing w:line="480" w:lineRule="auto"/>
        <w:rPr>
          <w:rFonts w:ascii="Times" w:hAnsi="Times"/>
        </w:rPr>
      </w:pPr>
      <w:r w:rsidRPr="00C421E4">
        <w:rPr>
          <w:rFonts w:ascii="Times" w:hAnsi="Times"/>
        </w:rPr>
        <w:t>There were no statistical outliers for skin conductance. There was no main effect of Injury Group (</w:t>
      </w:r>
      <w:proofErr w:type="gramStart"/>
      <w:r w:rsidRPr="00C421E4">
        <w:rPr>
          <w:rFonts w:ascii="Times" w:hAnsi="Times"/>
        </w:rPr>
        <w:t>F(</w:t>
      </w:r>
      <w:proofErr w:type="gramEnd"/>
      <w:r w:rsidRPr="00C421E4">
        <w:rPr>
          <w:rFonts w:ascii="Times" w:hAnsi="Times"/>
        </w:rPr>
        <w:t>1,83) = .003, p = .96), no main effect of Emotion (F(1,83) = .11, p = .96), no main effect of Exposure (F(4,332) = .27, p = .89), and no interaction between Emotion and Exposure (F(4,332) = .21, p = .93). There was no Emotion by Injury Group interaction (</w:t>
      </w:r>
      <w:proofErr w:type="gramStart"/>
      <w:r w:rsidRPr="00C421E4">
        <w:rPr>
          <w:rFonts w:ascii="Times" w:hAnsi="Times"/>
        </w:rPr>
        <w:t>F(</w:t>
      </w:r>
      <w:proofErr w:type="gramEnd"/>
      <w:r w:rsidRPr="00C421E4">
        <w:rPr>
          <w:rFonts w:ascii="Times" w:hAnsi="Times"/>
        </w:rPr>
        <w:t>1,83 = .17, p = .68) and no Exposure by Injury Group interaction (F(4,332) = .88, p = .47). There was no three-way interaction between Emotion by Injury Group by Exposure (</w:t>
      </w:r>
      <w:proofErr w:type="gramStart"/>
      <w:r w:rsidRPr="00C421E4">
        <w:rPr>
          <w:rFonts w:ascii="Times" w:hAnsi="Times"/>
        </w:rPr>
        <w:t>F(</w:t>
      </w:r>
      <w:proofErr w:type="gramEnd"/>
      <w:r w:rsidRPr="00C421E4">
        <w:rPr>
          <w:rFonts w:ascii="Times" w:hAnsi="Times"/>
        </w:rPr>
        <w:t xml:space="preserve">4,332) = 1.14, p = .34). In sum, contrary to predictions, we did not detect any main effect or group differences for rate of habituation in skin conductance. </w:t>
      </w:r>
    </w:p>
    <w:p w14:paraId="0EF1C5CF" w14:textId="77777777" w:rsidR="00F7044C" w:rsidRPr="00C421E4" w:rsidRDefault="00F7044C" w:rsidP="00F7044C">
      <w:pPr>
        <w:spacing w:line="480" w:lineRule="auto"/>
        <w:rPr>
          <w:rFonts w:ascii="Times" w:hAnsi="Times"/>
        </w:rPr>
      </w:pPr>
    </w:p>
    <w:p w14:paraId="6C3E5FDA" w14:textId="77777777" w:rsidR="00F7044C" w:rsidRPr="00C421E4" w:rsidRDefault="00F7044C" w:rsidP="00F7044C">
      <w:pPr>
        <w:spacing w:line="480" w:lineRule="auto"/>
        <w:rPr>
          <w:rFonts w:ascii="Times" w:hAnsi="Times"/>
        </w:rPr>
      </w:pPr>
      <w:r w:rsidRPr="00C421E4">
        <w:rPr>
          <w:rFonts w:ascii="Times" w:hAnsi="Times"/>
        </w:rPr>
        <w:t xml:space="preserve">Given that skin conductance typically mirrors arousal ratings, and giving the significant arousal rating habituation effects described above, several post-hoc analyses were conducted for skin conductance. We conducted a median split and divided participants into “low” habituators and “high” habituators for skin conductance response to both positive and negative stimuli. There was no difference in the proportion of mTBI participants in each of the subgroups (47.6% of habituators and 50% of non-habituators were from mTBI group), and there were no differences in mTBI characteristics between groups. </w:t>
      </w:r>
    </w:p>
    <w:p w14:paraId="2FF01D3E" w14:textId="77777777" w:rsidR="00F7044C" w:rsidRPr="00C421E4" w:rsidRDefault="00F7044C" w:rsidP="00F7044C">
      <w:pPr>
        <w:spacing w:line="480" w:lineRule="auto"/>
        <w:rPr>
          <w:rFonts w:ascii="Times" w:hAnsi="Times"/>
        </w:rPr>
      </w:pPr>
    </w:p>
    <w:p w14:paraId="299E8E7E" w14:textId="77777777" w:rsidR="00F7044C" w:rsidRPr="00C421E4" w:rsidRDefault="00F7044C" w:rsidP="00F7044C">
      <w:pPr>
        <w:spacing w:line="480" w:lineRule="auto"/>
        <w:rPr>
          <w:rFonts w:ascii="Times" w:hAnsi="Times"/>
        </w:rPr>
      </w:pPr>
      <w:r w:rsidRPr="00C421E4">
        <w:rPr>
          <w:rFonts w:ascii="Times" w:hAnsi="Times"/>
        </w:rPr>
        <w:t xml:space="preserve">In another set of post-hoc analyses, we assessed whether number of skin conductance responses (rather than a continuous value of skin conductance) habituated over time. First, a tonic skin conductance tone was calculated using ACQ Algorithms. Next, skin conductance responses were identified as changes in skin conductance &gt; .05 microSiemens above the tonic level </w:t>
      </w:r>
      <w:r w:rsidRPr="00C421E4">
        <w:rPr>
          <w:rFonts w:ascii="Times" w:hAnsi="Times"/>
        </w:rPr>
        <w:fldChar w:fldCharType="begin"/>
      </w:r>
      <w:r w:rsidRPr="00C421E4">
        <w:rPr>
          <w:rFonts w:ascii="Times" w:hAnsi="Times"/>
        </w:rPr>
        <w:instrText xml:space="preserve"> ADDIN ZOTERO_ITEM CSL_CITATION {"citationID":"1het3gnuut","properties":{"formattedCitation":"(Williams et al., 2001)","plainCitation":"(Williams et al., 2001)"},"citationItems":[{"id":972,"uris":["http://zotero.org/users/4141602/items/9SKBN9TN"],"uri":["http://zotero.org/users/4141602/items/9SKBN9TN"],"itemData":{"id":972,"type":"article-journal","title":"Arousal dissociates amygdala and hippocampal fear responses: evidence from simultaneous fMRI and skin conductance recording","container-title":"Neuroimage","page":"1070-1079","volume":"14","issue":"5","author":[{"family":"Williams","given":"Leanne M."},{"family":"Phillips","given":"Mary L."},{"family":"Brammer","given":"Michael J."},{"family":"Skerrett","given":"David"},{"family":"Lagopoulos","given":"Jim"},{"family":"Rennie","given":"Chris"},{"family":"Bahramali","given":"Homayoun"},{"family":"Olivieri","given":"Gloria"},{"family":"David","given":"Anthony S."},{"family":"Peduto","given":"Anthony"}],"issued":{"date-parts":[["2001"]]}}}],"schema":"https://github.com/citation-style-language/schema/raw/master/csl-citation.json"} </w:instrText>
      </w:r>
      <w:r w:rsidRPr="00C421E4">
        <w:rPr>
          <w:rFonts w:ascii="Times" w:hAnsi="Times"/>
        </w:rPr>
        <w:fldChar w:fldCharType="separate"/>
      </w:r>
      <w:r w:rsidRPr="00C421E4">
        <w:rPr>
          <w:rFonts w:ascii="Times" w:hAnsi="Times"/>
          <w:noProof/>
        </w:rPr>
        <w:t>(Williams et al., 2001)</w:t>
      </w:r>
      <w:r w:rsidRPr="00C421E4">
        <w:rPr>
          <w:rFonts w:ascii="Times" w:hAnsi="Times"/>
        </w:rPr>
        <w:fldChar w:fldCharType="end"/>
      </w:r>
      <w:r w:rsidRPr="00C421E4">
        <w:rPr>
          <w:rFonts w:ascii="Times" w:hAnsi="Times"/>
        </w:rPr>
        <w:t>. The number of responses in the 4 seconds after stimulus presentation was counted. There was no main effect of Emotion (</w:t>
      </w:r>
      <w:proofErr w:type="gramStart"/>
      <w:r w:rsidRPr="00C421E4">
        <w:rPr>
          <w:rFonts w:ascii="Times" w:hAnsi="Times"/>
        </w:rPr>
        <w:t>F(</w:t>
      </w:r>
      <w:proofErr w:type="gramEnd"/>
      <w:r w:rsidRPr="00C421E4">
        <w:rPr>
          <w:rFonts w:ascii="Times" w:hAnsi="Times"/>
        </w:rPr>
        <w:t>1,87) = 1.60, p = .21), no main effect of Injury Group (F(1,87) = .23, p = .63), and no main effect of Exposure (F(4,348) = 1.45, p = .22. There was no Emotion by Injury Group interaction (</w:t>
      </w:r>
      <w:proofErr w:type="gramStart"/>
      <w:r w:rsidRPr="00C421E4">
        <w:rPr>
          <w:rFonts w:ascii="Times" w:hAnsi="Times"/>
        </w:rPr>
        <w:t>F(</w:t>
      </w:r>
      <w:proofErr w:type="gramEnd"/>
      <w:r w:rsidRPr="00C421E4">
        <w:rPr>
          <w:rFonts w:ascii="Times" w:hAnsi="Times"/>
        </w:rPr>
        <w:t>1,87) = 1.56, p = .22), no Emotion by Exposure interaction F(4,348) = .49, p = .74), and no three-way interaction (F(4,348) = .56, p = .69).</w:t>
      </w:r>
    </w:p>
    <w:p w14:paraId="42CD4FBD" w14:textId="77777777" w:rsidR="00F7044C" w:rsidRPr="00C421E4" w:rsidRDefault="00F7044C" w:rsidP="00F7044C">
      <w:pPr>
        <w:spacing w:line="480" w:lineRule="auto"/>
        <w:rPr>
          <w:rFonts w:ascii="Times" w:hAnsi="Times"/>
        </w:rPr>
      </w:pPr>
    </w:p>
    <w:p w14:paraId="5978E8F0" w14:textId="77777777" w:rsidR="00F7044C" w:rsidRPr="004D354C" w:rsidRDefault="00F7044C" w:rsidP="00F7044C">
      <w:pPr>
        <w:spacing w:line="480" w:lineRule="auto"/>
        <w:outlineLvl w:val="0"/>
        <w:rPr>
          <w:rFonts w:ascii="Times" w:hAnsi="Times"/>
          <w:b/>
          <w:u w:val="single"/>
        </w:rPr>
      </w:pPr>
      <w:r w:rsidRPr="004D354C">
        <w:rPr>
          <w:rFonts w:ascii="Times" w:hAnsi="Times"/>
          <w:b/>
          <w:u w:val="single"/>
        </w:rPr>
        <w:t>d. Aim 1: EMG</w:t>
      </w:r>
    </w:p>
    <w:p w14:paraId="0E8D32E1" w14:textId="77777777" w:rsidR="00F7044C" w:rsidRPr="00C421E4" w:rsidRDefault="00F7044C" w:rsidP="00F7044C">
      <w:pPr>
        <w:spacing w:line="480" w:lineRule="auto"/>
        <w:rPr>
          <w:rFonts w:ascii="Times" w:hAnsi="Times"/>
        </w:rPr>
      </w:pPr>
      <w:r w:rsidRPr="00C421E4">
        <w:rPr>
          <w:rFonts w:ascii="Times" w:hAnsi="Times"/>
        </w:rPr>
        <w:t xml:space="preserve">There was one mTBI individual and seven non-TBI individuals who were considered statistical outliers for Corrugator results. There was one mTBI and eight non-TBI individuals who were considered statistical outliers for Zygomaticus results. Given that outlying measures seemed to be electrode-specific (and not person-specific), removing participants from one set of measurements did not necessarily exclude them from the second set. Note that Corrugator and Zygomaticus analyses were for only negative and positive image sets, respectively, as we did not have </w:t>
      </w:r>
      <w:r w:rsidRPr="00C421E4">
        <w:rPr>
          <w:rFonts w:ascii="Times" w:hAnsi="Times"/>
          <w:i/>
        </w:rPr>
        <w:t>a priori</w:t>
      </w:r>
      <w:r w:rsidRPr="00C421E4">
        <w:rPr>
          <w:rFonts w:ascii="Times" w:hAnsi="Times"/>
        </w:rPr>
        <w:t xml:space="preserve"> hypotheses for Corrugator response to positive images or Zygomaticus response to negative images. </w:t>
      </w:r>
    </w:p>
    <w:p w14:paraId="59E5A699" w14:textId="77777777" w:rsidR="00F7044C" w:rsidRPr="00C421E4" w:rsidRDefault="00F7044C" w:rsidP="00F7044C">
      <w:pPr>
        <w:spacing w:line="480" w:lineRule="auto"/>
        <w:rPr>
          <w:rFonts w:ascii="Times" w:hAnsi="Times"/>
        </w:rPr>
      </w:pPr>
    </w:p>
    <w:p w14:paraId="5A3512A6" w14:textId="77777777" w:rsidR="00F7044C" w:rsidRPr="00C421E4" w:rsidRDefault="00F7044C" w:rsidP="00F7044C">
      <w:pPr>
        <w:spacing w:line="480" w:lineRule="auto"/>
        <w:rPr>
          <w:rFonts w:ascii="Times" w:hAnsi="Times"/>
        </w:rPr>
      </w:pPr>
      <w:r w:rsidRPr="00C421E4">
        <w:rPr>
          <w:rFonts w:ascii="Times" w:hAnsi="Times"/>
        </w:rPr>
        <w:lastRenderedPageBreak/>
        <w:t>For the Corrugator muscle, there was no main effect of Exposure (</w:t>
      </w:r>
      <w:proofErr w:type="gramStart"/>
      <w:r w:rsidRPr="00C421E4">
        <w:rPr>
          <w:rFonts w:ascii="Times" w:hAnsi="Times"/>
        </w:rPr>
        <w:t>F(</w:t>
      </w:r>
      <w:proofErr w:type="gramEnd"/>
      <w:r w:rsidRPr="00C421E4">
        <w:rPr>
          <w:rFonts w:ascii="Times" w:hAnsi="Times"/>
        </w:rPr>
        <w:t>4,316) = .18, p = .14), no Exposure by Injury Group interaction (F(4,316) = .81, p = .52), and no main effect of Injury Group (F(1,79) = .85, p = .36). For the Zygomaticus muscle, there was no main effect of Injury Group (</w:t>
      </w:r>
      <w:proofErr w:type="gramStart"/>
      <w:r w:rsidRPr="00C421E4">
        <w:rPr>
          <w:rFonts w:ascii="Times" w:hAnsi="Times"/>
        </w:rPr>
        <w:t>F(</w:t>
      </w:r>
      <w:proofErr w:type="gramEnd"/>
      <w:r w:rsidRPr="00C421E4">
        <w:rPr>
          <w:rFonts w:ascii="Times" w:hAnsi="Times"/>
        </w:rPr>
        <w:t>1,78) = 3.36, p = .07). There was no main effect of Exposure (</w:t>
      </w:r>
      <w:proofErr w:type="gramStart"/>
      <w:r w:rsidRPr="00C421E4">
        <w:rPr>
          <w:rFonts w:ascii="Times" w:hAnsi="Times"/>
        </w:rPr>
        <w:t>F(</w:t>
      </w:r>
      <w:proofErr w:type="gramEnd"/>
      <w:r w:rsidRPr="00C421E4">
        <w:rPr>
          <w:rFonts w:ascii="Times" w:hAnsi="Times"/>
        </w:rPr>
        <w:t xml:space="preserve">4,312) = 1.67, p = .16) and no significant Exposure by Injury Group interaction (F(4,312) = 4.98, p = .03, </w:t>
      </w:r>
      <w:r w:rsidRPr="00C421E4">
        <w:rPr>
          <w:rFonts w:ascii="Times" w:hAnsi="Times"/>
        </w:rPr>
        <w:sym w:font="Symbol" w:char="F068"/>
      </w:r>
      <w:r w:rsidRPr="00C421E4">
        <w:rPr>
          <w:rFonts w:ascii="Times" w:hAnsi="Times"/>
        </w:rPr>
        <w:t xml:space="preserve"> = .04). </w:t>
      </w:r>
    </w:p>
    <w:p w14:paraId="411946B1" w14:textId="77777777" w:rsidR="00F7044C" w:rsidRPr="00C421E4" w:rsidRDefault="00F7044C" w:rsidP="00F7044C">
      <w:pPr>
        <w:spacing w:line="480" w:lineRule="auto"/>
        <w:rPr>
          <w:rFonts w:ascii="Times" w:hAnsi="Times"/>
        </w:rPr>
      </w:pPr>
    </w:p>
    <w:p w14:paraId="01B9CCB8" w14:textId="77777777" w:rsidR="00F7044C" w:rsidRPr="006E5827" w:rsidRDefault="00F7044C" w:rsidP="00F7044C">
      <w:pPr>
        <w:spacing w:line="480" w:lineRule="auto"/>
        <w:outlineLvl w:val="0"/>
        <w:rPr>
          <w:rFonts w:ascii="Times" w:hAnsi="Times"/>
          <w:b/>
          <w:u w:val="single"/>
        </w:rPr>
      </w:pPr>
      <w:r w:rsidRPr="006E5827">
        <w:rPr>
          <w:rFonts w:ascii="Times" w:hAnsi="Times"/>
          <w:b/>
          <w:u w:val="single"/>
        </w:rPr>
        <w:t>e. Aim 1: Heart Rate Deceleration</w:t>
      </w:r>
    </w:p>
    <w:p w14:paraId="4FEF6F35" w14:textId="77777777" w:rsidR="00F7044C" w:rsidRPr="00C421E4" w:rsidRDefault="00F7044C" w:rsidP="00F7044C">
      <w:pPr>
        <w:spacing w:line="480" w:lineRule="auto"/>
        <w:rPr>
          <w:rFonts w:ascii="Times" w:hAnsi="Times"/>
        </w:rPr>
      </w:pPr>
      <w:r w:rsidRPr="00C421E4">
        <w:rPr>
          <w:rFonts w:ascii="Times" w:hAnsi="Times"/>
        </w:rPr>
        <w:t>There were five mTBI and four non-TBI statistical outliers for HR. There was no main effect of Emotion (</w:t>
      </w:r>
      <w:proofErr w:type="gramStart"/>
      <w:r w:rsidRPr="00C421E4">
        <w:rPr>
          <w:rFonts w:ascii="Times" w:hAnsi="Times"/>
        </w:rPr>
        <w:t>F(</w:t>
      </w:r>
      <w:proofErr w:type="gramEnd"/>
      <w:r w:rsidRPr="00C421E4">
        <w:rPr>
          <w:rFonts w:ascii="Times" w:hAnsi="Times"/>
        </w:rPr>
        <w:t>1,78) = .02, p = .88). There was no main effect of Exposure (</w:t>
      </w:r>
      <w:proofErr w:type="gramStart"/>
      <w:r w:rsidRPr="00C421E4">
        <w:rPr>
          <w:rFonts w:ascii="Times" w:hAnsi="Times"/>
        </w:rPr>
        <w:t>F(</w:t>
      </w:r>
      <w:proofErr w:type="gramEnd"/>
      <w:r w:rsidRPr="00C421E4">
        <w:rPr>
          <w:rFonts w:ascii="Times" w:hAnsi="Times"/>
        </w:rPr>
        <w:t>4,312) = 2.71, p = .10). There was no Emotion by Exposure interaction (</w:t>
      </w:r>
      <w:proofErr w:type="gramStart"/>
      <w:r w:rsidRPr="00C421E4">
        <w:rPr>
          <w:rFonts w:ascii="Times" w:hAnsi="Times"/>
        </w:rPr>
        <w:t>F(</w:t>
      </w:r>
      <w:proofErr w:type="gramEnd"/>
      <w:r w:rsidRPr="00C421E4">
        <w:rPr>
          <w:rFonts w:ascii="Times" w:hAnsi="Times"/>
        </w:rPr>
        <w:t>4,312) = .10, p = .98), no Emotion by Injury Group interaction (F(1,78) = 2.16, p = .15), and no Exposure by Injury Group interaction (F(4,312) = 1.34, p = .25). There was no significant a three-way interaction between Emotion, Exposure, and Injury Group (</w:t>
      </w:r>
      <w:proofErr w:type="gramStart"/>
      <w:r w:rsidRPr="00C421E4">
        <w:rPr>
          <w:rFonts w:ascii="Times" w:hAnsi="Times"/>
        </w:rPr>
        <w:t>F(</w:t>
      </w:r>
      <w:proofErr w:type="gramEnd"/>
      <w:r w:rsidRPr="00C421E4">
        <w:rPr>
          <w:rFonts w:ascii="Times" w:hAnsi="Times"/>
        </w:rPr>
        <w:t xml:space="preserve">4,312) = 2.81, p = .03, </w:t>
      </w:r>
      <w:r w:rsidRPr="00C421E4">
        <w:rPr>
          <w:rFonts w:ascii="Times" w:hAnsi="Times"/>
        </w:rPr>
        <w:sym w:font="Symbol" w:char="F068"/>
      </w:r>
      <w:r w:rsidRPr="00C421E4">
        <w:rPr>
          <w:rFonts w:ascii="Times" w:hAnsi="Times"/>
        </w:rPr>
        <w:t xml:space="preserve"> = .04). </w:t>
      </w:r>
    </w:p>
    <w:p w14:paraId="2F8A1F38" w14:textId="77777777" w:rsidR="00F7044C" w:rsidRPr="00C421E4" w:rsidRDefault="00F7044C" w:rsidP="00F7044C">
      <w:pPr>
        <w:spacing w:line="480" w:lineRule="auto"/>
        <w:rPr>
          <w:rFonts w:ascii="Times" w:hAnsi="Times"/>
        </w:rPr>
      </w:pPr>
    </w:p>
    <w:p w14:paraId="60DC8574" w14:textId="77777777" w:rsidR="00F7044C" w:rsidRPr="00127304" w:rsidRDefault="00F7044C" w:rsidP="00F7044C">
      <w:pPr>
        <w:spacing w:line="480" w:lineRule="auto"/>
        <w:outlineLvl w:val="0"/>
        <w:rPr>
          <w:rFonts w:ascii="Times" w:hAnsi="Times"/>
          <w:b/>
          <w:u w:val="single"/>
        </w:rPr>
      </w:pPr>
      <w:r w:rsidRPr="00127304">
        <w:rPr>
          <w:rFonts w:ascii="Times" w:hAnsi="Times"/>
          <w:b/>
          <w:u w:val="single"/>
        </w:rPr>
        <w:t>f. Aim 2: Circadian Analyses</w:t>
      </w:r>
    </w:p>
    <w:p w14:paraId="06F89261" w14:textId="77777777" w:rsidR="00F7044C" w:rsidRPr="00C421E4" w:rsidRDefault="00F7044C" w:rsidP="00F7044C">
      <w:pPr>
        <w:spacing w:line="480" w:lineRule="auto"/>
        <w:rPr>
          <w:rFonts w:ascii="Times" w:hAnsi="Times"/>
        </w:rPr>
      </w:pPr>
      <w:r w:rsidRPr="00C421E4">
        <w:rPr>
          <w:rFonts w:ascii="Times" w:hAnsi="Times"/>
        </w:rPr>
        <w:t xml:space="preserve">As mentioned, a cubic analysis was performed to assess whether a circadian variation was present in the </w:t>
      </w:r>
      <w:r w:rsidRPr="00C421E4">
        <w:rPr>
          <w:rFonts w:ascii="Times" w:hAnsi="Times"/>
          <w:u w:val="single"/>
        </w:rPr>
        <w:t>reactivity</w:t>
      </w:r>
      <w:r w:rsidRPr="00C421E4">
        <w:rPr>
          <w:rFonts w:ascii="Times" w:hAnsi="Times"/>
        </w:rPr>
        <w:t xml:space="preserve"> data for negative and valence (</w:t>
      </w:r>
      <w:r>
        <w:rPr>
          <w:rFonts w:ascii="Times" w:hAnsi="Times"/>
        </w:rPr>
        <w:t>Figure 10</w:t>
      </w:r>
      <w:r w:rsidRPr="00C421E4">
        <w:rPr>
          <w:rFonts w:ascii="Times" w:hAnsi="Times"/>
        </w:rPr>
        <w:t xml:space="preserve">). Gender was included as a covariate. There was no cubic curve while either controlling for MEQ scores (B &lt; .001, p = .37) or without controlling for these scores (B &lt; .001, p = .37). We conducted an exploratory analysis to determine whether a quadratic curve might be present in the data (meaning there is one curve in the data, whereas a cubic curve has two </w:t>
      </w:r>
      <w:r w:rsidRPr="00C421E4">
        <w:rPr>
          <w:rFonts w:ascii="Times" w:hAnsi="Times"/>
        </w:rPr>
        <w:lastRenderedPageBreak/>
        <w:t xml:space="preserve">curves in the data). This test did also not reach significance (B = -.001, p = .53). Lastly, although we did not have </w:t>
      </w:r>
      <w:r w:rsidRPr="00C421E4">
        <w:rPr>
          <w:rFonts w:ascii="Times" w:hAnsi="Times"/>
          <w:i/>
        </w:rPr>
        <w:t>a priori</w:t>
      </w:r>
      <w:r w:rsidRPr="00C421E4">
        <w:rPr>
          <w:rFonts w:ascii="Times" w:hAnsi="Times"/>
        </w:rPr>
        <w:t xml:space="preserve"> hypotheses for positive valence (as no positive valence pilot data were available in </w:t>
      </w:r>
      <w:r w:rsidRPr="00C421E4">
        <w:rPr>
          <w:rFonts w:ascii="Times" w:hAnsi="Times"/>
          <w:b/>
        </w:rPr>
        <w:t>Study 2</w:t>
      </w:r>
      <w:r w:rsidRPr="00C421E4">
        <w:rPr>
          <w:rFonts w:ascii="Times" w:hAnsi="Times"/>
        </w:rPr>
        <w:t xml:space="preserve">), we conducted an additional exploratory analysis assessing whether circadian curvature might be present for positive valence reactivity. This test also did not reach significance (B = .001, p = .79). </w:t>
      </w:r>
    </w:p>
    <w:p w14:paraId="0914418C" w14:textId="77777777" w:rsidR="00F7044C" w:rsidRPr="00C421E4" w:rsidRDefault="00F7044C" w:rsidP="00F7044C">
      <w:pPr>
        <w:spacing w:line="480" w:lineRule="auto"/>
        <w:rPr>
          <w:rFonts w:ascii="Times" w:hAnsi="Times"/>
        </w:rPr>
      </w:pPr>
    </w:p>
    <w:p w14:paraId="69235513" w14:textId="77777777" w:rsidR="00F7044C" w:rsidRPr="00C421E4" w:rsidRDefault="00F7044C" w:rsidP="00F7044C">
      <w:pPr>
        <w:spacing w:line="480" w:lineRule="auto"/>
        <w:rPr>
          <w:rFonts w:ascii="Times" w:hAnsi="Times"/>
        </w:rPr>
      </w:pPr>
      <w:r w:rsidRPr="00C421E4">
        <w:rPr>
          <w:rFonts w:ascii="Times" w:hAnsi="Times"/>
        </w:rPr>
        <w:t>We conducted similar tests for arousal ratings (</w:t>
      </w:r>
      <w:r>
        <w:rPr>
          <w:rFonts w:ascii="Times" w:hAnsi="Times"/>
        </w:rPr>
        <w:t>Figure 11</w:t>
      </w:r>
      <w:r w:rsidRPr="00C421E4">
        <w:rPr>
          <w:rFonts w:ascii="Times" w:hAnsi="Times"/>
        </w:rPr>
        <w:t>). For negative arousal reactivity, there was no cubic curve while either controlling for MEQ scores (B &lt; .001, p = .62) or without controlling for MEQ scores (B &lt; .001, p = .96). Similarly, for positive arousal, there was no cubic curve while either controlling for MEQ scores (B &lt; .001, p = .95) or without controlling for MEQ scores (B &lt; .001, p = .98).</w:t>
      </w:r>
    </w:p>
    <w:p w14:paraId="0B83A31B" w14:textId="77777777" w:rsidR="00F7044C" w:rsidRPr="00C421E4" w:rsidRDefault="00F7044C" w:rsidP="00F7044C">
      <w:pPr>
        <w:spacing w:line="480" w:lineRule="auto"/>
        <w:rPr>
          <w:rFonts w:ascii="Times" w:hAnsi="Times"/>
        </w:rPr>
      </w:pPr>
    </w:p>
    <w:p w14:paraId="5414F72F" w14:textId="77777777" w:rsidR="00F7044C" w:rsidRPr="00C421E4" w:rsidRDefault="00F7044C" w:rsidP="00F7044C">
      <w:pPr>
        <w:pStyle w:val="NoSpacing"/>
        <w:spacing w:line="480" w:lineRule="auto"/>
        <w:rPr>
          <w:rFonts w:ascii="Times" w:hAnsi="Times"/>
        </w:rPr>
      </w:pPr>
      <w:r w:rsidRPr="00C421E4">
        <w:rPr>
          <w:rFonts w:ascii="Times" w:hAnsi="Times"/>
        </w:rPr>
        <w:t xml:space="preserve">A set of post-hoc analyses was conducted that explored whether we could replicate the group differences seen in the morning in </w:t>
      </w:r>
      <w:r w:rsidRPr="00C421E4">
        <w:rPr>
          <w:rFonts w:ascii="Times" w:hAnsi="Times"/>
          <w:b/>
        </w:rPr>
        <w:t>Study 2</w:t>
      </w:r>
      <w:r w:rsidRPr="00C421E4">
        <w:rPr>
          <w:rFonts w:ascii="Times" w:hAnsi="Times"/>
        </w:rPr>
        <w:t xml:space="preserve">. We tested differences between the mTBI and non-TBI groups for participants who completed the task in the morning (9-11AM) and in the evening (5-8PM). We compared negative valence ratings between the mTBI and non-TBI groups within each time slot. Because reducing the sample into time slots reduced statistical power, no significant differences between groups were expected. We therefore focused on effect sizes. For morning participants (mTBI </w:t>
      </w:r>
      <w:r w:rsidRPr="00C421E4">
        <w:rPr>
          <w:rFonts w:ascii="Times" w:hAnsi="Times"/>
          <w:i/>
        </w:rPr>
        <w:t xml:space="preserve">n </w:t>
      </w:r>
      <w:r w:rsidRPr="00C421E4">
        <w:rPr>
          <w:rFonts w:ascii="Times" w:hAnsi="Times"/>
        </w:rPr>
        <w:t xml:space="preserve">= 12, non-TBI </w:t>
      </w:r>
      <w:r w:rsidRPr="00C421E4">
        <w:rPr>
          <w:rFonts w:ascii="Times" w:hAnsi="Times"/>
          <w:i/>
        </w:rPr>
        <w:t>n</w:t>
      </w:r>
      <w:r w:rsidRPr="00C421E4">
        <w:rPr>
          <w:rFonts w:ascii="Times" w:hAnsi="Times"/>
        </w:rPr>
        <w:t xml:space="preserve"> = 13), similar to what was seen in </w:t>
      </w:r>
      <w:r w:rsidRPr="00C421E4">
        <w:rPr>
          <w:rFonts w:ascii="Times" w:hAnsi="Times"/>
          <w:b/>
        </w:rPr>
        <w:t>Study 2</w:t>
      </w:r>
      <w:r w:rsidRPr="00C421E4">
        <w:rPr>
          <w:rFonts w:ascii="Times" w:hAnsi="Times"/>
        </w:rPr>
        <w:t xml:space="preserve">, the mTBI group exhibited blunted valence ratings relative to the non-TBI group, but the effect size was small (mTBI mean = 2.93 </w:t>
      </w:r>
      <w:r w:rsidRPr="00C421E4">
        <w:rPr>
          <w:rFonts w:ascii="Times" w:hAnsi="Times"/>
        </w:rPr>
        <w:sym w:font="Symbol" w:char="F0B1"/>
      </w:r>
      <w:r w:rsidRPr="00C421E4">
        <w:rPr>
          <w:rFonts w:ascii="Times" w:hAnsi="Times"/>
        </w:rPr>
        <w:t xml:space="preserve"> .75; non-TBI mean = 2.67 </w:t>
      </w:r>
      <w:r w:rsidRPr="00C421E4">
        <w:rPr>
          <w:rFonts w:ascii="Times" w:hAnsi="Times"/>
        </w:rPr>
        <w:sym w:font="Symbol" w:char="F0B1"/>
      </w:r>
      <w:r w:rsidRPr="00C421E4">
        <w:rPr>
          <w:rFonts w:ascii="Times" w:hAnsi="Times"/>
        </w:rPr>
        <w:t xml:space="preserve"> .82; Cohen’s d = .32). In </w:t>
      </w:r>
      <w:r w:rsidRPr="00C421E4">
        <w:rPr>
          <w:rFonts w:ascii="Times" w:hAnsi="Times"/>
          <w:b/>
        </w:rPr>
        <w:t>Study 2</w:t>
      </w:r>
      <w:r w:rsidRPr="00C421E4">
        <w:rPr>
          <w:rFonts w:ascii="Times" w:hAnsi="Times"/>
        </w:rPr>
        <w:t xml:space="preserve">, the effect size was moderate (i.e., .65). Therefore, although we were able to replicate the pattern of findings </w:t>
      </w:r>
      <w:r w:rsidRPr="00C421E4">
        <w:rPr>
          <w:rFonts w:ascii="Times" w:hAnsi="Times"/>
        </w:rPr>
        <w:lastRenderedPageBreak/>
        <w:t xml:space="preserve">from </w:t>
      </w:r>
      <w:r w:rsidRPr="00C421E4">
        <w:rPr>
          <w:rFonts w:ascii="Times" w:hAnsi="Times"/>
          <w:b/>
        </w:rPr>
        <w:t>Study 2</w:t>
      </w:r>
      <w:r w:rsidRPr="00C421E4">
        <w:rPr>
          <w:rFonts w:ascii="Times" w:hAnsi="Times"/>
        </w:rPr>
        <w:t xml:space="preserve">, the effect size is smaller in the current work. For the 6-8PM time slot (mTBI n = 10, non-TBI n = 11), the mTBI group had slightly less emotional valence ratings, with a very small effect size (mTBI mean = 2.68 </w:t>
      </w:r>
      <w:r w:rsidRPr="00C421E4">
        <w:rPr>
          <w:rFonts w:ascii="Times" w:hAnsi="Times"/>
        </w:rPr>
        <w:sym w:font="Symbol" w:char="F0B1"/>
      </w:r>
      <w:r w:rsidRPr="00C421E4">
        <w:rPr>
          <w:rFonts w:ascii="Times" w:hAnsi="Times"/>
        </w:rPr>
        <w:t xml:space="preserve"> .75; non-TBI mean = 2.61 </w:t>
      </w:r>
      <w:r w:rsidRPr="00C421E4">
        <w:rPr>
          <w:rFonts w:ascii="Times" w:hAnsi="Times"/>
        </w:rPr>
        <w:sym w:font="Symbol" w:char="F0B1"/>
      </w:r>
      <w:r w:rsidRPr="00C421E4">
        <w:rPr>
          <w:rFonts w:ascii="Times" w:hAnsi="Times"/>
        </w:rPr>
        <w:t xml:space="preserve"> .47; Cohen’s d = .11). These results are also similar to those seen in </w:t>
      </w:r>
      <w:r w:rsidRPr="00C421E4">
        <w:rPr>
          <w:rFonts w:ascii="Times" w:hAnsi="Times"/>
          <w:b/>
        </w:rPr>
        <w:t>Study 2</w:t>
      </w:r>
      <w:r w:rsidRPr="00C421E4">
        <w:rPr>
          <w:rFonts w:ascii="Times" w:hAnsi="Times"/>
        </w:rPr>
        <w:t xml:space="preserve">; we see a smaller difference between groups during the evening time point than the morning time point. </w:t>
      </w:r>
    </w:p>
    <w:p w14:paraId="435B9EA4" w14:textId="77777777" w:rsidR="00F7044C" w:rsidRPr="00C421E4" w:rsidRDefault="00F7044C" w:rsidP="00F7044C">
      <w:pPr>
        <w:spacing w:line="480" w:lineRule="auto"/>
        <w:rPr>
          <w:rFonts w:ascii="Times" w:hAnsi="Times"/>
        </w:rPr>
      </w:pPr>
    </w:p>
    <w:p w14:paraId="2CE1C7E1" w14:textId="77777777" w:rsidR="00F7044C" w:rsidRPr="00C421E4" w:rsidRDefault="00F7044C" w:rsidP="00F7044C">
      <w:pPr>
        <w:spacing w:line="480" w:lineRule="auto"/>
        <w:rPr>
          <w:rFonts w:ascii="Times" w:hAnsi="Times"/>
        </w:rPr>
      </w:pPr>
      <w:r w:rsidRPr="00C421E4">
        <w:rPr>
          <w:rFonts w:ascii="Times" w:hAnsi="Times"/>
        </w:rPr>
        <w:t xml:space="preserve">Circadian rhythmicity of </w:t>
      </w:r>
      <w:r w:rsidRPr="00C421E4">
        <w:rPr>
          <w:rFonts w:ascii="Times" w:hAnsi="Times"/>
          <w:u w:val="single"/>
        </w:rPr>
        <w:t>habituation</w:t>
      </w:r>
      <w:r w:rsidRPr="00C421E4">
        <w:rPr>
          <w:rFonts w:ascii="Times" w:hAnsi="Times"/>
        </w:rPr>
        <w:t xml:space="preserve"> also was explored for arousal and valence. We did not have </w:t>
      </w:r>
      <w:r w:rsidRPr="00C421E4">
        <w:rPr>
          <w:rFonts w:ascii="Times" w:hAnsi="Times"/>
          <w:i/>
        </w:rPr>
        <w:t>a priori</w:t>
      </w:r>
      <w:r w:rsidRPr="00C421E4">
        <w:rPr>
          <w:rFonts w:ascii="Times" w:hAnsi="Times"/>
        </w:rPr>
        <w:t xml:space="preserve"> hypotheses for these analyses, because our pilot data did not suggest circadian differences in habituation. Yet given that habituation and reactivity might be associated, we conducted these analyses in an exploratory manner. For negative valence habituation, there was no cubic curve while either controlling for MEQ scores (B &lt; .001, p = .61) or without controlling for MEQ scores (B &lt; .001, p = .62). For positive valence habituation, there was no cubic curve while either controlling for MEQ scores (B &lt; .001, p = .80) or without controlling for MEQ scores (B &lt; .001, p = .80).</w:t>
      </w:r>
    </w:p>
    <w:p w14:paraId="6CBDD575" w14:textId="77777777" w:rsidR="00F7044C" w:rsidRPr="00C421E4" w:rsidRDefault="00F7044C" w:rsidP="00F7044C">
      <w:pPr>
        <w:spacing w:line="480" w:lineRule="auto"/>
        <w:rPr>
          <w:rFonts w:ascii="Times" w:hAnsi="Times"/>
        </w:rPr>
      </w:pPr>
    </w:p>
    <w:p w14:paraId="49B2D7B9" w14:textId="77777777" w:rsidR="00F7044C" w:rsidRPr="00C421E4" w:rsidRDefault="00F7044C" w:rsidP="00F7044C">
      <w:pPr>
        <w:spacing w:line="480" w:lineRule="auto"/>
        <w:rPr>
          <w:rFonts w:ascii="Times" w:hAnsi="Times"/>
        </w:rPr>
      </w:pPr>
      <w:r w:rsidRPr="00C421E4">
        <w:rPr>
          <w:rFonts w:ascii="Times" w:hAnsi="Times"/>
        </w:rPr>
        <w:t>For negative arousal habituation, there was no cubic curve while either controlling for MEQ scores (B &lt; .001, p = .98) or without controlling for MEQ scores (B &lt; .001, p = .97). Lastly, for positive arousal habituation, there was no cubic curve while either controlling for MEQ scores (B &lt; .001, p = .81) or without controlling for MEQ scores (B &lt; .001, p = .84). Therefore, time-of-testing was not used as a covariate in subsequent analyses.</w:t>
      </w:r>
    </w:p>
    <w:p w14:paraId="6D0AB589" w14:textId="77777777" w:rsidR="00F7044C" w:rsidRPr="00C421E4" w:rsidRDefault="00F7044C" w:rsidP="00F7044C">
      <w:pPr>
        <w:spacing w:line="480" w:lineRule="auto"/>
        <w:rPr>
          <w:rFonts w:ascii="Times" w:hAnsi="Times"/>
        </w:rPr>
      </w:pPr>
    </w:p>
    <w:p w14:paraId="4EE34719" w14:textId="77777777" w:rsidR="00F7044C" w:rsidRPr="00127304" w:rsidRDefault="00F7044C" w:rsidP="00F7044C">
      <w:pPr>
        <w:spacing w:line="480" w:lineRule="auto"/>
        <w:outlineLvl w:val="0"/>
        <w:rPr>
          <w:rFonts w:ascii="Times" w:hAnsi="Times"/>
          <w:b/>
          <w:u w:val="single"/>
        </w:rPr>
      </w:pPr>
      <w:r w:rsidRPr="00127304">
        <w:rPr>
          <w:rFonts w:ascii="Times" w:hAnsi="Times"/>
          <w:b/>
          <w:u w:val="single"/>
        </w:rPr>
        <w:lastRenderedPageBreak/>
        <w:t>g. Aim 2: Behavioral results</w:t>
      </w:r>
    </w:p>
    <w:p w14:paraId="002B6D84" w14:textId="77777777" w:rsidR="00F7044C" w:rsidRPr="00C421E4" w:rsidRDefault="00F7044C" w:rsidP="00F7044C">
      <w:pPr>
        <w:spacing w:line="480" w:lineRule="auto"/>
        <w:rPr>
          <w:rFonts w:ascii="Times" w:hAnsi="Times"/>
        </w:rPr>
      </w:pPr>
      <w:r w:rsidRPr="00C421E4">
        <w:rPr>
          <w:rFonts w:ascii="Times" w:hAnsi="Times"/>
        </w:rPr>
        <w:t>There were no differences in valence reactivity (i.e., valence ratings at Exposure 1) for negative images (</w:t>
      </w:r>
      <w:proofErr w:type="gramStart"/>
      <w:r w:rsidRPr="00C421E4">
        <w:rPr>
          <w:rFonts w:ascii="Times" w:hAnsi="Times"/>
        </w:rPr>
        <w:t>t(</w:t>
      </w:r>
      <w:proofErr w:type="gramEnd"/>
      <w:r w:rsidRPr="00C421E4">
        <w:rPr>
          <w:rFonts w:ascii="Times" w:hAnsi="Times"/>
        </w:rPr>
        <w:t>86) = .89, p = .35). There was no difference between groups for positive valence (</w:t>
      </w:r>
      <w:proofErr w:type="gramStart"/>
      <w:r w:rsidRPr="00C421E4">
        <w:rPr>
          <w:rFonts w:ascii="Times" w:hAnsi="Times"/>
        </w:rPr>
        <w:t>t(</w:t>
      </w:r>
      <w:proofErr w:type="gramEnd"/>
      <w:r w:rsidRPr="00C421E4">
        <w:rPr>
          <w:rFonts w:ascii="Times" w:hAnsi="Times"/>
        </w:rPr>
        <w:t>86) = 3.19, p = .08). There were no differences in arousal reactivity (i.e., arousal ratings at Exposure 1) for negative (</w:t>
      </w:r>
      <w:proofErr w:type="gramStart"/>
      <w:r w:rsidRPr="00C421E4">
        <w:rPr>
          <w:rFonts w:ascii="Times" w:hAnsi="Times"/>
        </w:rPr>
        <w:t>t(</w:t>
      </w:r>
      <w:proofErr w:type="gramEnd"/>
      <w:r w:rsidRPr="00C421E4">
        <w:rPr>
          <w:rFonts w:ascii="Times" w:hAnsi="Times"/>
        </w:rPr>
        <w:t xml:space="preserve">86) = 1.13, p = .29) or positive stimuli (t(86) = .04, p = .84). </w:t>
      </w:r>
    </w:p>
    <w:p w14:paraId="1D1515DB" w14:textId="77777777" w:rsidR="00F7044C" w:rsidRPr="00C421E4" w:rsidRDefault="00F7044C" w:rsidP="00F7044C">
      <w:pPr>
        <w:spacing w:line="480" w:lineRule="auto"/>
        <w:rPr>
          <w:rFonts w:ascii="Times" w:hAnsi="Times"/>
        </w:rPr>
      </w:pPr>
    </w:p>
    <w:p w14:paraId="4CF42F2D" w14:textId="77777777" w:rsidR="00F7044C" w:rsidRPr="00127304" w:rsidRDefault="00F7044C" w:rsidP="00F7044C">
      <w:pPr>
        <w:spacing w:line="480" w:lineRule="auto"/>
        <w:outlineLvl w:val="0"/>
        <w:rPr>
          <w:rFonts w:ascii="Times" w:hAnsi="Times"/>
          <w:b/>
          <w:u w:val="single"/>
        </w:rPr>
      </w:pPr>
      <w:r w:rsidRPr="00127304">
        <w:rPr>
          <w:rFonts w:ascii="Times" w:hAnsi="Times"/>
          <w:b/>
          <w:u w:val="single"/>
        </w:rPr>
        <w:t>h. Aim 2: Physiological Results</w:t>
      </w:r>
    </w:p>
    <w:p w14:paraId="4EC2B78D" w14:textId="77777777" w:rsidR="00F7044C" w:rsidRPr="00C421E4" w:rsidRDefault="00F7044C" w:rsidP="00F7044C">
      <w:pPr>
        <w:spacing w:line="480" w:lineRule="auto"/>
        <w:rPr>
          <w:rFonts w:ascii="Times" w:hAnsi="Times"/>
        </w:rPr>
      </w:pPr>
      <w:r w:rsidRPr="00C421E4">
        <w:rPr>
          <w:rFonts w:ascii="Times" w:hAnsi="Times"/>
        </w:rPr>
        <w:t>For skin conductance, there were no group differences in reactivity (i.e., the first phasic response) to positive stimuli (</w:t>
      </w:r>
      <w:proofErr w:type="gramStart"/>
      <w:r w:rsidRPr="00C421E4">
        <w:rPr>
          <w:rFonts w:ascii="Times" w:hAnsi="Times"/>
        </w:rPr>
        <w:t>t(</w:t>
      </w:r>
      <w:proofErr w:type="gramEnd"/>
      <w:r w:rsidRPr="00C421E4">
        <w:rPr>
          <w:rFonts w:ascii="Times" w:hAnsi="Times"/>
        </w:rPr>
        <w:t>83) = .02, p = .87) or negative stimuli (t(83) = .47, p = .49). For Corrugator EMG tone, there were no differences for EMG Corrugator change in response to the first negative image set (</w:t>
      </w:r>
      <w:proofErr w:type="gramStart"/>
      <w:r w:rsidRPr="00C421E4">
        <w:rPr>
          <w:rFonts w:ascii="Times" w:hAnsi="Times"/>
        </w:rPr>
        <w:t>t(</w:t>
      </w:r>
      <w:proofErr w:type="gramEnd"/>
      <w:r w:rsidRPr="00C421E4">
        <w:rPr>
          <w:rFonts w:ascii="Times" w:hAnsi="Times"/>
        </w:rPr>
        <w:t>79) = 1.64, p = .20). For Zygomaticus EMG tone, there were no differences in EMG between groups in response to the first positive set (</w:t>
      </w:r>
      <w:proofErr w:type="gramStart"/>
      <w:r w:rsidRPr="00C421E4">
        <w:rPr>
          <w:rFonts w:ascii="Times" w:hAnsi="Times"/>
        </w:rPr>
        <w:t>t(</w:t>
      </w:r>
      <w:proofErr w:type="gramEnd"/>
      <w:r w:rsidRPr="00C421E4">
        <w:rPr>
          <w:rFonts w:ascii="Times" w:hAnsi="Times"/>
        </w:rPr>
        <w:t>78) = 1.12, p = .29). For heart rate deceleration there were no differences in reactivity to positive images (</w:t>
      </w:r>
      <w:proofErr w:type="gramStart"/>
      <w:r w:rsidRPr="00C421E4">
        <w:rPr>
          <w:rFonts w:ascii="Times" w:hAnsi="Times"/>
        </w:rPr>
        <w:t>t(</w:t>
      </w:r>
      <w:proofErr w:type="gramEnd"/>
      <w:r w:rsidRPr="00C421E4">
        <w:rPr>
          <w:rFonts w:ascii="Times" w:hAnsi="Times"/>
        </w:rPr>
        <w:t>1,78) =  2.04, p = .16) or negative images (t(78) = .16, p = .69). In sum, for reactivity (i.e., during the first image exposure), no group differences were detected either behaviorally or physiologically.</w:t>
      </w:r>
    </w:p>
    <w:p w14:paraId="1F086CC6" w14:textId="77777777" w:rsidR="00F7044C" w:rsidRPr="00C421E4" w:rsidRDefault="00F7044C" w:rsidP="00F7044C">
      <w:pPr>
        <w:spacing w:line="480" w:lineRule="auto"/>
        <w:rPr>
          <w:rFonts w:ascii="Times" w:hAnsi="Times"/>
        </w:rPr>
      </w:pPr>
    </w:p>
    <w:p w14:paraId="2141A586" w14:textId="77777777" w:rsidR="00F7044C" w:rsidRPr="00127304" w:rsidRDefault="00F7044C" w:rsidP="00F7044C">
      <w:pPr>
        <w:spacing w:line="480" w:lineRule="auto"/>
        <w:rPr>
          <w:rFonts w:ascii="Times" w:hAnsi="Times"/>
          <w:b/>
          <w:u w:val="single"/>
        </w:rPr>
      </w:pPr>
      <w:r w:rsidRPr="00127304">
        <w:rPr>
          <w:rFonts w:ascii="Times" w:hAnsi="Times"/>
          <w:b/>
          <w:u w:val="single"/>
        </w:rPr>
        <w:t xml:space="preserve">i. Aim 3: </w:t>
      </w:r>
      <w:r>
        <w:rPr>
          <w:rFonts w:ascii="Times" w:hAnsi="Times"/>
          <w:b/>
          <w:u w:val="single"/>
        </w:rPr>
        <w:t>Overview</w:t>
      </w:r>
    </w:p>
    <w:p w14:paraId="6E77C4FE" w14:textId="77777777" w:rsidR="00F7044C" w:rsidRPr="00C421E4" w:rsidRDefault="00F7044C" w:rsidP="00F7044C">
      <w:pPr>
        <w:spacing w:line="480" w:lineRule="auto"/>
        <w:rPr>
          <w:rFonts w:ascii="Times" w:hAnsi="Times"/>
        </w:rPr>
      </w:pPr>
      <w:r w:rsidRPr="00C421E4">
        <w:rPr>
          <w:rFonts w:ascii="Times" w:hAnsi="Times"/>
        </w:rPr>
        <w:t xml:space="preserve">We next conducted analyses to probe whether reactivity and habituation were predictive of mood outcomes. Given the high correlation between BDI-II and STAI scores (r = .63), we approached these analyses in two ways. First, we conducted analyses separately for BDI-II and STAI scores. Second, these measures were combined (the average of z-scores </w:t>
      </w:r>
      <w:r w:rsidRPr="00C421E4">
        <w:rPr>
          <w:rFonts w:ascii="Times" w:hAnsi="Times"/>
        </w:rPr>
        <w:lastRenderedPageBreak/>
        <w:t xml:space="preserve">for both measures) and used as a single outcome variable. All factors (e.g., arousal ratings of positive images, Zygomaticus EMG tone, etc.) were entered into models separately. Collinearity was high between positive and negative stimuli (e.g., between skin conductance response to positive images and to negative images; variance Inflation Factor &gt; 5 for all physiological and behavioral measures). Therefore, positive and negative analyses were conducted separately. For all analyses conducted below, gender was a significant predictor of symptomology, such that females had higher symptomology throughout. </w:t>
      </w:r>
    </w:p>
    <w:p w14:paraId="03CD30C6" w14:textId="77777777" w:rsidR="00F7044C" w:rsidRPr="00C421E4" w:rsidRDefault="00F7044C" w:rsidP="00F7044C">
      <w:pPr>
        <w:spacing w:line="480" w:lineRule="auto"/>
        <w:rPr>
          <w:rFonts w:ascii="Times" w:hAnsi="Times"/>
        </w:rPr>
      </w:pPr>
    </w:p>
    <w:p w14:paraId="71D4D001" w14:textId="77777777" w:rsidR="00F7044C" w:rsidRPr="00E20F45" w:rsidRDefault="00F7044C" w:rsidP="00F7044C">
      <w:pPr>
        <w:spacing w:line="480" w:lineRule="auto"/>
        <w:rPr>
          <w:rFonts w:ascii="Times" w:hAnsi="Times"/>
          <w:b/>
          <w:u w:val="single"/>
        </w:rPr>
      </w:pPr>
      <w:r w:rsidRPr="00E20F45">
        <w:rPr>
          <w:rFonts w:ascii="Times" w:hAnsi="Times"/>
          <w:b/>
          <w:u w:val="single"/>
        </w:rPr>
        <w:t xml:space="preserve">j. Aim 3: Main Effects Predicting Depressive Symptomatology </w:t>
      </w:r>
    </w:p>
    <w:p w14:paraId="0C3C996C" w14:textId="77777777" w:rsidR="00F7044C" w:rsidRPr="00C421E4" w:rsidRDefault="00F7044C" w:rsidP="00F7044C">
      <w:pPr>
        <w:spacing w:line="480" w:lineRule="auto"/>
        <w:rPr>
          <w:rFonts w:ascii="Times" w:hAnsi="Times"/>
        </w:rPr>
      </w:pPr>
      <w:r w:rsidRPr="00C421E4">
        <w:rPr>
          <w:rFonts w:ascii="Times" w:hAnsi="Times"/>
        </w:rPr>
        <w:t>For reactivity, lower arousal ratings for positive images was predictive of higher depressive symptomatology</w:t>
      </w:r>
      <w:r>
        <w:rPr>
          <w:rFonts w:ascii="Times" w:hAnsi="Times"/>
        </w:rPr>
        <w:t xml:space="preserve"> (Table 11</w:t>
      </w:r>
      <w:r w:rsidRPr="00C421E4">
        <w:rPr>
          <w:rFonts w:ascii="Times" w:hAnsi="Times"/>
        </w:rPr>
        <w:t xml:space="preserve">). No other behavioral or physiological predictors were significant for reactivity. </w:t>
      </w:r>
    </w:p>
    <w:p w14:paraId="0BD67CCF" w14:textId="77777777" w:rsidR="00F7044C" w:rsidRPr="00C421E4" w:rsidRDefault="00F7044C" w:rsidP="00F7044C">
      <w:pPr>
        <w:spacing w:line="480" w:lineRule="auto"/>
        <w:rPr>
          <w:rFonts w:ascii="Times" w:hAnsi="Times"/>
          <w:i/>
        </w:rPr>
      </w:pPr>
    </w:p>
    <w:p w14:paraId="3E7EC9FF" w14:textId="77777777" w:rsidR="00F7044C" w:rsidRPr="00E20F45" w:rsidRDefault="00F7044C" w:rsidP="00F7044C">
      <w:pPr>
        <w:spacing w:line="480" w:lineRule="auto"/>
        <w:rPr>
          <w:rFonts w:ascii="Times" w:hAnsi="Times"/>
          <w:b/>
          <w:u w:val="single"/>
        </w:rPr>
      </w:pPr>
      <w:r w:rsidRPr="00E20F45">
        <w:rPr>
          <w:rFonts w:ascii="Times" w:hAnsi="Times"/>
          <w:b/>
          <w:u w:val="single"/>
        </w:rPr>
        <w:t xml:space="preserve">k. Aim 3: Main Effects Predicting Anxiety Symptomatology </w:t>
      </w:r>
    </w:p>
    <w:p w14:paraId="21180957" w14:textId="77777777" w:rsidR="00F7044C" w:rsidRPr="00C421E4" w:rsidRDefault="00F7044C" w:rsidP="00F7044C">
      <w:pPr>
        <w:spacing w:line="480" w:lineRule="auto"/>
        <w:rPr>
          <w:rFonts w:ascii="Times" w:hAnsi="Times"/>
        </w:rPr>
      </w:pPr>
      <w:r w:rsidRPr="00C421E4">
        <w:rPr>
          <w:rFonts w:ascii="Times" w:hAnsi="Times"/>
        </w:rPr>
        <w:t>For reactivity, there were no significant behavioral or physiological predictors of</w:t>
      </w:r>
      <w:r>
        <w:rPr>
          <w:rFonts w:ascii="Times" w:hAnsi="Times"/>
        </w:rPr>
        <w:t xml:space="preserve"> anxiety symptomatology (Table 12</w:t>
      </w:r>
      <w:r w:rsidRPr="00C421E4">
        <w:rPr>
          <w:rFonts w:ascii="Times" w:hAnsi="Times"/>
        </w:rPr>
        <w:t xml:space="preserve">). Similarly, for habituation, there were no significant predictors. </w:t>
      </w:r>
    </w:p>
    <w:p w14:paraId="322B0FF2" w14:textId="77777777" w:rsidR="00F7044C" w:rsidRPr="00C421E4" w:rsidRDefault="00F7044C" w:rsidP="00F7044C">
      <w:pPr>
        <w:spacing w:line="480" w:lineRule="auto"/>
        <w:rPr>
          <w:rFonts w:ascii="Times" w:hAnsi="Times"/>
        </w:rPr>
      </w:pPr>
    </w:p>
    <w:p w14:paraId="390F7960" w14:textId="77777777" w:rsidR="00F7044C" w:rsidRPr="00882FE4" w:rsidRDefault="00F7044C" w:rsidP="00F7044C">
      <w:pPr>
        <w:spacing w:line="480" w:lineRule="auto"/>
        <w:rPr>
          <w:rFonts w:ascii="Times" w:hAnsi="Times"/>
          <w:b/>
          <w:u w:val="single"/>
        </w:rPr>
      </w:pPr>
      <w:r w:rsidRPr="00882FE4">
        <w:rPr>
          <w:rFonts w:ascii="Times" w:hAnsi="Times"/>
          <w:b/>
          <w:u w:val="single"/>
        </w:rPr>
        <w:t>l. Aim 3: Main Effects Predicting Combined Symptomatology</w:t>
      </w:r>
    </w:p>
    <w:p w14:paraId="21B03623" w14:textId="77777777" w:rsidR="00F7044C" w:rsidRPr="00C421E4" w:rsidRDefault="00F7044C" w:rsidP="00F7044C">
      <w:pPr>
        <w:spacing w:line="480" w:lineRule="auto"/>
        <w:rPr>
          <w:rFonts w:ascii="Times" w:hAnsi="Times"/>
        </w:rPr>
      </w:pPr>
      <w:r w:rsidRPr="00C421E4">
        <w:rPr>
          <w:rFonts w:ascii="Times" w:hAnsi="Times"/>
        </w:rPr>
        <w:t>For reactivity, negative and positive valence ratings did not</w:t>
      </w:r>
      <w:r>
        <w:rPr>
          <w:rFonts w:ascii="Times" w:hAnsi="Times"/>
        </w:rPr>
        <w:t xml:space="preserve"> predict symptomatology (Table 13</w:t>
      </w:r>
      <w:r w:rsidRPr="00C421E4">
        <w:rPr>
          <w:rFonts w:ascii="Times" w:hAnsi="Times"/>
        </w:rPr>
        <w:t xml:space="preserve">). Arousal ratings for negative stimuli did not predict symptoms, but lower </w:t>
      </w:r>
      <w:r w:rsidRPr="00C421E4">
        <w:rPr>
          <w:rFonts w:ascii="Times" w:hAnsi="Times"/>
        </w:rPr>
        <w:lastRenderedPageBreak/>
        <w:t xml:space="preserve">arousal ratings for positive stimuli predicted higher mood symptomatology. For physiological measures, there were no significant predictors of symptomatology.  </w:t>
      </w:r>
    </w:p>
    <w:p w14:paraId="0019A387" w14:textId="77777777" w:rsidR="00F7044C" w:rsidRPr="00C421E4" w:rsidRDefault="00F7044C" w:rsidP="00F7044C">
      <w:pPr>
        <w:spacing w:line="480" w:lineRule="auto"/>
        <w:rPr>
          <w:rFonts w:ascii="Times" w:hAnsi="Times"/>
        </w:rPr>
      </w:pPr>
    </w:p>
    <w:p w14:paraId="72A3181B" w14:textId="77777777" w:rsidR="00F7044C" w:rsidRPr="00C421E4" w:rsidRDefault="00F7044C" w:rsidP="00F7044C">
      <w:pPr>
        <w:spacing w:line="480" w:lineRule="auto"/>
        <w:rPr>
          <w:rFonts w:ascii="Times" w:hAnsi="Times"/>
        </w:rPr>
      </w:pPr>
      <w:r w:rsidRPr="00C421E4">
        <w:rPr>
          <w:rFonts w:ascii="Times" w:hAnsi="Times"/>
        </w:rPr>
        <w:t xml:space="preserve">Habituation of valence ratings and arousal ratings did not predict combined </w:t>
      </w:r>
      <w:r>
        <w:rPr>
          <w:rFonts w:ascii="Times" w:hAnsi="Times"/>
        </w:rPr>
        <w:t>symptomatology (Table 13</w:t>
      </w:r>
      <w:r w:rsidRPr="00C421E4">
        <w:rPr>
          <w:rFonts w:ascii="Times" w:hAnsi="Times"/>
        </w:rPr>
        <w:t xml:space="preserve">). Habituation of skin conductance and heart rate did not predict symptomatology. However, habituation of Zygomaticus muscle tone was a significant predictor, such that greater habituation (i.e., losing tone more quickly in response to positive images) predicted higher symptomatology. </w:t>
      </w:r>
    </w:p>
    <w:p w14:paraId="75E0A823" w14:textId="77777777" w:rsidR="00F7044C" w:rsidRPr="00C421E4" w:rsidRDefault="00F7044C" w:rsidP="00F7044C">
      <w:pPr>
        <w:spacing w:line="480" w:lineRule="auto"/>
        <w:rPr>
          <w:rFonts w:ascii="Times" w:hAnsi="Times"/>
        </w:rPr>
      </w:pPr>
    </w:p>
    <w:p w14:paraId="469F3695" w14:textId="77777777" w:rsidR="00F7044C" w:rsidRPr="00882FE4" w:rsidRDefault="00F7044C" w:rsidP="00F7044C">
      <w:pPr>
        <w:spacing w:line="480" w:lineRule="auto"/>
        <w:rPr>
          <w:rFonts w:ascii="Times" w:hAnsi="Times"/>
          <w:b/>
          <w:u w:val="single"/>
        </w:rPr>
      </w:pPr>
      <w:r w:rsidRPr="00882FE4">
        <w:rPr>
          <w:rFonts w:ascii="Times" w:hAnsi="Times"/>
          <w:b/>
          <w:u w:val="single"/>
        </w:rPr>
        <w:t>m. Aim 3: Interactions to Predict Depressive Symptoms</w:t>
      </w:r>
    </w:p>
    <w:p w14:paraId="64FDD34F" w14:textId="77777777" w:rsidR="00F7044C" w:rsidRPr="00C421E4" w:rsidRDefault="00F7044C" w:rsidP="00F7044C">
      <w:pPr>
        <w:spacing w:line="480" w:lineRule="auto"/>
        <w:rPr>
          <w:rFonts w:ascii="Times" w:hAnsi="Times"/>
        </w:rPr>
      </w:pPr>
      <w:r w:rsidRPr="00C421E4">
        <w:rPr>
          <w:rFonts w:ascii="Times" w:hAnsi="Times"/>
        </w:rPr>
        <w:t>In an additional set of analyses, interaction terms were created by multiplying Injury Group by each predictor variable and entering all variables into the model (e.g., a full model: Injury Group; EMG Reactivity; Injury Group * EMG Reactivity; gender). Given that Injury Group was dummy coded (0 = non-TBI, 1 = mTBI), when an interaction was present, results were interpreted at each level of Injury Group (i.e., with and without mTBI) for clarity. In each model, gender was a significant predictor of mood symptomology, such that females had higher symptomology. In the first model, there were no significant interactions that predicted depressive symptomatology for rea</w:t>
      </w:r>
      <w:r>
        <w:rPr>
          <w:rFonts w:ascii="Times" w:hAnsi="Times"/>
        </w:rPr>
        <w:t>ctivity or habituation (Table 14</w:t>
      </w:r>
      <w:r w:rsidRPr="00C421E4">
        <w:rPr>
          <w:rFonts w:ascii="Times" w:hAnsi="Times"/>
        </w:rPr>
        <w:t xml:space="preserve">). </w:t>
      </w:r>
    </w:p>
    <w:p w14:paraId="78A06E17" w14:textId="77777777" w:rsidR="00F7044C" w:rsidRPr="00C421E4" w:rsidRDefault="00F7044C" w:rsidP="00F7044C">
      <w:pPr>
        <w:spacing w:line="480" w:lineRule="auto"/>
        <w:rPr>
          <w:rFonts w:ascii="Times" w:hAnsi="Times"/>
        </w:rPr>
      </w:pPr>
    </w:p>
    <w:p w14:paraId="3DAC53E1" w14:textId="77777777" w:rsidR="00F7044C" w:rsidRPr="00882FE4" w:rsidRDefault="00F7044C" w:rsidP="00F7044C">
      <w:pPr>
        <w:spacing w:line="480" w:lineRule="auto"/>
        <w:rPr>
          <w:rFonts w:ascii="Times" w:hAnsi="Times"/>
          <w:b/>
          <w:u w:val="single"/>
        </w:rPr>
      </w:pPr>
      <w:r w:rsidRPr="00882FE4">
        <w:rPr>
          <w:rFonts w:ascii="Times" w:hAnsi="Times"/>
          <w:b/>
          <w:u w:val="single"/>
        </w:rPr>
        <w:t>n. Aim 3: Interactions to Predict Anxiety Symptoms</w:t>
      </w:r>
    </w:p>
    <w:p w14:paraId="171AAB65" w14:textId="77777777" w:rsidR="00F7044C" w:rsidRPr="00C421E4" w:rsidRDefault="00F7044C" w:rsidP="00F7044C">
      <w:pPr>
        <w:spacing w:line="480" w:lineRule="auto"/>
        <w:rPr>
          <w:rFonts w:ascii="Times" w:hAnsi="Times"/>
        </w:rPr>
      </w:pPr>
      <w:r w:rsidRPr="00C421E4">
        <w:rPr>
          <w:rFonts w:ascii="Times" w:hAnsi="Times"/>
        </w:rPr>
        <w:lastRenderedPageBreak/>
        <w:t>Similar to the tests conducted above, we tested whether Injury Group and the included factors interacted to predict anxiety symptomatology. There were no significant interactions to predict anxiety symptoms for rea</w:t>
      </w:r>
      <w:r>
        <w:rPr>
          <w:rFonts w:ascii="Times" w:hAnsi="Times"/>
        </w:rPr>
        <w:t>ctivity or habituation (Table 15</w:t>
      </w:r>
      <w:r w:rsidRPr="00C421E4">
        <w:rPr>
          <w:rFonts w:ascii="Times" w:hAnsi="Times"/>
        </w:rPr>
        <w:t xml:space="preserve">). </w:t>
      </w:r>
    </w:p>
    <w:p w14:paraId="752DEE32" w14:textId="77777777" w:rsidR="00F7044C" w:rsidRPr="00C421E4" w:rsidRDefault="00F7044C" w:rsidP="00F7044C">
      <w:pPr>
        <w:spacing w:line="480" w:lineRule="auto"/>
        <w:rPr>
          <w:rFonts w:ascii="Times" w:hAnsi="Times"/>
          <w:i/>
        </w:rPr>
      </w:pPr>
    </w:p>
    <w:p w14:paraId="7E17F051" w14:textId="77777777" w:rsidR="00F7044C" w:rsidRPr="00203351" w:rsidRDefault="00F7044C" w:rsidP="00F7044C">
      <w:pPr>
        <w:spacing w:line="480" w:lineRule="auto"/>
        <w:rPr>
          <w:rFonts w:ascii="Times" w:hAnsi="Times"/>
          <w:b/>
          <w:u w:val="single"/>
        </w:rPr>
      </w:pPr>
      <w:r w:rsidRPr="00203351">
        <w:rPr>
          <w:rFonts w:ascii="Times" w:hAnsi="Times"/>
          <w:b/>
          <w:u w:val="single"/>
        </w:rPr>
        <w:t>o. Aim 3: Interactions to Predict Combined Symptomatology</w:t>
      </w:r>
    </w:p>
    <w:p w14:paraId="776B52E0" w14:textId="77777777" w:rsidR="00F7044C" w:rsidRPr="00C421E4" w:rsidRDefault="00F7044C" w:rsidP="00F7044C">
      <w:pPr>
        <w:spacing w:line="480" w:lineRule="auto"/>
        <w:rPr>
          <w:rFonts w:ascii="Times" w:hAnsi="Times"/>
        </w:rPr>
      </w:pPr>
      <w:r>
        <w:rPr>
          <w:rFonts w:ascii="Times" w:hAnsi="Times"/>
        </w:rPr>
        <w:t>As shown in Table 16</w:t>
      </w:r>
      <w:r w:rsidRPr="00C421E4">
        <w:rPr>
          <w:rFonts w:ascii="Times" w:hAnsi="Times"/>
        </w:rPr>
        <w:t>, there were no significant interactions that predicted combined symptomatology for reactivity or habituation.</w:t>
      </w:r>
    </w:p>
    <w:p w14:paraId="6B575A87" w14:textId="77777777" w:rsidR="00F7044C" w:rsidRPr="00C421E4" w:rsidRDefault="00F7044C" w:rsidP="00F7044C">
      <w:pPr>
        <w:spacing w:line="480" w:lineRule="auto"/>
        <w:rPr>
          <w:rFonts w:ascii="Times" w:hAnsi="Times"/>
        </w:rPr>
      </w:pPr>
    </w:p>
    <w:p w14:paraId="1138D053" w14:textId="77777777" w:rsidR="00F7044C" w:rsidRPr="007A46A9" w:rsidRDefault="00F7044C" w:rsidP="00F7044C">
      <w:pPr>
        <w:spacing w:line="480" w:lineRule="auto"/>
        <w:jc w:val="center"/>
        <w:outlineLvl w:val="0"/>
        <w:rPr>
          <w:rFonts w:ascii="Times" w:hAnsi="Times"/>
          <w:b/>
        </w:rPr>
      </w:pPr>
      <w:r>
        <w:rPr>
          <w:rFonts w:ascii="Times" w:hAnsi="Times"/>
          <w:b/>
        </w:rPr>
        <w:t xml:space="preserve">6. </w:t>
      </w:r>
      <w:r w:rsidRPr="007A46A9">
        <w:rPr>
          <w:rFonts w:ascii="Times" w:hAnsi="Times"/>
          <w:b/>
        </w:rPr>
        <w:t>Examining the “Miserable Minority”</w:t>
      </w:r>
    </w:p>
    <w:p w14:paraId="4B9CCD8E" w14:textId="77777777" w:rsidR="00F7044C" w:rsidRPr="00C421E4" w:rsidRDefault="00F7044C" w:rsidP="00F7044C">
      <w:pPr>
        <w:spacing w:line="480" w:lineRule="auto"/>
        <w:rPr>
          <w:rFonts w:ascii="Times" w:hAnsi="Times"/>
        </w:rPr>
      </w:pPr>
      <w:r w:rsidRPr="00C421E4">
        <w:rPr>
          <w:rFonts w:ascii="Times" w:hAnsi="Times"/>
        </w:rPr>
        <w:t xml:space="preserve">Given the lack of expected differences between the mTBI group and the non-TBI group, we tested whether the most “severe” mTBI subgroup may differ from the non-TBI group. Previous work has shown that roughly 15-20% of participants (the “miserable minority”) have ongoing complaints (i.e., suffer from post-concussive syndrome) years after injury </w:t>
      </w:r>
      <w:r w:rsidRPr="00C421E4">
        <w:rPr>
          <w:rFonts w:ascii="Times" w:hAnsi="Times"/>
        </w:rPr>
        <w:fldChar w:fldCharType="begin"/>
      </w:r>
      <w:r w:rsidRPr="00C421E4">
        <w:rPr>
          <w:rFonts w:ascii="Times" w:hAnsi="Times"/>
        </w:rPr>
        <w:instrText xml:space="preserve"> ADDIN ZOTERO_ITEM CSL_CITATION {"citationID":"2l8j1b8g3c","properties":{"formattedCitation":"(R. Ruff, 2005)","plainCitation":"(R. Ruff, 2005)"},"citationItems":[{"id":933,"uris":["http://zotero.org/users/4141602/items/9QX9TCF4"],"uri":["http://zotero.org/users/4141602/items/9QX9TCF4"],"itemData":{"id":933,"type":"article-journal","title":"Two decades of advances in understanding of mild traumatic brain injury","container-title":"The Journal of head trauma rehabilitation","page":"5-18","volume":"20","issue":"1","author":[{"family":"Ruff","given":"Ronald"}],"issued":{"date-parts":[["2005"]]}}}],"schema":"https://github.com/citation-style-language/schema/raw/master/csl-citation.json"} </w:instrText>
      </w:r>
      <w:r w:rsidRPr="00C421E4">
        <w:rPr>
          <w:rFonts w:ascii="Times" w:hAnsi="Times"/>
        </w:rPr>
        <w:fldChar w:fldCharType="separate"/>
      </w:r>
      <w:r w:rsidRPr="00C421E4">
        <w:rPr>
          <w:rFonts w:ascii="Times" w:hAnsi="Times"/>
          <w:noProof/>
        </w:rPr>
        <w:t>(Ruff, 2005)</w:t>
      </w:r>
      <w:r w:rsidRPr="00C421E4">
        <w:rPr>
          <w:rFonts w:ascii="Times" w:hAnsi="Times"/>
        </w:rPr>
        <w:fldChar w:fldCharType="end"/>
      </w:r>
      <w:r w:rsidRPr="00C421E4">
        <w:rPr>
          <w:rFonts w:ascii="Times" w:hAnsi="Times"/>
        </w:rPr>
        <w:t xml:space="preserve">. The diagnostic criteria for post-concussive syndrome require a person with a history of mTBI exhibits at least 3 of the following 8 symptoms after brain injury: headache, dizziness, fatigue, irritability, sleep problems, concentration problems, memory problems, or problems tolerating stress/alcohol/emotions </w:t>
      </w:r>
      <w:r w:rsidRPr="00C421E4">
        <w:rPr>
          <w:rFonts w:ascii="Times" w:hAnsi="Times"/>
        </w:rPr>
        <w:fldChar w:fldCharType="begin"/>
      </w:r>
      <w:r w:rsidRPr="00C421E4">
        <w:rPr>
          <w:rFonts w:ascii="Times" w:hAnsi="Times"/>
        </w:rPr>
        <w:instrText xml:space="preserve"> ADDIN ZOTERO_ITEM CSL_CITATION {"citationID":"2hqonrojab","properties":{"formattedCitation":"(Organization, 1992)","plainCitation":"(Organization, 1992)"},"citationItems":[{"id":988,"uris":["http://zotero.org/users/4141602/items/UUZMF3TP"],"uri":["http://zotero.org/users/4141602/items/UUZMF3TP"],"itemData":{"id":988,"type":"book","title":"The ICD-10 classification of mental and behavioural disorders: clinical descriptions and diagnostic guidelines","publisher":"World Health Organization","volume":"1","ISBN":"92-4-154422-8","author":[{"family":"Organization","given":"World Health"}],"issued":{"date-parts":[["1992"]]}}}],"schema":"https://github.com/citation-style-language/schema/raw/master/csl-citation.json"} </w:instrText>
      </w:r>
      <w:r w:rsidRPr="00C421E4">
        <w:rPr>
          <w:rFonts w:ascii="Times" w:hAnsi="Times"/>
        </w:rPr>
        <w:fldChar w:fldCharType="separate"/>
      </w:r>
      <w:r w:rsidRPr="00C421E4">
        <w:rPr>
          <w:rFonts w:ascii="Times" w:hAnsi="Times"/>
          <w:noProof/>
        </w:rPr>
        <w:t>(World Health Organization, 1992)</w:t>
      </w:r>
      <w:r w:rsidRPr="00C421E4">
        <w:rPr>
          <w:rFonts w:ascii="Times" w:hAnsi="Times"/>
        </w:rPr>
        <w:fldChar w:fldCharType="end"/>
      </w:r>
      <w:r w:rsidRPr="00C421E4">
        <w:rPr>
          <w:rFonts w:ascii="Times" w:hAnsi="Times"/>
        </w:rPr>
        <w:t xml:space="preserve">. All of these items (with the exception of the last item) were included in the Rivermead Questionnaire. Therefore, we categorized participants based on whether they reported experiencing at least three of the first seven items. Eleven of the 45 mTBI participants (24.4%) met the adjusted criteria for post-concussive syndrome. </w:t>
      </w:r>
    </w:p>
    <w:p w14:paraId="59868C6A" w14:textId="77777777" w:rsidR="00F7044C" w:rsidRPr="00C421E4" w:rsidRDefault="00F7044C" w:rsidP="00F7044C">
      <w:pPr>
        <w:spacing w:line="480" w:lineRule="auto"/>
        <w:rPr>
          <w:rFonts w:ascii="Times" w:hAnsi="Times"/>
        </w:rPr>
      </w:pPr>
    </w:p>
    <w:p w14:paraId="19C59175" w14:textId="77777777" w:rsidR="00F7044C" w:rsidRPr="00C421E4" w:rsidRDefault="00F7044C" w:rsidP="00F7044C">
      <w:pPr>
        <w:spacing w:line="480" w:lineRule="auto"/>
        <w:rPr>
          <w:rFonts w:ascii="Times" w:hAnsi="Times"/>
        </w:rPr>
      </w:pPr>
      <w:r w:rsidRPr="00C421E4">
        <w:rPr>
          <w:rFonts w:ascii="Times" w:hAnsi="Times"/>
        </w:rPr>
        <w:lastRenderedPageBreak/>
        <w:t>First, we sought to explore whether the post-concussive syndrome group differed from others in the mTBI group. The post-concussive syndrome group had significantly higher levels of depression (</w:t>
      </w:r>
      <w:proofErr w:type="gramStart"/>
      <w:r w:rsidRPr="00C421E4">
        <w:rPr>
          <w:rFonts w:ascii="Times" w:hAnsi="Times"/>
        </w:rPr>
        <w:t>t(</w:t>
      </w:r>
      <w:proofErr w:type="gramEnd"/>
      <w:r w:rsidRPr="00C421E4">
        <w:rPr>
          <w:rFonts w:ascii="Times" w:hAnsi="Times"/>
        </w:rPr>
        <w:t xml:space="preserve">43) = -2.84, p = .007), anxiety (t(43) = -3.21, p = .002), and PTSD symptoms (t(43) = -3.22, p = .002) than the higher functioning mTBI group. The groups did not differ in terms of self-reported executive functioning, dissociation symptoms or mTBI characteristics (e.g., time since mTBI). </w:t>
      </w:r>
    </w:p>
    <w:p w14:paraId="4B69EBE7" w14:textId="77777777" w:rsidR="00F7044C" w:rsidRPr="00C421E4" w:rsidRDefault="00F7044C" w:rsidP="00F7044C">
      <w:pPr>
        <w:spacing w:line="480" w:lineRule="auto"/>
        <w:rPr>
          <w:rFonts w:ascii="Times" w:hAnsi="Times"/>
        </w:rPr>
      </w:pPr>
    </w:p>
    <w:p w14:paraId="398BD1D0" w14:textId="77777777" w:rsidR="00F7044C" w:rsidRPr="00C421E4" w:rsidRDefault="00F7044C" w:rsidP="00F7044C">
      <w:pPr>
        <w:spacing w:line="480" w:lineRule="auto"/>
        <w:rPr>
          <w:rFonts w:ascii="Times" w:hAnsi="Times"/>
        </w:rPr>
      </w:pPr>
      <w:r w:rsidRPr="00C421E4">
        <w:rPr>
          <w:rFonts w:ascii="Times" w:hAnsi="Times"/>
        </w:rPr>
        <w:t>We next sought to explore whether the post-concussive syndrome group differed from the non-TBI group for the measures of habituation and reactivity. When comparing the post-concussive syndrome group with the full non-TBI group, there were no significant group differences</w:t>
      </w:r>
      <w:r>
        <w:rPr>
          <w:rFonts w:ascii="Times" w:hAnsi="Times"/>
        </w:rPr>
        <w:t xml:space="preserve"> (Table 17</w:t>
      </w:r>
      <w:r w:rsidRPr="00C421E4">
        <w:rPr>
          <w:rFonts w:ascii="Times" w:hAnsi="Times"/>
        </w:rPr>
        <w:t xml:space="preserve">). These results suggest that even the most “severe” mTBI participants is relatively normative. </w:t>
      </w:r>
    </w:p>
    <w:p w14:paraId="43FCEAAF" w14:textId="77777777" w:rsidR="00F7044C" w:rsidRPr="00C421E4" w:rsidRDefault="00F7044C" w:rsidP="00F7044C">
      <w:pPr>
        <w:spacing w:line="480" w:lineRule="auto"/>
        <w:rPr>
          <w:rFonts w:ascii="Times" w:hAnsi="Times"/>
        </w:rPr>
      </w:pPr>
    </w:p>
    <w:p w14:paraId="58C41869" w14:textId="77777777" w:rsidR="00F7044C" w:rsidRPr="00C421E4" w:rsidRDefault="00F7044C" w:rsidP="00F7044C">
      <w:pPr>
        <w:rPr>
          <w:rFonts w:ascii="Times" w:hAnsi="Times"/>
          <w:b/>
        </w:rPr>
      </w:pPr>
    </w:p>
    <w:p w14:paraId="75E95001" w14:textId="77777777" w:rsidR="00F7044C" w:rsidRPr="003C52E1" w:rsidRDefault="00F7044C" w:rsidP="00F7044C">
      <w:pPr>
        <w:pStyle w:val="NoSpacing"/>
        <w:spacing w:line="480" w:lineRule="auto"/>
        <w:jc w:val="center"/>
        <w:outlineLvl w:val="0"/>
        <w:rPr>
          <w:rFonts w:ascii="Times" w:hAnsi="Times"/>
          <w:b/>
          <w:u w:val="single"/>
        </w:rPr>
      </w:pPr>
      <w:r w:rsidRPr="003C52E1">
        <w:rPr>
          <w:rFonts w:ascii="Times" w:hAnsi="Times"/>
          <w:b/>
          <w:u w:val="single"/>
        </w:rPr>
        <w:t>D. Discussion</w:t>
      </w:r>
    </w:p>
    <w:p w14:paraId="12AF2ABB" w14:textId="77777777" w:rsidR="00F7044C" w:rsidRPr="00C421E4" w:rsidRDefault="00F7044C" w:rsidP="00F7044C">
      <w:pPr>
        <w:pStyle w:val="NoSpacing"/>
        <w:spacing w:line="480" w:lineRule="auto"/>
        <w:rPr>
          <w:rFonts w:ascii="Times" w:hAnsi="Times"/>
        </w:rPr>
      </w:pPr>
      <w:r w:rsidRPr="00C421E4">
        <w:rPr>
          <w:rFonts w:ascii="Times" w:hAnsi="Times"/>
          <w:b/>
        </w:rPr>
        <w:tab/>
      </w:r>
      <w:r w:rsidRPr="00C421E4">
        <w:rPr>
          <w:rFonts w:ascii="Times" w:hAnsi="Times"/>
        </w:rPr>
        <w:t>Risk for developing mood disturbances is elevated for some persons following mTBI. Accordingly, in this sample, we found elevated anxiety symptoms in the mTBI sample relative to controls. However, beyond surveying this population for depressive and anxiety symptoms, little has been done to examine or pinpoint specific emotional irregularities that may lead to or exacerbate mood disturbances. In our previous work (</w:t>
      </w:r>
      <w:r w:rsidRPr="00C421E4">
        <w:rPr>
          <w:rFonts w:ascii="Times" w:hAnsi="Times"/>
          <w:b/>
        </w:rPr>
        <w:t>Study 2</w:t>
      </w:r>
      <w:r w:rsidRPr="00C421E4">
        <w:rPr>
          <w:rFonts w:ascii="Times" w:hAnsi="Times"/>
        </w:rPr>
        <w:t xml:space="preserve">), we identified what seemed to be a lack of emotion habituation to negative stimuli in chronic mTBI participants relative to a control, uninjured population. We aimed to replicate those findings in a larger sample while also probing </w:t>
      </w:r>
      <w:r w:rsidRPr="00C421E4">
        <w:rPr>
          <w:rFonts w:ascii="Times" w:hAnsi="Times"/>
        </w:rPr>
        <w:lastRenderedPageBreak/>
        <w:t>psychophysiological measures of emotion, which provide a deeper understanding of cortical and somatic mechanisms, and also probing psychological outcomes (e.g., depressive and anxiety symptoms). In addition to habituation, we assessed reactivity, or the initial emotional/psychophysiological response to the emotional images, in both groups. We hypothesized that poor (slow) habituation and blunted reactivity would be predictive of mood disturbances. We included both positive and negative stimuli in this study to gain a broader understanding of emotional functioning in this population.</w:t>
      </w:r>
    </w:p>
    <w:p w14:paraId="6506FEDB" w14:textId="77777777" w:rsidR="00F7044C" w:rsidRPr="00C421E4" w:rsidRDefault="00F7044C" w:rsidP="00F7044C">
      <w:pPr>
        <w:pStyle w:val="NoSpacing"/>
        <w:spacing w:line="480" w:lineRule="auto"/>
        <w:rPr>
          <w:rFonts w:ascii="Times" w:hAnsi="Times"/>
        </w:rPr>
      </w:pPr>
    </w:p>
    <w:p w14:paraId="586BF6DE" w14:textId="77777777" w:rsidR="00F7044C" w:rsidRPr="00C421E4" w:rsidRDefault="00F7044C" w:rsidP="00F7044C">
      <w:pPr>
        <w:pStyle w:val="NoSpacing"/>
        <w:spacing w:line="480" w:lineRule="auto"/>
        <w:rPr>
          <w:rFonts w:ascii="Times" w:hAnsi="Times"/>
        </w:rPr>
      </w:pPr>
      <w:r w:rsidRPr="00C421E4">
        <w:rPr>
          <w:rFonts w:ascii="Times" w:hAnsi="Times"/>
        </w:rPr>
        <w:t>First, hypotheses of reduced habituation in the mTBI group were not supported. Contrary to expectations, the mTBI group had enhanced (or faster) habituation with respect to arousal ratings to the presented images. Patterns of habituation did not differ between the mTBI group and the non-TBI group in any psychophysiological measures. Behavioral and psychophysiological reactivity did not differ between groups.</w:t>
      </w:r>
    </w:p>
    <w:p w14:paraId="40EA7E49" w14:textId="77777777" w:rsidR="00F7044C" w:rsidRPr="00C421E4" w:rsidRDefault="00F7044C" w:rsidP="00F7044C">
      <w:pPr>
        <w:pStyle w:val="NoSpacing"/>
        <w:spacing w:line="480" w:lineRule="auto"/>
        <w:rPr>
          <w:rFonts w:ascii="Times" w:hAnsi="Times"/>
        </w:rPr>
      </w:pPr>
    </w:p>
    <w:p w14:paraId="7EFB95FA" w14:textId="77777777" w:rsidR="00F7044C" w:rsidRPr="00C421E4" w:rsidRDefault="00F7044C" w:rsidP="00F7044C">
      <w:pPr>
        <w:pStyle w:val="NoSpacing"/>
        <w:spacing w:line="480" w:lineRule="auto"/>
        <w:rPr>
          <w:rFonts w:ascii="Times" w:hAnsi="Times"/>
        </w:rPr>
      </w:pPr>
      <w:r w:rsidRPr="00C421E4">
        <w:rPr>
          <w:rFonts w:ascii="Times" w:hAnsi="Times"/>
        </w:rPr>
        <w:t>Nevertheless, we found some measures of reactivity and habituation predicted mood symptomology. Specifically, lower arousal ratings for positive images predicted higher depressive (and combined) symptomatology, and faster habituation of Zygomaticus tone predicted combined symptomatology as well.</w:t>
      </w:r>
    </w:p>
    <w:p w14:paraId="14B58166" w14:textId="77777777" w:rsidR="00F7044C" w:rsidRPr="00C421E4" w:rsidRDefault="00F7044C" w:rsidP="00F7044C">
      <w:pPr>
        <w:pStyle w:val="NoSpacing"/>
        <w:spacing w:line="480" w:lineRule="auto"/>
        <w:rPr>
          <w:rFonts w:ascii="Times" w:hAnsi="Times"/>
          <w:b/>
        </w:rPr>
      </w:pPr>
    </w:p>
    <w:p w14:paraId="1231D6FC" w14:textId="77777777" w:rsidR="00F7044C" w:rsidRPr="003C52E1" w:rsidRDefault="00F7044C" w:rsidP="00F7044C">
      <w:pPr>
        <w:pStyle w:val="NoSpacing"/>
        <w:spacing w:line="480" w:lineRule="auto"/>
        <w:jc w:val="center"/>
        <w:outlineLvl w:val="0"/>
        <w:rPr>
          <w:rFonts w:ascii="Times" w:hAnsi="Times"/>
          <w:b/>
        </w:rPr>
      </w:pPr>
      <w:r>
        <w:rPr>
          <w:rFonts w:ascii="Times" w:hAnsi="Times"/>
          <w:b/>
        </w:rPr>
        <w:t xml:space="preserve">1. </w:t>
      </w:r>
      <w:r w:rsidRPr="003C52E1">
        <w:rPr>
          <w:rFonts w:ascii="Times" w:hAnsi="Times"/>
          <w:b/>
        </w:rPr>
        <w:t>Habituation Differs Between Groups, Predicts Symptomatology</w:t>
      </w:r>
    </w:p>
    <w:p w14:paraId="1D114C7A" w14:textId="77777777" w:rsidR="00F7044C" w:rsidRPr="00C421E4" w:rsidRDefault="00F7044C" w:rsidP="00F7044C">
      <w:pPr>
        <w:pStyle w:val="NoSpacing"/>
        <w:spacing w:line="480" w:lineRule="auto"/>
        <w:rPr>
          <w:rFonts w:ascii="Times" w:hAnsi="Times"/>
        </w:rPr>
      </w:pPr>
      <w:r w:rsidRPr="00C421E4">
        <w:rPr>
          <w:rFonts w:ascii="Times" w:hAnsi="Times"/>
        </w:rPr>
        <w:t xml:space="preserve">We predicted, based on </w:t>
      </w:r>
      <w:r w:rsidRPr="00C421E4">
        <w:rPr>
          <w:rFonts w:ascii="Times" w:hAnsi="Times"/>
          <w:b/>
        </w:rPr>
        <w:t>Study 2</w:t>
      </w:r>
      <w:r w:rsidRPr="00C421E4">
        <w:rPr>
          <w:rFonts w:ascii="Times" w:hAnsi="Times"/>
        </w:rPr>
        <w:t xml:space="preserve">, that valence ratings for both negative and positive images would move toward neutrality over time. We also predicted that the mTBI group would have a flattened trajectory of habituation for valence, relative to the non-TBI </w:t>
      </w:r>
      <w:r w:rsidRPr="00C421E4">
        <w:rPr>
          <w:rFonts w:ascii="Times" w:hAnsi="Times"/>
        </w:rPr>
        <w:lastRenderedPageBreak/>
        <w:t xml:space="preserve">group. These hypotheses were not supported. We found habituation for positive valence ratings in the full sample, but no habituation occurred for negative valence ratings.  We predicted that no participants would exhibit habituation in arousal ratings for positive or negative stimuli. We saw, however, a main effect habituation for arousal ratings in the full sample and this effect was significantly stronger in the mTBI group. Lastly, we tested whether valence and arousal habituation were predictive of mood outcomes. Previous work has shown individuals with depressive symptomatology have lower habituation ratings </w:t>
      </w:r>
      <w:r w:rsidRPr="00C421E4">
        <w:rPr>
          <w:rFonts w:ascii="Times" w:hAnsi="Times"/>
        </w:rPr>
        <w:fldChar w:fldCharType="begin"/>
      </w:r>
      <w:r w:rsidRPr="00C421E4">
        <w:rPr>
          <w:rFonts w:ascii="Times" w:hAnsi="Times"/>
        </w:rPr>
        <w:instrText xml:space="preserve"> ADDIN ZOTERO_ITEM CSL_CITATION {"citationID":"ijb043ovn","properties":{"formattedCitation":"(Neumeister et al., 2006)","plainCitation":"(Neumeister et al., 2006)"},"citationItems":[{"id":"lBweZ6t8/BX7tnuBw","uris":["http://www.mendeley.com/documents/?uuid=fbd7a816-468c-489d-8984-2a72793f3e27"],"uri":["http://www.mendeley.com/documents/?uuid=fbd7a816-468c-489d-8984-2a72793f3e27"],"itemData":{"author":[{"dropping-particle":"","family":"Neumeister","given":"A.","non-dropping-particle":"","parse-names":false,"suffix":""},{"dropping-particle":"","family":"Henry","given":"S.","non-dropping-particle":"","parse-names":false,"suffix":""},{"dropping-particle":"","family":"Herscovitch","given":"P.","non-dropping-particle":"","parse-names":false,"suffix":""},{"dropping-particle":"","family":"Charney","given":"D. S.","non-dropping-particle":"","parse-names":false,"suffix":""},{"dropping-particle":"","family":"Drevets","given":"W. C.","non-dropping-particle":"","parse-names":false,"suffix":""}],"container-title":"Neuropsychopharmacology","id":"lBweZ6t8/BX7tnuBw","issued":{"date-parts":[["2006"]]},"page":"S92-S92","title":"Habituation as a Phenotypic Marker for Major Depression","type":"article-journal","volume":"31"}}],"schema":"https://github.com/citation-style-language/schema/raw/master/csl-citation.json"} </w:instrText>
      </w:r>
      <w:r w:rsidRPr="00C421E4">
        <w:rPr>
          <w:rFonts w:ascii="Times" w:hAnsi="Times"/>
        </w:rPr>
        <w:fldChar w:fldCharType="separate"/>
      </w:r>
      <w:r w:rsidRPr="00C421E4">
        <w:rPr>
          <w:rFonts w:ascii="Times" w:hAnsi="Times"/>
          <w:noProof/>
        </w:rPr>
        <w:t>(Neumeister et al., 2006)</w:t>
      </w:r>
      <w:r w:rsidRPr="00C421E4">
        <w:rPr>
          <w:rFonts w:ascii="Times" w:hAnsi="Times"/>
        </w:rPr>
        <w:fldChar w:fldCharType="end"/>
      </w:r>
      <w:r w:rsidRPr="00C421E4">
        <w:rPr>
          <w:rFonts w:ascii="Times" w:hAnsi="Times"/>
        </w:rPr>
        <w:t xml:space="preserve">, and therefore, we predicted lower habituation would be predictive of higher mood symptoms. However, this hypothesis was not supported because we did not find behavioral habituation was predictive of symptomatology in this sample. </w:t>
      </w:r>
    </w:p>
    <w:p w14:paraId="3BAFB060" w14:textId="77777777" w:rsidR="00F7044C" w:rsidRPr="00C421E4" w:rsidRDefault="00F7044C" w:rsidP="00F7044C">
      <w:pPr>
        <w:pStyle w:val="NoSpacing"/>
        <w:spacing w:line="480" w:lineRule="auto"/>
        <w:rPr>
          <w:rFonts w:ascii="Times" w:hAnsi="Times"/>
        </w:rPr>
      </w:pPr>
    </w:p>
    <w:p w14:paraId="5E0E145C" w14:textId="77777777" w:rsidR="00F7044C" w:rsidRPr="00C421E4" w:rsidRDefault="00F7044C" w:rsidP="00F7044C">
      <w:pPr>
        <w:pStyle w:val="NoSpacing"/>
        <w:spacing w:line="480" w:lineRule="auto"/>
        <w:rPr>
          <w:rFonts w:ascii="Times" w:hAnsi="Times"/>
        </w:rPr>
      </w:pPr>
      <w:r w:rsidRPr="00C421E4">
        <w:rPr>
          <w:rFonts w:ascii="Times" w:hAnsi="Times"/>
        </w:rPr>
        <w:t xml:space="preserve">We hypothesized that we would detect habituation of physiological measures, but none of these hypotheses were supported. We did not see habituation of any physiological measurements, and we did not see group differences in physiological measures. However, we found higher habituation of Zygomaticus tone in response to positive stimuli was related to higher combined mood symptomatology in the whole sample. </w:t>
      </w:r>
    </w:p>
    <w:p w14:paraId="5D30042F" w14:textId="77777777" w:rsidR="00F7044C" w:rsidRPr="00C421E4" w:rsidRDefault="00F7044C" w:rsidP="00F7044C">
      <w:pPr>
        <w:pStyle w:val="NoSpacing"/>
        <w:spacing w:line="480" w:lineRule="auto"/>
        <w:rPr>
          <w:rFonts w:ascii="Times" w:hAnsi="Times"/>
        </w:rPr>
      </w:pPr>
    </w:p>
    <w:p w14:paraId="161D5518" w14:textId="77777777" w:rsidR="00F7044C" w:rsidRPr="00C421E4" w:rsidRDefault="00F7044C" w:rsidP="00F7044C">
      <w:pPr>
        <w:spacing w:line="480" w:lineRule="auto"/>
        <w:rPr>
          <w:rFonts w:ascii="Times" w:hAnsi="Times"/>
        </w:rPr>
      </w:pPr>
      <w:r w:rsidRPr="00C421E4">
        <w:rPr>
          <w:rFonts w:ascii="Times" w:hAnsi="Times"/>
        </w:rPr>
        <w:t xml:space="preserve">There is a broad literature on how preserving or savoring positive experiences can benefit wellbeing. According to Fredrickson’s “Broaden and Build” theory, savoring positive emotionality can enhance life satisfaction, increase the likelihood of experiencing subsequent positive emotionality, and increase resiliency to negative emotionality </w:t>
      </w:r>
      <w:r w:rsidRPr="00C421E4">
        <w:rPr>
          <w:rFonts w:ascii="Times" w:hAnsi="Times"/>
        </w:rPr>
        <w:fldChar w:fldCharType="begin"/>
      </w:r>
      <w:r w:rsidRPr="00C421E4">
        <w:rPr>
          <w:rFonts w:ascii="Times" w:hAnsi="Times"/>
        </w:rPr>
        <w:instrText xml:space="preserve"> ADDIN ZOTERO_ITEM CSL_CITATION {"citationID":"25gq86rr6l","properties":{"formattedCitation":"(Fredrickson &amp; Branigan, 2005; Tugade &amp; Fredrickson, 2004)","plainCitation":"(Fredrickson &amp; Branigan, 2005; Tugade &amp; Fredrickson, 2004)"},"citationItems":[{"id":935,"uris":["http://zotero.org/users/4141602/items/UUKE8PW3"],"uri":["http://zotero.org/users/4141602/items/UUKE8PW3"],"itemData":{"id":935,"type":"article-journal","title":"Positive emotions broaden the scope of attention and thought</w:instrText>
      </w:r>
      <w:r w:rsidRPr="00C421E4">
        <w:rPr>
          <w:rFonts w:ascii="Calibri" w:eastAsia="Calibri" w:hAnsi="Calibri" w:cs="Calibri"/>
        </w:rPr>
        <w:instrText>‐</w:instrText>
      </w:r>
      <w:r w:rsidRPr="00C421E4">
        <w:rPr>
          <w:rFonts w:ascii="Times" w:hAnsi="Times"/>
        </w:rPr>
        <w:instrText xml:space="preserve">action repertoires","container-title":"Cognition &amp; emotion","page":"313-332","volume":"19","issue":"3","author":[{"family":"Fredrickson","given":"Barbara L."},{"family":"Branigan","given":"Christine"}],"issued":{"date-parts":[["2005"]]}}},{"id":936,"uris":["http://zotero.org/users/4141602/items/8X8QPJ55"],"uri":["http://zotero.org/users/4141602/items/8X8QPJ55"],"itemData":{"id":936,"type":"article-journal","title":"Resilient individuals use positive emotions to bounce back from negative emotional experiences.","container-title":"Journal of personality and social psychology","page":"320","volume":"86","issue":"2","author":[{"family":"Tugade","given":"Michele M."},{"family":"Fredrickson","given":"Barbara L."}],"issued":{"date-parts":[["2004"]]}}}],"schema":"https://github.com/citation-style-language/schema/raw/master/csl-citation.json"} </w:instrText>
      </w:r>
      <w:r w:rsidRPr="00C421E4">
        <w:rPr>
          <w:rFonts w:ascii="Times" w:hAnsi="Times"/>
        </w:rPr>
        <w:fldChar w:fldCharType="separate"/>
      </w:r>
      <w:r w:rsidRPr="00C421E4">
        <w:rPr>
          <w:rFonts w:ascii="Times" w:hAnsi="Times"/>
          <w:noProof/>
        </w:rPr>
        <w:t>(Fredrickson &amp; Branigan, 2005; Tugade &amp; Fredrickson, 2004)</w:t>
      </w:r>
      <w:r w:rsidRPr="00C421E4">
        <w:rPr>
          <w:rFonts w:ascii="Times" w:hAnsi="Times"/>
        </w:rPr>
        <w:fldChar w:fldCharType="end"/>
      </w:r>
      <w:r w:rsidRPr="00C421E4">
        <w:rPr>
          <w:rFonts w:ascii="Times" w:hAnsi="Times"/>
        </w:rPr>
        <w:t xml:space="preserve">. There are several </w:t>
      </w:r>
      <w:r w:rsidRPr="00C421E4">
        <w:rPr>
          <w:rFonts w:ascii="Times" w:hAnsi="Times"/>
        </w:rPr>
        <w:lastRenderedPageBreak/>
        <w:t xml:space="preserve">savoring strategies that are utilized to enhance positive emotionality. For instance, individuals can use Behavioral Display (e.g., smiling), Being Present (focusing attention on the positive experience), Capitalizing (communicating and celebrating experience with others), and Positive Mental Time Travel (anticipating or thinking back on positive experience; </w:t>
      </w:r>
      <w:r w:rsidRPr="00C421E4">
        <w:rPr>
          <w:rFonts w:ascii="Times" w:hAnsi="Times"/>
        </w:rPr>
        <w:fldChar w:fldCharType="begin"/>
      </w:r>
      <w:r w:rsidRPr="00C421E4">
        <w:rPr>
          <w:rFonts w:ascii="Times" w:hAnsi="Times"/>
        </w:rPr>
        <w:instrText xml:space="preserve"> ADDIN ZOTERO_ITEM CSL_CITATION {"citationID":"aggsf21dk","properties":{"formattedCitation":"(Quoidbach, Berry, Hansenne, &amp; Mikolajczak, 2010)","plainCitation":"(Quoidbach, Berry, Hansenne, &amp; Mikolajczak, 2010)"},"citationItems":[{"id":937,"uris":["http://zotero.org/users/4141602/items/4NKAUTNS"],"uri":["http://zotero.org/users/4141602/items/4NKAUTNS"],"itemData":{"id":937,"type":"article-journal","title":"Positive emotion regulation and well-being: Comparing the impact of eight savoring and dampening strategies","container-title":"Personality and individual differences","page":"368-373","volume":"49","issue":"5","author":[{"family":"Quoidbach","given":"Jordi"},{"family":"Berry","given":"Elizabeth V."},{"family":"Hansenne","given":"Michel"},{"family":"Mikolajczak","given":"Moira"}],"issued":{"date-parts":[["2010"]]}}}],"schema":"https://github.com/citation-style-language/schema/raw/master/csl-citation.json"} </w:instrText>
      </w:r>
      <w:r w:rsidRPr="00C421E4">
        <w:rPr>
          <w:rFonts w:ascii="Times" w:hAnsi="Times"/>
        </w:rPr>
        <w:fldChar w:fldCharType="separate"/>
      </w:r>
      <w:r w:rsidRPr="00C421E4">
        <w:rPr>
          <w:rFonts w:ascii="Times" w:hAnsi="Times"/>
          <w:noProof/>
        </w:rPr>
        <w:t>Quoidbach, Berry, Hansenne, &amp; Mikolajczak, 2010)</w:t>
      </w:r>
      <w:r w:rsidRPr="00C421E4">
        <w:rPr>
          <w:rFonts w:ascii="Times" w:hAnsi="Times"/>
        </w:rPr>
        <w:fldChar w:fldCharType="end"/>
      </w:r>
      <w:r w:rsidRPr="00C421E4">
        <w:rPr>
          <w:rFonts w:ascii="Times" w:hAnsi="Times"/>
        </w:rPr>
        <w:t xml:space="preserve">. In our study, we found that individuals who exhibit low habituation of Zygomaticus muscle tone (when viewing positive images) have better mood outcomes. Thus, these individuals might utilize strategies for savoring positive experiences. To our knowledge, no studies have been conducted to link habituation to the savoring of positive experiences, and this could be a new interesting future direction to explore. </w:t>
      </w:r>
    </w:p>
    <w:p w14:paraId="7E564146" w14:textId="77777777" w:rsidR="00F7044C" w:rsidRPr="00C421E4" w:rsidRDefault="00F7044C" w:rsidP="00F7044C">
      <w:pPr>
        <w:pStyle w:val="NoSpacing"/>
        <w:spacing w:line="480" w:lineRule="auto"/>
        <w:rPr>
          <w:rFonts w:ascii="Times" w:hAnsi="Times"/>
          <w:i/>
        </w:rPr>
      </w:pPr>
    </w:p>
    <w:p w14:paraId="4E13062D" w14:textId="77777777" w:rsidR="00F7044C" w:rsidRPr="00C421E4" w:rsidRDefault="00F7044C" w:rsidP="00F7044C">
      <w:pPr>
        <w:pStyle w:val="NoSpacing"/>
        <w:spacing w:line="480" w:lineRule="auto"/>
        <w:rPr>
          <w:rFonts w:ascii="Times" w:hAnsi="Times"/>
        </w:rPr>
      </w:pPr>
      <w:r w:rsidRPr="00C421E4">
        <w:rPr>
          <w:rFonts w:ascii="Times" w:hAnsi="Times"/>
        </w:rPr>
        <w:t xml:space="preserve">As mentioned, there was no relationship between other physiological measures and mood outcomes. We are not aware of any studies that have tracked EMG tone habituation in an mTBI population. However, there are two previous studies in which skin conductance was tracked over time after the introduction of a stress-inducing paradigm </w:t>
      </w:r>
      <w:r w:rsidRPr="00C421E4">
        <w:rPr>
          <w:rFonts w:ascii="Times" w:hAnsi="Times" w:cs="Times New Roman"/>
        </w:rPr>
        <w:fldChar w:fldCharType="begin"/>
      </w:r>
      <w:r w:rsidRPr="00C421E4">
        <w:rPr>
          <w:rFonts w:ascii="Times" w:hAnsi="Times" w:cs="Times New Roman"/>
        </w:rPr>
        <w:instrText xml:space="preserve"> ADDIN ZOTERO_ITEM CSL_CITATION {"citationID":"PO5QJQPM","properties":{"unsorted":true,"formattedCitation":"(van Noordt &amp; Good, 2011a; Baker &amp; Good, 2014a)","plainCitation":"(van Noordt &amp; Good, 2011a; Baker &amp; Good, 2014a)"},"citationItems":[{"id":"N7lIpksm/8NMyT5fF","uris":["http://www.mendeley.com/documents/?uuid=21066ddb-1706-42a8-8ec2-844bb2c5e641"],"uri":["http://www.mendeley.com/documents/?uuid=21066ddb-1706-42a8-8ec2-844bb2c5e641"],"itemData":{"DOI":"10.3109/02699052.2011.580312","ISBN":"02699052 (ISSN)","ISSN":"1362-301X","PMID":"21619460","abstract":"SUMMARY: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author":[{"dropping-particle":"","family":"Noordt","given":"Stefon","non-dropping-particle":"van","parse-names":false,"suffix":""},{"dropping-particle":"","family":"Good","given":"Dawn","non-dropping-particle":"","parse-names":false,"suffix":""}],"container-title":"Brain injury","id":"N7lIpksm/8NMyT5fF","issue":"7-8","issued":{"date-parts":[["2011"]]},"page":"707-16","title":"Mild head injury and sympathetic arousal: investigating relationships with decision-making and neuropsychological performance in university students.","type":"article-journal","volume":"25"}},{"id":"N7lIpksm/AgThaa7T","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[BI]","id":"N7lIpksm/AgThaa7T","issue":"1","issued":{"date-parts":[["2014"]]},"page":"51-65","title":"Physiological emotional under-arousal in individuals with mild head injury.","type":"article-journal","volume":"28"}}],"schema":"https://github.com/citation-style-language/schema/raw/master/csl-citation.json"} </w:instrText>
      </w:r>
      <w:r w:rsidRPr="00C421E4">
        <w:rPr>
          <w:rFonts w:ascii="Times" w:hAnsi="Times" w:cs="Times New Roman"/>
        </w:rPr>
        <w:fldChar w:fldCharType="separate"/>
      </w:r>
      <w:r w:rsidRPr="00C421E4">
        <w:rPr>
          <w:rFonts w:ascii="Times" w:hAnsi="Times" w:cs="Times New Roman"/>
          <w:noProof/>
        </w:rPr>
        <w:t>(van Noordt &amp; Good, 2011; Baker &amp; Good, 2014)</w:t>
      </w:r>
      <w:r w:rsidRPr="00C421E4">
        <w:rPr>
          <w:rFonts w:ascii="Times" w:hAnsi="Times" w:cs="Times New Roman"/>
        </w:rPr>
        <w:fldChar w:fldCharType="end"/>
      </w:r>
      <w:r w:rsidRPr="00C421E4">
        <w:rPr>
          <w:rFonts w:ascii="Times" w:hAnsi="Times"/>
        </w:rPr>
        <w:t>. Skin conductance was lower in the mTBI group initially, and habituation seemed to happen more rapidly. However, because of baseline differences, conclusions about habituation could not be made (and the authors did not analyze it specifically). In our sample, there were no baseline differences in reactivity of skin conductance, making our mTBI and non-TBI groups more comparable. Nevertheless, despite comparability, there were no detected differences in habituation between groups. Lastly, to our knowledge, no studies have been performed that examine habituation of heart rate deceleration following mTBI.</w:t>
      </w:r>
    </w:p>
    <w:p w14:paraId="4AE0CDFB" w14:textId="77777777" w:rsidR="00F7044C" w:rsidRPr="00C421E4" w:rsidRDefault="00F7044C" w:rsidP="00F7044C">
      <w:pPr>
        <w:pStyle w:val="NoSpacing"/>
        <w:spacing w:line="480" w:lineRule="auto"/>
        <w:rPr>
          <w:rFonts w:ascii="Times" w:hAnsi="Times"/>
        </w:rPr>
      </w:pPr>
    </w:p>
    <w:p w14:paraId="2D4AE3A9" w14:textId="77777777" w:rsidR="00F7044C" w:rsidRPr="00783439" w:rsidRDefault="00F7044C" w:rsidP="00F7044C">
      <w:pPr>
        <w:pStyle w:val="NoSpacing"/>
        <w:spacing w:line="480" w:lineRule="auto"/>
        <w:jc w:val="center"/>
        <w:outlineLvl w:val="0"/>
        <w:rPr>
          <w:rFonts w:ascii="Times" w:hAnsi="Times"/>
          <w:b/>
        </w:rPr>
      </w:pPr>
      <w:r>
        <w:rPr>
          <w:rFonts w:ascii="Times" w:hAnsi="Times"/>
          <w:b/>
        </w:rPr>
        <w:t xml:space="preserve">2. </w:t>
      </w:r>
      <w:r w:rsidRPr="00783439">
        <w:rPr>
          <w:rFonts w:ascii="Times" w:hAnsi="Times"/>
          <w:b/>
        </w:rPr>
        <w:t>Reactivity does not Differ Between Groups but Predicts Mood Symptomology</w:t>
      </w:r>
    </w:p>
    <w:p w14:paraId="2D0C9D31" w14:textId="77777777" w:rsidR="00F7044C" w:rsidRPr="00C421E4" w:rsidRDefault="00F7044C" w:rsidP="00F7044C">
      <w:pPr>
        <w:pStyle w:val="NoSpacing"/>
        <w:spacing w:line="480" w:lineRule="auto"/>
        <w:rPr>
          <w:rFonts w:ascii="Times" w:hAnsi="Times"/>
        </w:rPr>
      </w:pPr>
      <w:r w:rsidRPr="00C421E4">
        <w:rPr>
          <w:rFonts w:ascii="Times" w:hAnsi="Times"/>
        </w:rPr>
        <w:t xml:space="preserve">Based on pilot data from </w:t>
      </w:r>
      <w:r w:rsidRPr="00C421E4">
        <w:rPr>
          <w:rFonts w:ascii="Times" w:hAnsi="Times"/>
          <w:b/>
        </w:rPr>
        <w:t>Study 2</w:t>
      </w:r>
      <w:r w:rsidRPr="00C421E4">
        <w:rPr>
          <w:rFonts w:ascii="Times" w:hAnsi="Times"/>
        </w:rPr>
        <w:t xml:space="preserve">, we predicted that group differences in negative valence ratings may be a function of time-of-day. We therefore collected data throughout the day (with several participants in each group tested at each hour) to determine whether circadian rhythmicity may influence behavioral ratings. These hypotheses were not supported using our planned analyses. </w:t>
      </w:r>
    </w:p>
    <w:p w14:paraId="57F72FA0" w14:textId="77777777" w:rsidR="00F7044C" w:rsidRPr="00C421E4" w:rsidRDefault="00F7044C" w:rsidP="00F7044C">
      <w:pPr>
        <w:pStyle w:val="NoSpacing"/>
        <w:spacing w:line="480" w:lineRule="auto"/>
        <w:rPr>
          <w:rFonts w:ascii="Times" w:hAnsi="Times"/>
        </w:rPr>
      </w:pPr>
    </w:p>
    <w:p w14:paraId="40EAEA43" w14:textId="77777777" w:rsidR="00F7044C" w:rsidRPr="00C421E4" w:rsidRDefault="00F7044C" w:rsidP="00F7044C">
      <w:pPr>
        <w:pStyle w:val="NoSpacing"/>
        <w:spacing w:line="480" w:lineRule="auto"/>
        <w:rPr>
          <w:rFonts w:ascii="Times" w:hAnsi="Times"/>
        </w:rPr>
      </w:pPr>
      <w:r w:rsidRPr="00C421E4">
        <w:rPr>
          <w:rFonts w:ascii="Times" w:hAnsi="Times"/>
        </w:rPr>
        <w:t xml:space="preserve">There was no circadian curvature seen for valence or arousal </w:t>
      </w:r>
      <w:r w:rsidRPr="00C421E4">
        <w:rPr>
          <w:rFonts w:ascii="Times" w:hAnsi="Times"/>
          <w:u w:val="single"/>
        </w:rPr>
        <w:t>reactivity</w:t>
      </w:r>
      <w:r w:rsidRPr="00C421E4">
        <w:rPr>
          <w:rFonts w:ascii="Times" w:hAnsi="Times"/>
        </w:rPr>
        <w:t xml:space="preserve"> ratings of positive or negative images. There was also no curvature for valence or arousal </w:t>
      </w:r>
      <w:r w:rsidRPr="00C421E4">
        <w:rPr>
          <w:rFonts w:ascii="Times" w:hAnsi="Times"/>
          <w:u w:val="single"/>
        </w:rPr>
        <w:t>habituation</w:t>
      </w:r>
      <w:r w:rsidRPr="00C421E4">
        <w:rPr>
          <w:rFonts w:ascii="Times" w:hAnsi="Times"/>
        </w:rPr>
        <w:t xml:space="preserve"> of positive or negative images. Post-hoc analyses were performed to assess whether group differences in negative valence ratings (as seen in </w:t>
      </w:r>
      <w:r w:rsidRPr="00C421E4">
        <w:rPr>
          <w:rFonts w:ascii="Times" w:hAnsi="Times"/>
          <w:b/>
        </w:rPr>
        <w:t>Study 2</w:t>
      </w:r>
      <w:r w:rsidRPr="00C421E4">
        <w:rPr>
          <w:rFonts w:ascii="Times" w:hAnsi="Times"/>
        </w:rPr>
        <w:t xml:space="preserve">) were present in individuals who completed the experiment in the morning and in the evening. In these subsets of participants, results of </w:t>
      </w:r>
      <w:r w:rsidRPr="00C421E4">
        <w:rPr>
          <w:rFonts w:ascii="Times" w:hAnsi="Times"/>
          <w:b/>
        </w:rPr>
        <w:t>Study 3</w:t>
      </w:r>
      <w:r w:rsidRPr="00C421E4">
        <w:rPr>
          <w:rFonts w:ascii="Times" w:hAnsi="Times"/>
        </w:rPr>
        <w:t xml:space="preserve"> paralleled those of </w:t>
      </w:r>
      <w:r w:rsidRPr="00C421E4">
        <w:rPr>
          <w:rFonts w:ascii="Times" w:hAnsi="Times"/>
          <w:b/>
        </w:rPr>
        <w:t>Study 2</w:t>
      </w:r>
      <w:r w:rsidRPr="00C421E4">
        <w:rPr>
          <w:rFonts w:ascii="Times" w:hAnsi="Times"/>
        </w:rPr>
        <w:t xml:space="preserve">, albeit with a smaller effect size. These results indicate that individuals with a history of mTBI may have blunted emotional ratings in the morning. </w:t>
      </w:r>
    </w:p>
    <w:p w14:paraId="0F29DDB7" w14:textId="77777777" w:rsidR="00F7044C" w:rsidRPr="00C421E4" w:rsidRDefault="00F7044C" w:rsidP="00F7044C">
      <w:pPr>
        <w:pStyle w:val="NoSpacing"/>
        <w:spacing w:line="480" w:lineRule="auto"/>
        <w:rPr>
          <w:rFonts w:ascii="Times" w:hAnsi="Times"/>
        </w:rPr>
      </w:pPr>
    </w:p>
    <w:p w14:paraId="542B72FF" w14:textId="77777777" w:rsidR="00F7044C" w:rsidRPr="00C421E4" w:rsidRDefault="00F7044C" w:rsidP="00F7044C">
      <w:pPr>
        <w:pStyle w:val="NoSpacing"/>
        <w:spacing w:line="480" w:lineRule="auto"/>
        <w:rPr>
          <w:rFonts w:ascii="Times" w:hAnsi="Times"/>
        </w:rPr>
      </w:pPr>
      <w:r w:rsidRPr="00C421E4">
        <w:rPr>
          <w:rFonts w:ascii="Times" w:hAnsi="Times"/>
        </w:rPr>
        <w:t xml:space="preserve">The implications of these findings are not yet clear. To explore this phenomenon further, a follow-up experiment could be conducted exclusively in the morning to assess whether morning group differences play a role in how receptive participants are to clinical treatment (e.g., behavioral activation techniques, which require increasing positive affect). Such an experiment could yield important information for clinicians treating individuals with chronic mTBI. </w:t>
      </w:r>
    </w:p>
    <w:p w14:paraId="21E77F59" w14:textId="77777777" w:rsidR="00F7044C" w:rsidRPr="00C421E4" w:rsidRDefault="00F7044C" w:rsidP="00F7044C">
      <w:pPr>
        <w:pStyle w:val="NoSpacing"/>
        <w:spacing w:line="480" w:lineRule="auto"/>
        <w:rPr>
          <w:rFonts w:ascii="Times" w:hAnsi="Times"/>
        </w:rPr>
      </w:pPr>
    </w:p>
    <w:p w14:paraId="490D4396" w14:textId="77777777" w:rsidR="00F7044C" w:rsidRPr="00C421E4" w:rsidRDefault="00F7044C" w:rsidP="00F7044C">
      <w:pPr>
        <w:pStyle w:val="NoSpacing"/>
        <w:spacing w:line="480" w:lineRule="auto"/>
        <w:rPr>
          <w:rFonts w:ascii="Times" w:hAnsi="Times"/>
        </w:rPr>
      </w:pPr>
      <w:r w:rsidRPr="00C421E4">
        <w:rPr>
          <w:rFonts w:ascii="Times" w:hAnsi="Times"/>
        </w:rPr>
        <w:t>It is important to note that there are limitations in the way that the circadian analyses were conducted. First, a within-subject circadian analysis is more optimal than a between-subject analysis because a within-subject analysis minimizes variance in emotion ratings. However, as has been demonstrated with the habituation results, ratings of images change with repeated exposure, and thus we were not able to show participants the same images across the day without avoiding habituation effects. Next, another limitation is that our analyses (cubic regressions) were set up to detect a circadian curve in the data. However, in theory, the mTBI group may not have the same curvature in their circadian rhythm that the non-TBI group does. Thus, this type of analysis may not have been useful for detecting differences in rhythmicity between groups.</w:t>
      </w:r>
    </w:p>
    <w:p w14:paraId="1CE6AB8F" w14:textId="77777777" w:rsidR="00F7044C" w:rsidRPr="00C421E4" w:rsidRDefault="00F7044C" w:rsidP="00F7044C">
      <w:pPr>
        <w:pStyle w:val="NoSpacing"/>
        <w:spacing w:line="480" w:lineRule="auto"/>
        <w:rPr>
          <w:rFonts w:ascii="Times" w:hAnsi="Times"/>
        </w:rPr>
      </w:pPr>
    </w:p>
    <w:p w14:paraId="58504D29" w14:textId="77777777" w:rsidR="00F7044C" w:rsidRPr="00C421E4" w:rsidRDefault="00F7044C" w:rsidP="00F7044C">
      <w:pPr>
        <w:pStyle w:val="NoSpacing"/>
        <w:spacing w:line="480" w:lineRule="auto"/>
        <w:rPr>
          <w:rFonts w:ascii="Times" w:hAnsi="Times"/>
        </w:rPr>
      </w:pPr>
      <w:r w:rsidRPr="00C421E4">
        <w:rPr>
          <w:rFonts w:ascii="Times" w:hAnsi="Times"/>
        </w:rPr>
        <w:t xml:space="preserve">In future studies, a more optimal study design would be to test all participants in two groups, rather than in many groups. In previous work, participants were grouped into a morning group or afternoon group (between-subject design, 20 participants in each group; </w:t>
      </w:r>
      <w:r w:rsidRPr="00C421E4">
        <w:rPr>
          <w:rFonts w:ascii="Times" w:hAnsi="Times"/>
        </w:rPr>
        <w:fldChar w:fldCharType="begin"/>
      </w:r>
      <w:r w:rsidRPr="00C421E4">
        <w:rPr>
          <w:rFonts w:ascii="Times" w:hAnsi="Times"/>
        </w:rPr>
        <w:instrText xml:space="preserve"> ADDIN ZOTERO_ITEM CSL_CITATION {"citationID":"2ivs7esmlc","properties":{"formattedCitation":"(Tucker et al., 2012)","plainCitation":"(Tucker et al., 2012)"},"citationItems":[{"id":"h1OO1zp7/j5dgnnaG","uris":["http://www.mendeley.com/documents/?uuid=bdad406d-40c6-4a33-bb71-03c186d8b890"],"uri":["http://www.mendeley.com/documents/?uuid=bdad406d-40c6-4a33-bb71-03c186d8b890"],"itemData":{"DOI":"10.1037/a0028207","ISBN":"2122633255","ISSN":"1931-1516","PMID":"22642354","abstract":"This study explored how the effectiveness of specific emotion regulation strategies might be influenced by aging and by time of day, given that in older age the circadian peak in cognitive performance is earlier in the day. We compared the benefit gained by 40 older (60-78 years; 20 women) and 40 younger (18-30 years; 20 women) adults during either on-peak or off-peak circadian times on 2 specific types of cognitive emotion regulation strategies: distraction and reappraisal. Participants rated their negative emotional responses to negative and neutral images under 3 conditions: a baseline nonregulation condition, a distraction condition involving a working memory task, and a reappraisal condition that involved reinterpreting the situation displayed using specific preselected strategies. First, as hypothesized, there was a crossover interaction such that participants in each age group reported more negative reactivity at their off-peak time of day. Second, a double dissociation was observed as circadian rhythms affected only negative reactivity-with reactivity highest at off-peak times-and aging diminished reappraisal but not distraction ability or reactivity. These findings add to growing evidence that understanding the effects of aging on emotion and emotion regulation depends on taking both time of day and type of regulatory strategy into account.","author":[{"dropping-particle":"","family":"Tucker","given":"Adrienne M","non-dropping-particle":"","parse-names":false,"suffix":""},{"dropping-particle":"","family":"Feuerstein","given":"Rebecca","non-dropping-particle":"","parse-names":false,"suffix":""},{"dropping-particle":"","family":"Mende-Siedlecki","given":"Peter","non-dropping-particle":"","parse-names":false,"suffix":""},{"dropping-particle":"","family":"Ochsner","given":"Kevin N","non-dropping-particle":"","parse-names":false,"suffix":""},{"dropping-particle":"","family":"Stern","given":"Yaakov","non-dropping-particle":"","parse-names":false,"suffix":""}],"container-title":"Emotion","id":"h1OO1zp7/j5dgnnaG","issue":"5","issued":{"date-parts":[["2012"]]},"page":"869-74","title":"Double dissociation: circadian off-peak times increase emotional reactivity; aging impairs emotion regulation via reappraisal.","type":"article-journal","volume":"12"}}],"schema":"https://github.com/citation-style-language/schema/raw/master/csl-citation.json"}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Tucker et al., 2012)</w:t>
      </w:r>
      <w:r w:rsidRPr="00C421E4">
        <w:rPr>
          <w:rFonts w:ascii="Times" w:hAnsi="Times"/>
        </w:rPr>
        <w:fldChar w:fldCharType="end"/>
      </w:r>
      <w:r w:rsidRPr="00C421E4">
        <w:rPr>
          <w:rFonts w:ascii="Times" w:hAnsi="Times"/>
        </w:rPr>
        <w:t>. Participants rated images as more negative when they were in their circadian off-peak (at 2PM) relative to what the authors considered to be on-peak (10AM). Unfortunately, with the current study design, although we sampled across the day, we are unable to assess participants in “blocks,” because we only have 4 participants in each group tested at each hour. Therefore, we are limited in our attempts to detect on- and off-peak circadian differences. Future work could probe all mTBI and non-TBI subjects at 8AM and 2PM (or all in a morning group, as mentioned above) in an attempt to elucidate the effect of circadian rhythmicity on emotion reactivity following mTBI.</w:t>
      </w:r>
    </w:p>
    <w:p w14:paraId="1BAD1149" w14:textId="77777777" w:rsidR="00F7044C" w:rsidRPr="00C421E4" w:rsidRDefault="00F7044C" w:rsidP="00F7044C">
      <w:pPr>
        <w:pStyle w:val="NoSpacing"/>
        <w:spacing w:line="480" w:lineRule="auto"/>
        <w:rPr>
          <w:rFonts w:ascii="Times" w:hAnsi="Times"/>
        </w:rPr>
      </w:pPr>
    </w:p>
    <w:p w14:paraId="597CECDE" w14:textId="77777777" w:rsidR="00F7044C" w:rsidRPr="00C421E4" w:rsidRDefault="00F7044C" w:rsidP="00F7044C">
      <w:pPr>
        <w:pStyle w:val="NoSpacing"/>
        <w:spacing w:line="480" w:lineRule="auto"/>
        <w:rPr>
          <w:rFonts w:ascii="Times" w:hAnsi="Times"/>
        </w:rPr>
      </w:pPr>
      <w:r w:rsidRPr="00C421E4">
        <w:rPr>
          <w:rFonts w:ascii="Times" w:hAnsi="Times"/>
        </w:rPr>
        <w:t>We found no reactivity differences between groups for valence or arousal ratings. These results are particularly interesting when examining them in conjunction with the habituation results (</w:t>
      </w:r>
      <w:r w:rsidRPr="00C421E4">
        <w:rPr>
          <w:rFonts w:ascii="Times" w:hAnsi="Times"/>
          <w:b/>
        </w:rPr>
        <w:t>Aim 1</w:t>
      </w:r>
      <w:r w:rsidRPr="00C421E4">
        <w:rPr>
          <w:rFonts w:ascii="Times" w:hAnsi="Times"/>
        </w:rPr>
        <w:t xml:space="preserve">). As discussed, we found habituation differences between groups for arousal ratings (regardless of valence). Given that groups did not differ in reactivity, we can conclude that the habituation differences were not a function of baseline differences. Rather, habituation differences occurred despite no significant differences in initial image ratings.  </w:t>
      </w:r>
    </w:p>
    <w:p w14:paraId="2897E833" w14:textId="77777777" w:rsidR="00F7044C" w:rsidRPr="00C421E4" w:rsidRDefault="00F7044C" w:rsidP="00F7044C">
      <w:pPr>
        <w:pStyle w:val="NoSpacing"/>
        <w:spacing w:line="480" w:lineRule="auto"/>
        <w:rPr>
          <w:rFonts w:ascii="Times" w:hAnsi="Times"/>
        </w:rPr>
      </w:pPr>
    </w:p>
    <w:p w14:paraId="66B3C76A" w14:textId="77777777" w:rsidR="00F7044C" w:rsidRPr="00C421E4" w:rsidRDefault="00F7044C" w:rsidP="00F7044C">
      <w:pPr>
        <w:pStyle w:val="NoSpacing"/>
        <w:spacing w:line="480" w:lineRule="auto"/>
        <w:rPr>
          <w:rFonts w:ascii="Times" w:hAnsi="Times"/>
        </w:rPr>
      </w:pPr>
      <w:r w:rsidRPr="00C421E4">
        <w:rPr>
          <w:rFonts w:ascii="Times" w:hAnsi="Times"/>
        </w:rPr>
        <w:t xml:space="preserve">We are not aware of any experiments in which chronic mTBI participants were asked to rate IAPS images. In one experiment in which participants were subjected to a stressor, mTBI participants rated their arousal state as lower during baseline (prior to the stressor initiation) and lower after a stressor was introduced </w:t>
      </w:r>
      <w:r w:rsidRPr="00C421E4">
        <w:rPr>
          <w:rFonts w:ascii="Times" w:hAnsi="Times"/>
        </w:rPr>
        <w:fldChar w:fldCharType="begin"/>
      </w:r>
      <w:r w:rsidRPr="00C421E4">
        <w:rPr>
          <w:rFonts w:ascii="Times" w:hAnsi="Times"/>
        </w:rPr>
        <w:instrText xml:space="preserve"> ADDIN ZOTERO_ITEM CSL_CITATION {"citationID":"4nmabhn61","properties":{"formattedCitation":"(Baker &amp; Good, 2014a)","plainCitation":"(Baker &amp; Good, 2014a)"},"citationItems":[{"id":"Sl3AVmA5/9nrSbRE3","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[BI]","id":"Sl3AVmA5/9nrSbRE3","issue":"1","issued":{"date-parts":[["2014"]]},"page":"51-65","title":"Physiological emotional under-arousal in individuals with mild head injury.","type":"article-journal","volume":"28"}}],"schema":"https://github.com/citation-style-language/schema/raw/master/csl-citation.json"} </w:instrText>
      </w:r>
      <w:r w:rsidRPr="00C421E4">
        <w:rPr>
          <w:rFonts w:ascii="Times" w:hAnsi="Times"/>
        </w:rPr>
        <w:fldChar w:fldCharType="separate"/>
      </w:r>
      <w:r w:rsidRPr="00C421E4">
        <w:rPr>
          <w:rFonts w:ascii="Times" w:hAnsi="Times"/>
          <w:noProof/>
        </w:rPr>
        <w:t>(Baker &amp; Good, 2014)</w:t>
      </w:r>
      <w:r w:rsidRPr="00C421E4">
        <w:rPr>
          <w:rFonts w:ascii="Times" w:hAnsi="Times"/>
        </w:rPr>
        <w:fldChar w:fldCharType="end"/>
      </w:r>
      <w:r w:rsidRPr="00C421E4">
        <w:rPr>
          <w:rFonts w:ascii="Times" w:hAnsi="Times"/>
        </w:rPr>
        <w:t xml:space="preserve">. However, ratings of emotional stimuli from our study are not necessarily comparable to ratings of one’s arousal state, and therefore, our results are distinct and indicate there may not be differences in IAPS ratings between individuals with a chronic history of mTBI and controls. </w:t>
      </w:r>
    </w:p>
    <w:p w14:paraId="19F61403" w14:textId="77777777" w:rsidR="00F7044C" w:rsidRPr="00C421E4" w:rsidRDefault="00F7044C" w:rsidP="00F7044C">
      <w:pPr>
        <w:pStyle w:val="NoSpacing"/>
        <w:spacing w:line="480" w:lineRule="auto"/>
        <w:rPr>
          <w:rFonts w:ascii="Times" w:hAnsi="Times"/>
        </w:rPr>
      </w:pPr>
    </w:p>
    <w:p w14:paraId="106A7D27" w14:textId="77777777" w:rsidR="00F7044C" w:rsidRPr="00C421E4" w:rsidRDefault="00F7044C" w:rsidP="00F7044C">
      <w:pPr>
        <w:pStyle w:val="NoSpacing"/>
        <w:spacing w:line="480" w:lineRule="auto"/>
        <w:rPr>
          <w:rFonts w:ascii="Times" w:hAnsi="Times"/>
        </w:rPr>
      </w:pPr>
      <w:r w:rsidRPr="00C421E4">
        <w:rPr>
          <w:rFonts w:ascii="Times" w:hAnsi="Times"/>
        </w:rPr>
        <w:t xml:space="preserve">Lastly, we found that reduced arousal ratings to positive stimuli were predictive of higher mood symptomology in both groups combined. This is consistent with literature showing that blunted emotional reactivity to emotional stimuli (both negative and positive) is predictive of higher depressive symptoms </w:t>
      </w:r>
      <w:r w:rsidRPr="00C421E4">
        <w:rPr>
          <w:rFonts w:ascii="Times" w:hAnsi="Times"/>
        </w:rPr>
        <w:fldChar w:fldCharType="begin"/>
      </w:r>
      <w:r w:rsidRPr="00C421E4">
        <w:rPr>
          <w:rFonts w:ascii="Times" w:hAnsi="Times"/>
        </w:rPr>
        <w:instrText xml:space="preserve"> ADDIN ZOTERO_ITEM CSL_CITATION {"citationID":"ah3evimjp","properties":{"formattedCitation":"(Bylsma et al., 2008)","plainCitation":"(Bylsma et al., 2008)"},"citationItems":[{"id":"Sl3AVmA5/TiEPo0Tz","uris":["http://www.mendeley.com/documents/?uuid=865391b8-21bd-4d76-9a09-55edcaba9b50"],"uri":["http://www.mendeley.com/documents/?uuid=865391b8-21bd-4d76-9a09-55edcaba9b50"],"itemData":{"DOI":"10.1016/j.cpr.2007.10.001","ISBN":"0272-7358","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Review","id":"Sl3AVmA5/TiEPo0Tz","issue":"4","issued":{"date-parts":[["2008"]]},"page":"676-691","title":"A meta-analysis of emotional reactivity in major depressive disorder","type":"article","volume":"28"}}],"schema":"https://github.com/citation-style-language/schema/raw/master/csl-citation.json"} </w:instrText>
      </w:r>
      <w:r w:rsidRPr="00C421E4">
        <w:rPr>
          <w:rFonts w:ascii="Times" w:hAnsi="Times"/>
        </w:rPr>
        <w:fldChar w:fldCharType="separate"/>
      </w:r>
      <w:r w:rsidRPr="00C421E4">
        <w:rPr>
          <w:rFonts w:ascii="Times" w:hAnsi="Times"/>
          <w:noProof/>
        </w:rPr>
        <w:t>(Bylsma et al., 2008)</w:t>
      </w:r>
      <w:r w:rsidRPr="00C421E4">
        <w:rPr>
          <w:rFonts w:ascii="Times" w:hAnsi="Times"/>
        </w:rPr>
        <w:fldChar w:fldCharType="end"/>
      </w:r>
      <w:r w:rsidRPr="00C421E4">
        <w:rPr>
          <w:rFonts w:ascii="Times" w:hAnsi="Times"/>
        </w:rPr>
        <w:t xml:space="preserve">. We did not find a significant interaction between Injury Group and reactivity, suggesting that the </w:t>
      </w:r>
      <w:r w:rsidRPr="00C421E4">
        <w:rPr>
          <w:rFonts w:ascii="Times" w:hAnsi="Times"/>
        </w:rPr>
        <w:lastRenderedPageBreak/>
        <w:t xml:space="preserve">relationship between reactivity and mood symptomatology does not differ based on mTBI status.  </w:t>
      </w:r>
    </w:p>
    <w:p w14:paraId="604FEE46" w14:textId="77777777" w:rsidR="00F7044C" w:rsidRPr="00C421E4" w:rsidRDefault="00F7044C" w:rsidP="00F7044C">
      <w:pPr>
        <w:pStyle w:val="NoSpacing"/>
        <w:spacing w:line="480" w:lineRule="auto"/>
        <w:rPr>
          <w:rFonts w:ascii="Times" w:hAnsi="Times"/>
        </w:rPr>
      </w:pPr>
    </w:p>
    <w:p w14:paraId="7574DA9A" w14:textId="77777777" w:rsidR="00F7044C" w:rsidRPr="00C421E4" w:rsidRDefault="00F7044C" w:rsidP="00F7044C">
      <w:pPr>
        <w:pStyle w:val="NoSpacing"/>
        <w:spacing w:line="480" w:lineRule="auto"/>
        <w:rPr>
          <w:rFonts w:ascii="Times" w:hAnsi="Times"/>
        </w:rPr>
      </w:pPr>
      <w:r w:rsidRPr="00C421E4">
        <w:rPr>
          <w:rFonts w:ascii="Times" w:hAnsi="Times"/>
        </w:rPr>
        <w:t xml:space="preserve">Similar to what was seen for the behavioral measures, there were no group differences in physiological reactivity to emotion stimuli for EMG, skin conductance, or heart rate. In previous studies examining skin conductance in mTBI participants </w:t>
      </w:r>
      <w:r w:rsidRPr="00C421E4">
        <w:rPr>
          <w:rFonts w:ascii="Times" w:hAnsi="Times" w:cs="Times New Roman"/>
        </w:rPr>
        <w:fldChar w:fldCharType="begin"/>
      </w:r>
      <w:r w:rsidRPr="00C421E4">
        <w:rPr>
          <w:rFonts w:ascii="Times" w:hAnsi="Times" w:cs="Times New Roman"/>
        </w:rPr>
        <w:instrText xml:space="preserve"> ADDIN ZOTERO_ITEM CSL_CITATION {"citationID":"1hr6Jp5W","properties":{"unsorted":true,"formattedCitation":"(van Noordt &amp; Good, 2011a; Baker &amp; Good, 2014a)","plainCitation":"(van Noordt &amp; Good, 2011a; Baker &amp; Good, 2014a)"},"citationItems":[{"id":"N7lIpksm/8NMyT5fF","uris":["http://www.mendeley.com/documents/?uuid=21066ddb-1706-42a8-8ec2-844bb2c5e641"],"uri":["http://www.mendeley.com/documents/?uuid=21066ddb-1706-42a8-8ec2-844bb2c5e641"],"itemData":{"DOI":"10.3109/02699052.2011.580312","ISBN":"02699052 (ISSN)","ISSN":"1362-301X","PMID":"21619460","abstract":"SUMMARY: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author":[{"dropping-particle":"","family":"Noordt","given":"Stefon","non-dropping-particle":"van","parse-names":false,"suffix":""},{"dropping-particle":"","family":"Good","given":"Dawn","non-dropping-particle":"","parse-names":false,"suffix":""}],"container-title":"Brain injury","id":"N7lIpksm/8NMyT5fF","issue":"7-8","issued":{"date-parts":[["2011"]]},"page":"707-16","title":"Mild head injury and sympathetic arousal: investigating relationships with decision-making and neuropsychological performance in university students.","type":"article-journal","volume":"25"}},{"id":"N7lIpksm/AgThaa7T","uris":["http://www.mendeley.com/documents/?uuid=579acc5e-c053-41e0-82b6-cf6967a4c2ae"],"uri":["http://www.mendeley.com/documents/?uuid=579acc5e-c053-41e0-82b6-cf6967a4c2ae"],"itemData":{"DOI":"10.3109/02699052.2013.857787","ISBN":"02699052 (ISSN)","ISSN":"1362-301X","PMID":"24328800","abstract":"PRIMARY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trauma.","author":[{"dropping-particle":"","family":"Baker","given":"Julie M","non-dropping-particle":"","parse-names":false,"suffix":""},{"dropping-particle":"","family":"Good","given":"Dawn E","non-dropping-particle":"","parse-names":false,"suffix":""}],"container-title":"Brain injury : [BI]","id":"N7lIpksm/AgThaa7T","issue":"1","issued":{"date-parts":[["2014"]]},"page":"51-65","title":"Physiological emotional under-arousal in individuals with mild head injury.","type":"article-journal","volume":"28"}}],"schema":"https://github.com/citation-style-language/schema/raw/master/csl-citation.json"} </w:instrText>
      </w:r>
      <w:r w:rsidRPr="00C421E4">
        <w:rPr>
          <w:rFonts w:ascii="Times" w:hAnsi="Times" w:cs="Times New Roman"/>
        </w:rPr>
        <w:fldChar w:fldCharType="separate"/>
      </w:r>
      <w:r w:rsidRPr="00C421E4">
        <w:rPr>
          <w:rFonts w:ascii="Times" w:hAnsi="Times" w:cs="Times New Roman"/>
          <w:noProof/>
        </w:rPr>
        <w:t>(van Noordt &amp; Good, 2011; Baker &amp; Good, 2014)</w:t>
      </w:r>
      <w:r w:rsidRPr="00C421E4">
        <w:rPr>
          <w:rFonts w:ascii="Times" w:hAnsi="Times" w:cs="Times New Roman"/>
        </w:rPr>
        <w:fldChar w:fldCharType="end"/>
      </w:r>
      <w:r w:rsidRPr="00C421E4">
        <w:rPr>
          <w:rFonts w:ascii="Times" w:hAnsi="Times"/>
        </w:rPr>
        <w:t xml:space="preserve">, those with mTBI had a blunted skin conductance response to a stressful cognitive task relative to uninjured controls. To our knowledge, our study was the first to test skin conductance in response to emotional stimuli in an mTBI population. It is possible that responses to emotional stimuli are preserved in this population, just as reactivity of arousal ratings also are similar between groups. </w:t>
      </w:r>
    </w:p>
    <w:p w14:paraId="1EF34AB8" w14:textId="77777777" w:rsidR="00F7044C" w:rsidRPr="00C421E4" w:rsidRDefault="00F7044C" w:rsidP="00F7044C">
      <w:pPr>
        <w:pStyle w:val="NoSpacing"/>
        <w:spacing w:line="480" w:lineRule="auto"/>
        <w:rPr>
          <w:rFonts w:ascii="Times" w:hAnsi="Times"/>
        </w:rPr>
      </w:pPr>
    </w:p>
    <w:p w14:paraId="76864996" w14:textId="77777777" w:rsidR="00F7044C" w:rsidRPr="00C421E4" w:rsidRDefault="00F7044C" w:rsidP="00F7044C">
      <w:pPr>
        <w:pStyle w:val="NoSpacing"/>
        <w:spacing w:line="480" w:lineRule="auto"/>
        <w:rPr>
          <w:rFonts w:ascii="Times" w:hAnsi="Times"/>
        </w:rPr>
      </w:pPr>
      <w:r w:rsidRPr="00C421E4">
        <w:rPr>
          <w:rFonts w:ascii="Times" w:hAnsi="Times"/>
        </w:rPr>
        <w:t xml:space="preserve">In retrospect, our study design was not adequately constructed to detect skin conductance responses or fluctuations. We presented each stimulus for 4 seconds, with a 3 second gap between each presentation. According to previous work, a skin conductance response takes 1-3 seconds to initiate, and it may take another 1-3 seconds before skin conductance reaches its peak response </w:t>
      </w:r>
      <w:r w:rsidRPr="00C421E4">
        <w:rPr>
          <w:rFonts w:ascii="Times" w:hAnsi="Times"/>
        </w:rPr>
        <w:fldChar w:fldCharType="begin"/>
      </w:r>
      <w:r w:rsidRPr="00C421E4">
        <w:rPr>
          <w:rFonts w:ascii="Times" w:hAnsi="Times"/>
        </w:rPr>
        <w:instrText xml:space="preserve"> ADDIN ZOTERO_ITEM CSL_CITATION {"citationID":"u45dlmck9","properties":{"formattedCitation":"(M. E. Dawson, Schell, &amp; Courtney, 2011)","plainCitation":"(M. E. Dawson, Schell, &amp; Courtney, 2011)","dontUpdate":true},"citationItems":[{"id":975,"uris":["http://zotero.org/users/4141602/items/IR4UFQ25"],"uri":["http://zotero.org/users/4141602/items/IR4UFQ25"],"itemData":{"id":975,"type":"article-journal","title":"The skin conductance response, anticipation, and decision-making.","container-title":"Journal of Neuroscience, Psychology, and Economics","page":"111","volume":"4","issue":"2","author":[{"family":"Dawson","given":"Michael E."},{"family":"Schell","given":"Anne M."},{"family":"Courtney","given":"Christopher G."}],"issued":{"date-parts":[["2011"]]}}}],"schema":"https://github.com/citation-style-language/schema/raw/master/csl-citation.json"} </w:instrText>
      </w:r>
      <w:r w:rsidRPr="00C421E4">
        <w:rPr>
          <w:rFonts w:ascii="Times" w:hAnsi="Times"/>
        </w:rPr>
        <w:fldChar w:fldCharType="separate"/>
      </w:r>
      <w:r w:rsidRPr="00C421E4">
        <w:rPr>
          <w:rFonts w:ascii="Times" w:hAnsi="Times"/>
          <w:noProof/>
        </w:rPr>
        <w:t>(Dawson, Schell, &amp; Courtney, 2011)</w:t>
      </w:r>
      <w:r w:rsidRPr="00C421E4">
        <w:rPr>
          <w:rFonts w:ascii="Times" w:hAnsi="Times"/>
        </w:rPr>
        <w:fldChar w:fldCharType="end"/>
      </w:r>
      <w:r w:rsidRPr="00C421E4">
        <w:rPr>
          <w:rFonts w:ascii="Times" w:hAnsi="Times"/>
        </w:rPr>
        <w:t xml:space="preserve">. Because each stimulus was only presented for 4 seconds, we were likely not able to detect skin conductance peaks during stimulus presentation. Furthermore, given that we used the 1 second bin prior to each stimulus presentation as our baseline level (to which skin conductance responses were compared), it is possible that participants were not reaching their skin conductance peak until the baseline bin of the subsequent stimulus. Therefore, it is </w:t>
      </w:r>
      <w:r w:rsidRPr="00C421E4">
        <w:rPr>
          <w:rFonts w:ascii="Times" w:hAnsi="Times"/>
        </w:rPr>
        <w:lastRenderedPageBreak/>
        <w:t xml:space="preserve">possible that both the baseline skin conductance measure and the skin conductance response were invalid. </w:t>
      </w:r>
    </w:p>
    <w:p w14:paraId="18C1EA0B" w14:textId="77777777" w:rsidR="00F7044C" w:rsidRPr="00C421E4" w:rsidRDefault="00F7044C" w:rsidP="00F7044C">
      <w:pPr>
        <w:pStyle w:val="NoSpacing"/>
        <w:spacing w:line="480" w:lineRule="auto"/>
        <w:rPr>
          <w:rFonts w:ascii="Times" w:hAnsi="Times"/>
        </w:rPr>
      </w:pPr>
    </w:p>
    <w:p w14:paraId="623C66DC" w14:textId="77777777" w:rsidR="00F7044C" w:rsidRPr="00C421E4" w:rsidRDefault="00F7044C" w:rsidP="00F7044C">
      <w:pPr>
        <w:spacing w:line="480" w:lineRule="auto"/>
        <w:rPr>
          <w:rFonts w:ascii="Times" w:hAnsi="Times"/>
        </w:rPr>
      </w:pPr>
      <w:r w:rsidRPr="00C421E4">
        <w:rPr>
          <w:rFonts w:ascii="Times" w:hAnsi="Times"/>
        </w:rPr>
        <w:t xml:space="preserve">It is also notable that the two studies on mTBI and skin conductance discussed above found the largest group differences when participants were in the anticipatory stage of the experiment (i.e., while waiting for the experiment to begin), rather than in response to the stimuli itself. Unfortunately, the current study did not test skin conductance responses during the anticipatory period of stimuli presentation. Based on previous work, it seems an anticipatory response is adequately gauged using a 10-60 second inter-stimulus interval </w:t>
      </w:r>
      <w:r w:rsidRPr="00C421E4">
        <w:rPr>
          <w:rFonts w:ascii="Times" w:hAnsi="Times"/>
        </w:rPr>
        <w:fldChar w:fldCharType="begin"/>
      </w:r>
      <w:r w:rsidRPr="00C421E4">
        <w:rPr>
          <w:rFonts w:ascii="Times" w:hAnsi="Times"/>
        </w:rPr>
        <w:instrText xml:space="preserve"> ADDIN ZOTERO_ITEM CSL_CITATION {"citationID":"155f2hi4s1","properties":{"formattedCitation":"(Crone, Somsen, Beek, &amp; Van Der Molen, 2004; Spottiswoode &amp; May, 2003)","plainCitation":"(Crone, Somsen, Beek, &amp; Van Der Molen, 2004; Spottiswoode &amp; May, 2003)"},"citationItems":[{"id":973,"uris":["http://zotero.org/users/4141602/items/R9NT6J56"],"uri":["http://zotero.org/users/4141602/items/R9NT6J56"],"itemData":{"id":973,"type":"article-journal","title":"Heart rate and skin conductance analysis of antecendents and consequences of decision making","container-title":"Psychophysiology","page":"531-540","volume":"41","issue":"4","author":[{"family":"Crone","given":"Eveline A."},{"family":"Somsen","given":"Riek JM"},{"family":"Beek","given":"Bert Van"},{"family":"Van Der Molen","given":"Maurits W."}],"issued":{"date-parts":[["2004"]]}}},{"id":974,"uris":["http://zotero.org/users/4141602/items/8257AV28"],"uri":["http://zotero.org/users/4141602/items/8257AV28"],"itemData":{"id":974,"type":"article-journal","title":"Skin conductance prestimulus response: Analyses, artifacts and a pilot study","container-title":"Journal of Scientific Exploration","page":"617-641","volume":"17","issue":"4","author":[{"family":"Spottiswoode","given":"S. James P."},{"family":"May","given":"E. C."}],"issued":{"date-parts":[["2003"]]}}}],"schema":"https://github.com/citation-style-language/schema/raw/master/csl-citation.json"} </w:instrText>
      </w:r>
      <w:r w:rsidRPr="00C421E4">
        <w:rPr>
          <w:rFonts w:ascii="Times" w:hAnsi="Times"/>
        </w:rPr>
        <w:fldChar w:fldCharType="separate"/>
      </w:r>
      <w:r w:rsidRPr="00C421E4">
        <w:rPr>
          <w:rFonts w:ascii="Times" w:hAnsi="Times"/>
          <w:noProof/>
        </w:rPr>
        <w:t>(Crone, Somsen, Beek, &amp; Van Der Molen, 2004; Spottiswoode &amp; May, 2003)</w:t>
      </w:r>
      <w:r w:rsidRPr="00C421E4">
        <w:rPr>
          <w:rFonts w:ascii="Times" w:hAnsi="Times"/>
        </w:rPr>
        <w:fldChar w:fldCharType="end"/>
      </w:r>
      <w:r w:rsidRPr="00C421E4">
        <w:rPr>
          <w:rFonts w:ascii="Times" w:hAnsi="Times"/>
        </w:rPr>
        <w:t xml:space="preserve">, and thus, our inter-stimulus interval may have been too short. </w:t>
      </w:r>
    </w:p>
    <w:p w14:paraId="4242EEF9" w14:textId="77777777" w:rsidR="00F7044C" w:rsidRPr="00C421E4" w:rsidRDefault="00F7044C" w:rsidP="00F7044C">
      <w:pPr>
        <w:spacing w:line="480" w:lineRule="auto"/>
        <w:rPr>
          <w:rFonts w:ascii="Times" w:hAnsi="Times"/>
        </w:rPr>
      </w:pPr>
    </w:p>
    <w:p w14:paraId="1CD69343" w14:textId="77777777" w:rsidR="00F7044C" w:rsidRPr="00783439" w:rsidRDefault="00F7044C" w:rsidP="00F7044C">
      <w:pPr>
        <w:spacing w:line="480" w:lineRule="auto"/>
        <w:jc w:val="center"/>
        <w:outlineLvl w:val="0"/>
        <w:rPr>
          <w:rFonts w:ascii="Times" w:hAnsi="Times"/>
          <w:b/>
        </w:rPr>
      </w:pPr>
      <w:r>
        <w:rPr>
          <w:rFonts w:ascii="Times" w:hAnsi="Times"/>
          <w:b/>
        </w:rPr>
        <w:t xml:space="preserve">3. </w:t>
      </w:r>
      <w:r w:rsidRPr="00783439">
        <w:rPr>
          <w:rFonts w:ascii="Times" w:hAnsi="Times"/>
          <w:b/>
        </w:rPr>
        <w:t>Neural Underpinnings of mTBI</w:t>
      </w:r>
    </w:p>
    <w:p w14:paraId="6EDC2BC8" w14:textId="77777777" w:rsidR="00F7044C" w:rsidRPr="00C421E4" w:rsidRDefault="00F7044C" w:rsidP="00F7044C">
      <w:pPr>
        <w:spacing w:line="480" w:lineRule="auto"/>
        <w:rPr>
          <w:rFonts w:ascii="Times" w:hAnsi="Times"/>
        </w:rPr>
      </w:pPr>
      <w:r w:rsidRPr="00C421E4">
        <w:rPr>
          <w:rFonts w:ascii="Times" w:hAnsi="Times"/>
        </w:rPr>
        <w:t xml:space="preserve">Neuroimaging studies have demonstrated alterations in prefrontal cortex functioning in chronic mTBI. In one study, which gauged cerebral blood flow via SPECT imaging, chronic mTBI participants showed hypo-perfusion of blood flow in several frontal regions </w:t>
      </w:r>
      <w:r w:rsidRPr="00C421E4">
        <w:rPr>
          <w:rFonts w:ascii="Times" w:hAnsi="Times"/>
        </w:rPr>
        <w:fldChar w:fldCharType="begin"/>
      </w:r>
      <w:r w:rsidRPr="00C421E4">
        <w:rPr>
          <w:rFonts w:ascii="Times" w:hAnsi="Times"/>
        </w:rPr>
        <w:instrText xml:space="preserve"> ADDIN ZOTERO_ITEM CSL_CITATION {"citationID":"6ufori25m","properties":{"formattedCitation":"(Bonne et al., 2003)","plainCitation":"(Bonne et al., 2003)"},"citationItems":[{"id":949,"uris":["http://zotero.org/users/4141602/items/G2C66SK3"],"uri":["http://zotero.org/users/4141602/items/G2C66SK3"],"itemData":{"id":949,"type":"article-journal","title":"Cerebral blood flow in chronic symptomatic mild traumatic brain injury","container-title":"Psychiatry Research: Neuroimaging","page":"141-152","volume":"124","issue":"3","author":[{"family":"Bonne","given":"Omer"},{"family":"Gilboa","given":"Asaf"},{"family":"Louzoun","given":"Yoram"},{"family":"Kempf-Sherf","given":"Orli"},{"family":"Katz","given":"Maor"},{"family":"Fishman","given":"Yeri"},{"family":"Ben-Nahum","given":"Zila"},{"family":"Krausz","given":"Yodphat"},{"family":"Bocher","given":"Moshe"},{"family":"Lester","given":"Hava"}],"issued":{"date-parts":[["2003"]]}}}],"schema":"https://github.com/citation-style-language/schema/raw/master/csl-citation.json"} </w:instrText>
      </w:r>
      <w:r w:rsidRPr="00C421E4">
        <w:rPr>
          <w:rFonts w:ascii="Times" w:hAnsi="Times"/>
        </w:rPr>
        <w:fldChar w:fldCharType="separate"/>
      </w:r>
      <w:r w:rsidRPr="00C421E4">
        <w:rPr>
          <w:rFonts w:ascii="Times" w:hAnsi="Times"/>
          <w:noProof/>
        </w:rPr>
        <w:t>(Bonne et al., 2003)</w:t>
      </w:r>
      <w:r w:rsidRPr="00C421E4">
        <w:rPr>
          <w:rFonts w:ascii="Times" w:hAnsi="Times"/>
        </w:rPr>
        <w:fldChar w:fldCharType="end"/>
      </w:r>
      <w:r w:rsidRPr="00C421E4">
        <w:rPr>
          <w:rFonts w:ascii="Times" w:hAnsi="Times"/>
        </w:rPr>
        <w:t xml:space="preserve">. Hypo-perfusion was predictive of higher executive functioning deficits. In a study using DTI, in the mTBI group, white matter reductions were present in several regions, including the superior longitudinal fasciculus, which connects the frontal lobe with each other brain lobe </w:t>
      </w:r>
      <w:r w:rsidRPr="00C421E4">
        <w:rPr>
          <w:rFonts w:ascii="Times" w:hAnsi="Times"/>
        </w:rPr>
        <w:fldChar w:fldCharType="begin"/>
      </w:r>
      <w:r w:rsidRPr="00C421E4">
        <w:rPr>
          <w:rFonts w:ascii="Times" w:hAnsi="Times"/>
        </w:rPr>
        <w:instrText xml:space="preserve"> ADDIN ZOTERO_ITEM CSL_CITATION {"citationID":"1j67e5jut7","properties":{"formattedCitation":"(Kraus et al., 2007)","plainCitation":"(Kraus et al., 2007)"},"citationItems":[{"id":951,"uris":["http://zotero.org/users/4141602/items/G97E4TQ4"],"uri":["http://zotero.org/users/4141602/items/G97E4TQ4"],"itemData":{"id":951,"type":"article-journal","title":"White matter integrity and cognition in chronic traumatic brain injury: a diffusion tensor imaging study","container-title":"Brain","page":"2508-2519","volume":"130","issue":"10","author":[{"family":"Kraus","given":"Marilyn F."},{"family":"Susmaras","given":"Teresa"},{"family":"Caughlin","given":"Benjamin P."},{"family":"Walker","given":"Corey J."},{"family":"Sweeney","given":"John A."},{"family":"Little","given":"Deborah M."}],"issued":{"date-parts":[["2007"]]}}}],"schema":"https://github.com/citation-style-language/schema/raw/master/csl-citation.json"} </w:instrText>
      </w:r>
      <w:r w:rsidRPr="00C421E4">
        <w:rPr>
          <w:rFonts w:ascii="Times" w:hAnsi="Times"/>
        </w:rPr>
        <w:fldChar w:fldCharType="separate"/>
      </w:r>
      <w:r w:rsidRPr="00C421E4">
        <w:rPr>
          <w:rFonts w:ascii="Times" w:hAnsi="Times"/>
          <w:noProof/>
        </w:rPr>
        <w:t>(Kraus et al., 2007)</w:t>
      </w:r>
      <w:r w:rsidRPr="00C421E4">
        <w:rPr>
          <w:rFonts w:ascii="Times" w:hAnsi="Times"/>
        </w:rPr>
        <w:fldChar w:fldCharType="end"/>
      </w:r>
      <w:r w:rsidRPr="00C421E4">
        <w:rPr>
          <w:rFonts w:ascii="Times" w:hAnsi="Times"/>
        </w:rPr>
        <w:t xml:space="preserve">. In the latter study, unfortunately, correlations between white matter integrity and behavior were not conducted. Lastly, in a recent meta-analysis of neuroimaging studies of chronic mTBI, it was found that mTBI-related brain damage is more commonly found in anterior regions </w:t>
      </w:r>
      <w:r w:rsidRPr="00C421E4">
        <w:rPr>
          <w:rFonts w:ascii="Times" w:hAnsi="Times"/>
        </w:rPr>
        <w:lastRenderedPageBreak/>
        <w:t xml:space="preserve">than posterior regions </w:t>
      </w:r>
      <w:r w:rsidRPr="00C421E4">
        <w:rPr>
          <w:rFonts w:ascii="Times" w:hAnsi="Times"/>
        </w:rPr>
        <w:fldChar w:fldCharType="begin"/>
      </w:r>
      <w:r w:rsidRPr="00C421E4">
        <w:rPr>
          <w:rFonts w:ascii="Times" w:hAnsi="Times"/>
        </w:rPr>
        <w:instrText xml:space="preserve"> ADDIN ZOTERO_ITEM CSL_CITATION {"citationID":"cogvu7s37","properties":{"formattedCitation":"(Eierud et al., 2014)","plainCitation":"(Eierud et al., 2014)"},"citationItems":[{"id":925,"uris":["http://zotero.org/users/4141602/items/ASK6CPVJ"],"uri":["http://zotero.org/users/4141602/items/ASK6CPVJ"],"itemData":{"id":925,"type":"article-journal","title":"Neuroimaging after mild traumatic brain injury: review and meta-analysis","container-title":"NeuroImage: Clinical","page":"283-294","volume":"4","author":[{"family":"Eierud","given":"Cyrus"},{"family":"Craddock","given":"R. Cameron"},{"family":"Fletcher","given":"Sean"},{"family":"Aulakh","given":"Manek"},{"family":"King-Casas","given":"Brooks"},{"family":"Kuehl","given":"Damon"},{"family":"LaConte","given":"Stephen M."}],"issued":{"date-parts":[["2014"]]}}}],"schema":"https://github.com/citation-style-language/schema/raw/master/csl-citation.json"} </w:instrText>
      </w:r>
      <w:r w:rsidRPr="00C421E4">
        <w:rPr>
          <w:rFonts w:ascii="Times" w:hAnsi="Times"/>
        </w:rPr>
        <w:fldChar w:fldCharType="separate"/>
      </w:r>
      <w:r w:rsidRPr="00C421E4">
        <w:rPr>
          <w:rFonts w:ascii="Times" w:hAnsi="Times"/>
          <w:noProof/>
        </w:rPr>
        <w:t>(Eierud et al., 2014)</w:t>
      </w:r>
      <w:r w:rsidRPr="00C421E4">
        <w:rPr>
          <w:rFonts w:ascii="Times" w:hAnsi="Times"/>
        </w:rPr>
        <w:fldChar w:fldCharType="end"/>
      </w:r>
      <w:r w:rsidRPr="00C421E4">
        <w:rPr>
          <w:rFonts w:ascii="Times" w:hAnsi="Times"/>
        </w:rPr>
        <w:t xml:space="preserve">. Furthermore, brain alterations (specifically in DTI measures) tended to be related to deficits in neurocognitive functioning. </w:t>
      </w:r>
    </w:p>
    <w:p w14:paraId="0F888B93" w14:textId="77777777" w:rsidR="00F7044C" w:rsidRPr="00C421E4" w:rsidRDefault="00F7044C" w:rsidP="00F7044C">
      <w:pPr>
        <w:spacing w:line="480" w:lineRule="auto"/>
        <w:rPr>
          <w:rFonts w:ascii="Times" w:hAnsi="Times"/>
        </w:rPr>
      </w:pPr>
    </w:p>
    <w:p w14:paraId="045F39E2" w14:textId="77777777" w:rsidR="00F7044C" w:rsidRPr="00C421E4" w:rsidRDefault="00F7044C" w:rsidP="00F7044C">
      <w:pPr>
        <w:spacing w:line="480" w:lineRule="auto"/>
        <w:rPr>
          <w:rFonts w:ascii="Times" w:hAnsi="Times"/>
        </w:rPr>
      </w:pPr>
      <w:r w:rsidRPr="00C421E4">
        <w:rPr>
          <w:rFonts w:ascii="Times" w:hAnsi="Times"/>
        </w:rPr>
        <w:t xml:space="preserve">Given that neurocognitive differences between chronic mTBI participants and controls are small (if they exist; </w:t>
      </w:r>
      <w:r w:rsidRPr="00C421E4">
        <w:rPr>
          <w:rFonts w:ascii="Times" w:hAnsi="Times"/>
        </w:rPr>
        <w:fldChar w:fldCharType="begin"/>
      </w:r>
      <w:r w:rsidRPr="00C421E4">
        <w:rPr>
          <w:rFonts w:ascii="Times" w:hAnsi="Times"/>
        </w:rPr>
        <w:instrText xml:space="preserve"> ADDIN ZOTERO_ITEM CSL_CITATION {"citationID":"qdibmfglr","properties":{"formattedCitation":"(BELANGER, CURTISS, DEMERY, LEBOWITZ, &amp; VANDERPLOEG, 2005)","plainCitation":"(BELANGER, CURTISS, DEMERY, LEBOWITZ, &amp; VANDERPLOEG, 2005)"},"citationItems":[{"id":916,"uris":["http://zotero.org/users/4141602/items/WF8EP88U"],"uri":["http://zotero.org/users/4141602/items/WF8EP88U"],"itemData":{"id":916,"type":"article-journal","title":"Factors moderating neuropsychological outcomes following mild traumatic brain injury: A meta-analysis","container-title":"Journal of the International Neuropsychological Society","page":"215-227","volume":"11","issue":"3","source":"http://worldcat.org","archive":"/z-wcorg/","abstract":"There continues to be debate about the long-term neuropsychological impact of mild traumatic brain injury (MTBI). A meta-analysis of the relevant literature was conducted to determine the impact of MTBI across nine cognitive domains. The analysis was based on 39 studies involving 1463 cases of MTBI and 1191 control cases. The overall effect of MTBI on neuropsychological functioning was moderate (d = .54). However, findings were moderated by cognitive domain, time since injury, patient characteristics, and sampling methods. Acute effects (less than 3 months postinjury) of MTBI were greatest for delayed memory and fluency (d = 1.03 and .89, respectively). In unselected or prospective samples, the overall analysis revealed no residual neuropsychological impairment by 3 months postinjury (d = .04). In contrast, clinic-based samples and samples including participants in litigation were associated with greater cognitive sequelae of MTBI (d = .74 and .78, respectively at 3 months or greater). Indeed, litigation was associated with stable or worsening of cognitive functioning over time. The implications and limitations of these findings are discussed. (JINS, 2005, 11, 215-227.)","ISSN":"1355-6177","language":"English","author":[{"family":"BELANGER","given":"HEATHER G."},{"family":"CURTISS","given":"GLENN"},{"family":"DEMERY","given":"JASON A."},{"family":"LEBOWITZ","given":"BRIAN K."},{"family":"VANDERPLOEG","given":"RODNEY D."}],"issued":{"date-parts":[["2005"]]}}}],"schema":"https://github.com/citation-style-language/schema/raw/master/csl-citation.json"} </w:instrText>
      </w:r>
      <w:r w:rsidRPr="00C421E4">
        <w:rPr>
          <w:rFonts w:ascii="Times" w:hAnsi="Times"/>
        </w:rPr>
        <w:fldChar w:fldCharType="separate"/>
      </w:r>
      <w:r w:rsidRPr="00C421E4">
        <w:rPr>
          <w:rFonts w:ascii="Times" w:hAnsi="Times"/>
          <w:noProof/>
        </w:rPr>
        <w:t>(Belanger, Curtiss, Demery, Lebowitz, &amp; Vanderploeg, 2005)</w:t>
      </w:r>
      <w:r w:rsidRPr="00C421E4">
        <w:rPr>
          <w:rFonts w:ascii="Times" w:hAnsi="Times"/>
        </w:rPr>
        <w:fldChar w:fldCharType="end"/>
      </w:r>
      <w:r w:rsidRPr="00C421E4">
        <w:rPr>
          <w:rFonts w:ascii="Times" w:hAnsi="Times"/>
        </w:rPr>
        <w:t xml:space="preserve">, we did not expect to find cognitive differences between experimental groups. However, we included neuropsychological tests in order to control for cognitive differences between groups if they were present. In this study, we unexpectedly found a cognitive enhancement in the mTBI group, indicating that this group likely does not have frontal cortex damage (at least that is detectable by these cognitive tests). Ideally, neuroimaging could be utilized to seek differences in functional or structural brain integrity following chronic mTBI, and these brain alterations could be linked with changes in emotional functioning (e.g., higher anxiety symptoms). </w:t>
      </w:r>
    </w:p>
    <w:p w14:paraId="543C3E69" w14:textId="77777777" w:rsidR="00F7044C" w:rsidRPr="00C421E4" w:rsidRDefault="00F7044C" w:rsidP="00F7044C">
      <w:pPr>
        <w:spacing w:line="480" w:lineRule="auto"/>
        <w:rPr>
          <w:rFonts w:ascii="Times" w:hAnsi="Times"/>
        </w:rPr>
      </w:pPr>
    </w:p>
    <w:p w14:paraId="26331B89" w14:textId="77777777" w:rsidR="00F7044C" w:rsidRPr="00C421E4" w:rsidRDefault="00F7044C" w:rsidP="00F7044C">
      <w:pPr>
        <w:spacing w:line="480" w:lineRule="auto"/>
        <w:rPr>
          <w:rFonts w:ascii="Times" w:hAnsi="Times"/>
        </w:rPr>
      </w:pPr>
      <w:r w:rsidRPr="00C421E4">
        <w:rPr>
          <w:rFonts w:ascii="Times" w:hAnsi="Times"/>
        </w:rPr>
        <w:t xml:space="preserve">It has also been proposed that mTBI-induced frontal damage leads to downstream emotional alterations </w:t>
      </w:r>
      <w:r w:rsidRPr="00C421E4">
        <w:rPr>
          <w:rFonts w:ascii="Times" w:hAnsi="Times"/>
        </w:rPr>
        <w:fldChar w:fldCharType="begin"/>
      </w:r>
      <w:r w:rsidRPr="00C421E4">
        <w:rPr>
          <w:rFonts w:ascii="Times" w:hAnsi="Times"/>
        </w:rPr>
        <w:instrText xml:space="preserve"> ADDIN ZOTERO_ITEM CSL_CITATION {"citationID":"1tnvlqam7h","properties":{"formattedCitation":"(Baker &amp; Good, 2014b; van Noordt &amp; Good, 2011b)","plainCitation":"(Baker &amp; Good, 2014b; van Noordt &amp; Good, 2011b)"},"citationItems":[{"id":211,"uris":["http://zotero.org/users/4141602/items/8BQ3474H"],"uri":["http://zotero.org/users/4141602/items/8BQ3474H"],"itemData":{"id":211,"type":"article-journal","title":"Physiological emotional under-arousal in individuals with mild head injury.","container-title":"Brain injury : [BI]","page":"51-65","volume":"28","issue":"1","abstract":"PRIMARY OBJECTIVES: This study examined the potential emotional sequelae following self-reported mild head injury (MHI; e.g. 'altered state of consciousness' [ASC]) in university students with a particular focus on arousal status and responsivity to experimental manipulation of arousal.\\n\\nRESEARCH DESIGN: A quasi-experimental design (n = 91) was used to examine arousal status (self-reported and physiological indices) and response to manipulated arousal (i.e. induced psychosocial stress/activation; reduced activation/relaxation) between persons who acknowledged prior MHI and persons with no-MHI.\\n\\nMAIN OUTCOME AND RESULTS: University students who self-reported MHI were physiologically under-aroused and less responsive to stressors (both laboratory and environmental) compared to their no-MHI cohort. Those with reported loss of consciousness demonstrated the most attenuated emotional arousal responses (i.e. flattened electrodermal responsivity) relative to those with only a reported ASC, followed by those with no-MHI.\\n\\nCONCLUSIONS: The under-arousal in traumatic brain injury has been hypothesized to be associated with ventromedial prefrontal cortex disruption. This under-arousal may be mirrored in persons who self-report experiencing subtle head trauma. Students who reported MHI may be less able to physiologically respond and/or cognitively appraise stressful experiences as compared to their no-MHI cohort; and experience subtle persistent consequences despite the subtle nature of the reported head trauma.","DOI":"10.3109/02699052.2013.857787","ISSN":"02699052 (ISSN)","author":[{"family":"Baker","given":"Julie M"},{"family":"Good","given":"Dawn E"}],"issued":{"date-parts":[["2014"]]}}},{"id":204,"uris":["http://zotero.org/users/4141602/items/8HWSTM74"],"uri":["http://zotero.org/users/4141602/items/8HWSTM74"],"itemData":{"id":204,"type":"article-journal","title":"Mild head injury and sympathetic arousal: investigating relationships with decision-making and neuropsychological performance in university students.","container-title":"Brain injury","page":"707-16","volume":"25","issue":"7-8","abstract":"SUMMARY: The purpose of this study was to examine the relationships between neuropsychological performance, physiological arousal and decision-making in university students who have or have not reported a history of mild head injury (MHI).\\n\\nMETHODS: Forty-four students, 18 (41%) reporting a history of MHI, performed a design fluency task and the Iowa Gambling Task (IGT) while electrodermal activity (EDA) was recorded.\\n\\nRESULTS: General cognitive ability and overall choice outcomes did not differ between groups. However, self-reported MHI severity predicted decision-making performance such that the greater the neural indices of trauma, the more disadvantageous the choices made by participants. As expected, both groups exhibited similar base levels of autonomic arousal and physiological responses to reward and punishment outcomes; however, those reporting MHI produced significantly lower levels of EDA during the anticipatory stages of decision-making.\\n\\nCONCLUSIONS: Overall, these findings encourage the acceptance of head injury as being on a continuum of brain injury severity, as MHI can emulate neurophysiological and neuropsychological features of more traumatic cases and may be impacting mechanisms which sustain adaptive social decision-making.","DOI":"10.3109/02699052.2011.580312","ISSN":"02699052 (ISSN)","author":[{"family":"Noordt","given":"Stefon","non-dropping-particle":"van"},{"family":"Good","given":"Dawn"}],"issued":{"date-parts":[["2011"]]}}}],"schema":"https://github.com/citation-style-language/schema/raw/master/csl-citation.json"} </w:instrText>
      </w:r>
      <w:r w:rsidRPr="00C421E4">
        <w:rPr>
          <w:rFonts w:ascii="Times" w:hAnsi="Times"/>
        </w:rPr>
        <w:fldChar w:fldCharType="separate"/>
      </w:r>
      <w:r w:rsidRPr="00C421E4">
        <w:rPr>
          <w:rFonts w:ascii="Times" w:hAnsi="Times"/>
          <w:noProof/>
        </w:rPr>
        <w:t>(Baker &amp; Good, 2014; van Noordt &amp; Good, 2011)</w:t>
      </w:r>
      <w:r w:rsidRPr="00C421E4">
        <w:rPr>
          <w:rFonts w:ascii="Times" w:hAnsi="Times"/>
        </w:rPr>
        <w:fldChar w:fldCharType="end"/>
      </w:r>
      <w:r w:rsidRPr="00C421E4">
        <w:rPr>
          <w:rFonts w:ascii="Times" w:hAnsi="Times"/>
        </w:rPr>
        <w:t xml:space="preserve">. Specifically, it has been hypothesized that mTBI-induced damage in the prefrontal cortex hinders communication between the frontal lobe and the amygdala. The amygdala activates in response to emotional stimuli, and the prefrontal cortex dampens that emotional response when appropriate </w:t>
      </w:r>
      <w:r w:rsidRPr="00C421E4">
        <w:rPr>
          <w:rFonts w:ascii="Times" w:hAnsi="Times"/>
        </w:rPr>
        <w:fldChar w:fldCharType="begin"/>
      </w:r>
      <w:r w:rsidRPr="00C421E4">
        <w:rPr>
          <w:rFonts w:ascii="Times" w:hAnsi="Times"/>
        </w:rPr>
        <w:instrText xml:space="preserve"> ADDIN ZOTERO_ITEM CSL_CITATION {"citationID":"1natorftqn","properties":{"formattedCitation":"(LeDoux, 1993)","plainCitation":"(LeDoux, 1993)"},"citationItems":[{"id":"h1OO1zp7/IUCzznO1","uris":["http://www.mendeley.com/documents/?uuid=98d01920-d0d3-49e3-9ce5-c3bd84205726"],"uri":["http://www.mendeley.com/documents/?uuid=98d01920-d0d3-49e3-9ce5-c3bd84205726"],"itemData":{"DOI":"10.1016/0166-4328(93)90091-4","ISBN":"0166-4328 (Print)\\n0166-4328 (Linking)","ISSN":"01664328","PMID":"8136051","abstract":"The neural mechanisms of emotion and memory have long been thought to reside side by side, if not in overlapping structures, of the limbic system. However, the limbic system concept is no longer acceptable as an account of the neural basis of memory or emotion and is being replaced with specific circuit accounts of specific emotional and memory processes. Emotional memory, a special category of memory involving the implicit (probably unconscious) learning and storage of information about the emotional significance of events, is modeled in rodent experiments using aversive classical conditioning techniques. The neural system underlying emotional memory critically involves the amygdala and structures with which it is connected. Afferent inputs from sensory processing areas of the thalamus and cortex mediate emotional learning in situations involving specific sensory cues, whereas learning about the emotional significance of more general, contextual cues involves projections to the amygdala from the hippocampal formation. Within the amygdala, the lateral nucleus (AL) is the sensory interface and the central nucleus the linkage with motor systems involved in the control of species-typical emotional behaviors and autonomic responses. Studies of cellular mechanisms in these pathways have focused on the direct relay to the lateral amygdala from the auditory thalamus. These studies show that single cells in AL respond to both conditioned stimulus and unconditioned stimulus inputs, leading to the notion that AL might be a critical site of sensory-sensory integration in emotional learning. The thalamo-amygdala pathway also exhibits long-term potentiation, a form of synaptic plasticity that might underlie the emotional learning functions of the circuit. The thalamo-amygdala pathway contains and uses the amino acid glutamate in synaptic transmission, suggesting the possibility that an amino-acid mediated form of synaptic plasticity is involved in the emotional learning functions of the pathway. We are thus well on the way to a systems level and a cellular understanding of at least one form of emotional learning and memory. ?? 1993.","author":[{"dropping-particle":"","family":"LeDoux","given":"Joseph E.","non-dropping-particle":"","parse-names":false,"suffix":""}],"container-title":"Behavioural Brain Research","id":"h1OO1zp7/IUCzznO1","issue":"1-2","issued":{"date-parts":[["1993"]]},"page":"69-79","title":"Emotional memory systems in the brain","type":"article-journal","volume":"58"}}],"schema":"https://github.com/citation-style-language/schema/raw/master/csl-citation.json"} </w:instrText>
      </w:r>
      <w:r w:rsidRPr="00C421E4">
        <w:rPr>
          <w:rFonts w:ascii="Times" w:hAnsi="Times"/>
        </w:rPr>
        <w:fldChar w:fldCharType="separate"/>
      </w:r>
      <w:r w:rsidRPr="00C421E4">
        <w:rPr>
          <w:rFonts w:ascii="Times" w:hAnsi="Times"/>
          <w:noProof/>
        </w:rPr>
        <w:t>(LeDoux, 1993)</w:t>
      </w:r>
      <w:r w:rsidRPr="00C421E4">
        <w:rPr>
          <w:rFonts w:ascii="Times" w:hAnsi="Times"/>
        </w:rPr>
        <w:fldChar w:fldCharType="end"/>
      </w:r>
      <w:r w:rsidRPr="00C421E4">
        <w:rPr>
          <w:rFonts w:ascii="Times" w:hAnsi="Times"/>
        </w:rPr>
        <w:t xml:space="preserve">. Therefore, it has been hypothesized that miscommunication between these regions can lead to emotional abnormalities. We hypothesized that this miscommunication might lead to altered habituation. Although we found the mTBI group had enhanced habituation, we did not find evidence for prefrontal </w:t>
      </w:r>
      <w:r w:rsidRPr="00C421E4">
        <w:rPr>
          <w:rFonts w:ascii="Times" w:hAnsi="Times"/>
        </w:rPr>
        <w:lastRenderedPageBreak/>
        <w:t xml:space="preserve">cortex abnormality or abnormal communication between the prefrontal cortex and the amygdala.  On the contrary, prefrontal cortex functioning may be enhanced in the mTBI population, given their higher rate of habituation and superior cognitive functioning. </w:t>
      </w:r>
    </w:p>
    <w:p w14:paraId="11B424FF" w14:textId="77777777" w:rsidR="00F7044C" w:rsidRPr="00C421E4" w:rsidRDefault="00F7044C" w:rsidP="00F7044C">
      <w:pPr>
        <w:spacing w:line="480" w:lineRule="auto"/>
        <w:rPr>
          <w:rFonts w:ascii="Times" w:hAnsi="Times"/>
        </w:rPr>
      </w:pPr>
    </w:p>
    <w:p w14:paraId="46FC1664" w14:textId="77777777" w:rsidR="00F7044C" w:rsidRPr="00C421E4" w:rsidRDefault="00F7044C" w:rsidP="00F7044C">
      <w:pPr>
        <w:spacing w:line="480" w:lineRule="auto"/>
        <w:rPr>
          <w:rFonts w:ascii="Times" w:hAnsi="Times"/>
        </w:rPr>
      </w:pPr>
      <w:r w:rsidRPr="00C421E4">
        <w:rPr>
          <w:rFonts w:ascii="Times" w:hAnsi="Times"/>
        </w:rPr>
        <w:t>In recent years, techniques have been developed to non-invasiv</w:t>
      </w:r>
      <w:r>
        <w:rPr>
          <w:rFonts w:ascii="Times" w:hAnsi="Times"/>
        </w:rPr>
        <w:t>ely stimulate or dampen discrete</w:t>
      </w:r>
      <w:r w:rsidRPr="00C421E4">
        <w:rPr>
          <w:rFonts w:ascii="Times" w:hAnsi="Times"/>
        </w:rPr>
        <w:t xml:space="preserve"> brain region activity. For instance, repetitive transcranial magnetic stimulation (rTMS) and transcranial direct current stimulation (tDCS) can both stimulate and hinder brain functioning in specific cortical areas. By changing brain activity, researchers can better understand how regional activation relates to behavior. The prefrontal cortex is a common target for non-invasive brain stimulation. For instance, stimulating the dorsolateral prefrontal cortex has been effective in enhancing cognitive functions (e.g., working memory, reaction time) that depend on this brain region (see meta-analysis: </w:t>
      </w:r>
      <w:r w:rsidRPr="00C421E4">
        <w:rPr>
          <w:rFonts w:ascii="Times" w:hAnsi="Times"/>
        </w:rPr>
        <w:fldChar w:fldCharType="begin"/>
      </w:r>
      <w:r w:rsidRPr="00C421E4">
        <w:rPr>
          <w:rFonts w:ascii="Times" w:hAnsi="Times"/>
        </w:rPr>
        <w:instrText xml:space="preserve"> ADDIN ZOTERO_ITEM CSL_CITATION {"citationID":"6s7bv51eu","properties":{"formattedCitation":"(Brunoni &amp; Vanderhasselt, 2014)","plainCitation":"(Brunoni &amp; Vanderhasselt, 2014)"},"citationItems":[{"id":954,"uris":["http://zotero.org/users/4141602/items/NA9R6XBU"],"uri":["http://zotero.org/users/4141602/items/NA9R6XBU"],"itemData":{"id":954,"type":"article-journal","title":"Working memory improvement with non-invasive brain stimulation of the dorsolateral prefrontal cortex: a systematic review and meta-analysis","container-title":"Brain and cognition","page":"1-9","volume":"86","author":[{"family":"Brunoni","given":"André Russowsky"},{"family":"Vanderhasselt","given":"Marie-Anne"}],"issued":{"date-parts":[["2014"]]}}}],"schema":"https://github.com/citation-style-language/schema/raw/master/csl-citation.json"} </w:instrText>
      </w:r>
      <w:r w:rsidRPr="00C421E4">
        <w:rPr>
          <w:rFonts w:ascii="Times" w:hAnsi="Times"/>
        </w:rPr>
        <w:fldChar w:fldCharType="separate"/>
      </w:r>
      <w:r w:rsidRPr="00C421E4">
        <w:rPr>
          <w:rFonts w:ascii="Times" w:hAnsi="Times"/>
          <w:noProof/>
        </w:rPr>
        <w:t>(Brunoni &amp; Vanderhasselt, 2014)</w:t>
      </w:r>
      <w:r w:rsidRPr="00C421E4">
        <w:rPr>
          <w:rFonts w:ascii="Times" w:hAnsi="Times"/>
        </w:rPr>
        <w:fldChar w:fldCharType="end"/>
      </w:r>
      <w:r w:rsidRPr="00C421E4">
        <w:rPr>
          <w:rFonts w:ascii="Times" w:hAnsi="Times"/>
        </w:rPr>
        <w:t xml:space="preserve">. </w:t>
      </w:r>
    </w:p>
    <w:p w14:paraId="4FF3C64E" w14:textId="77777777" w:rsidR="00F7044C" w:rsidRPr="00C421E4" w:rsidRDefault="00F7044C" w:rsidP="00F7044C">
      <w:pPr>
        <w:spacing w:line="480" w:lineRule="auto"/>
        <w:rPr>
          <w:rFonts w:ascii="Times" w:hAnsi="Times"/>
        </w:rPr>
      </w:pPr>
    </w:p>
    <w:p w14:paraId="560B7F38" w14:textId="77777777" w:rsidR="00F7044C" w:rsidRPr="00C421E4" w:rsidRDefault="00F7044C" w:rsidP="00F7044C">
      <w:pPr>
        <w:spacing w:line="480" w:lineRule="auto"/>
        <w:rPr>
          <w:rFonts w:ascii="Times" w:hAnsi="Times"/>
        </w:rPr>
      </w:pPr>
      <w:r w:rsidRPr="00C421E4">
        <w:rPr>
          <w:rFonts w:ascii="Times" w:hAnsi="Times"/>
        </w:rPr>
        <w:t xml:space="preserve">Likewise, stimulating the prefrontal cortex has been shown to alter emotional processing. For instance, in healthy controls, emotion identification of facial stimuli was improved by tDCS stimulation of the left dorsolateral prefrontal cortex </w:t>
      </w:r>
      <w:r w:rsidRPr="00C421E4">
        <w:rPr>
          <w:rFonts w:ascii="Times" w:hAnsi="Times"/>
        </w:rPr>
        <w:fldChar w:fldCharType="begin"/>
      </w:r>
      <w:r w:rsidRPr="00C421E4">
        <w:rPr>
          <w:rFonts w:ascii="Times" w:hAnsi="Times"/>
        </w:rPr>
        <w:instrText xml:space="preserve"> ADDIN ZOTERO_ITEM CSL_CITATION {"citationID":"1krqbt97pe","properties":{"formattedCitation":"(Nitsche et al., 2012)","plainCitation":"(Nitsche et al., 2012)"},"citationItems":[{"id":955,"uris":["http://zotero.org/users/4141602/items/IDHFRF6J"],"uri":["http://zotero.org/users/4141602/items/IDHFRF6J"],"itemData":{"id":955,"type":"article-journal","title":"Effects of frontal transcranial direct current stimulation on emotional state and processing in healthy humans","container-title":"Frontiers in psychiatry","volume":"3","author":[{"family":"Nitsche","given":"Michael A."},{"family":"Koschack","given":"Janka"},{"family":"Pohlers","given":"Henriette"},{"family":"Hullemann","given":"Sandra"},{"family":"Paulus","given":"Walter"},{"family":"Happe","given":"Svenja"}],"issued":{"date-parts":[["2012"]]}}}],"schema":"https://github.com/citation-style-language/schema/raw/master/csl-citation.json"} </w:instrText>
      </w:r>
      <w:r w:rsidRPr="00C421E4">
        <w:rPr>
          <w:rFonts w:ascii="Times" w:hAnsi="Times"/>
        </w:rPr>
        <w:fldChar w:fldCharType="separate"/>
      </w:r>
      <w:r w:rsidRPr="00C421E4">
        <w:rPr>
          <w:rFonts w:ascii="Times" w:hAnsi="Times"/>
          <w:noProof/>
        </w:rPr>
        <w:t>(Nitsche et al., 2012)</w:t>
      </w:r>
      <w:r w:rsidRPr="00C421E4">
        <w:rPr>
          <w:rFonts w:ascii="Times" w:hAnsi="Times"/>
        </w:rPr>
        <w:fldChar w:fldCharType="end"/>
      </w:r>
      <w:r w:rsidRPr="00C421E4">
        <w:rPr>
          <w:rFonts w:ascii="Times" w:hAnsi="Times"/>
        </w:rPr>
        <w:t xml:space="preserve">. In another study, tDCS stimulation of the left dorsolateral prefrontal cortex caused participants to rate negative stimuli as less emotional </w:t>
      </w:r>
      <w:r w:rsidRPr="00C421E4">
        <w:rPr>
          <w:rFonts w:ascii="Times" w:hAnsi="Times"/>
        </w:rPr>
        <w:fldChar w:fldCharType="begin"/>
      </w:r>
      <w:r w:rsidRPr="00C421E4">
        <w:rPr>
          <w:rFonts w:ascii="Times" w:hAnsi="Times"/>
        </w:rPr>
        <w:instrText xml:space="preserve"> ADDIN ZOTERO_ITEM CSL_CITATION {"citationID":"2tq46ida3","properties":{"formattedCitation":"{\\rtf (Pe\\uc0\\u241{}a-G\\uc0\\u243{}mez, Vidal-Pi\\uc0\\u241{}eiro, Clemente, Pascual-Leone, &amp; Bartr\\uc0\\u233{}s-Faz, 2011)}","plainCitation":"(Peña-Gómez, Vidal-Piñeiro, Clemente, Pascual-Leone, &amp; Bartrés-Faz, 2011)"},"citationItems":[{"id":956,"uris":["http://zotero.org/users/4141602/items/4447NC4H"],"uri":["http://zotero.org/users/4141602/items/4447NC4H"],"itemData":{"id":956,"type":"article-journal","title":"Down-regulation of negative emotional processing by transcranial direct current stimulation: effects of personality characteristics","container-title":"PloS one","page":"e22812","volume":"6","issue":"7","author":[{"family":"Peña-Gómez","given":"Cleofé"},{"family":"Vidal-Piñeiro","given":"Dídac"},{"family":"Clemente","given":"Immaculada C."},{"family":"Pascual-Leone","given":"Álvaro"},{"family":"Bartrés-Faz","given":"David"}],"issued":{"date-parts":[["2011"]]}}}],"schema":"https://github.com/citation-style-language/schema/raw/master/csl-citation.json"} </w:instrText>
      </w:r>
      <w:r w:rsidRPr="00C421E4">
        <w:rPr>
          <w:rFonts w:ascii="Times" w:hAnsi="Times"/>
        </w:rPr>
        <w:fldChar w:fldCharType="separate"/>
      </w:r>
      <w:r w:rsidRPr="00C421E4">
        <w:rPr>
          <w:rFonts w:ascii="Times" w:hAnsi="Times"/>
        </w:rPr>
        <w:t>(Peña-Gómez, Vidal-Piñeiro, Clemente, Pascual-Leone, &amp; Bartrés-Faz, 2011)</w:t>
      </w:r>
      <w:r w:rsidRPr="00C421E4">
        <w:rPr>
          <w:rFonts w:ascii="Times" w:hAnsi="Times"/>
        </w:rPr>
        <w:fldChar w:fldCharType="end"/>
      </w:r>
      <w:r w:rsidRPr="00C421E4">
        <w:rPr>
          <w:rFonts w:ascii="Times" w:hAnsi="Times"/>
        </w:rPr>
        <w:t xml:space="preserve">. Lastly, in a study in which participants were asked to actively down- or up-regulate emotional reactivity while viewing negative images, right dorsolateral tDCS stimulation during down-regulation resulted in lower arousal ratings </w:t>
      </w:r>
      <w:r w:rsidRPr="00C421E4">
        <w:rPr>
          <w:rFonts w:ascii="Times" w:hAnsi="Times"/>
        </w:rPr>
        <w:fldChar w:fldCharType="begin"/>
      </w:r>
      <w:r w:rsidRPr="00C421E4">
        <w:rPr>
          <w:rFonts w:ascii="Times" w:hAnsi="Times"/>
        </w:rPr>
        <w:instrText xml:space="preserve"> ADDIN ZOTERO_ITEM CSL_CITATION {"citationID":"27sav6hv5b","properties":{"formattedCitation":"(Feeser, Prehn, Kazzer, Mungee, &amp; Bajbouj, 2014)","plainCitation":"(Feeser, Prehn, Kazzer, Mungee, &amp; Bajbouj, 2014)"},"citationItems":[{"id":957,"uris":["http://zotero.org/users/4141602/items/RVRRAKXQ"],"uri":["http://zotero.org/users/4141602/items/RVRRAKXQ"],"itemData":{"id":957,"type":"article-journal","title":"Transcranial direct current stimulation enhances cognitive control during emotion regulation","container-title":"Brain stimulation","page":"105-112","volume":"7","issue":"1","author":[{"family":"Feeser","given":"Melanie"},{"family":"Prehn","given":"Kristin"},{"family":"Kazzer","given":"Philipp"},{"family":"Mungee","given":"Aditya"},{"family":"Bajbouj","given":"Malek"}],"issued":{"date-parts":[["2014"]]}}}],"schema":"https://github.com/citation-style-language/schema/raw/master/csl-citation.json"} </w:instrText>
      </w:r>
      <w:r w:rsidRPr="00C421E4">
        <w:rPr>
          <w:rFonts w:ascii="Times" w:hAnsi="Times"/>
        </w:rPr>
        <w:fldChar w:fldCharType="separate"/>
      </w:r>
      <w:r w:rsidRPr="00C421E4">
        <w:rPr>
          <w:rFonts w:ascii="Times" w:hAnsi="Times"/>
          <w:noProof/>
        </w:rPr>
        <w:t>(Feeser, Prehn, Kazzer, Mungee, &amp; Bajbouj, 2014)</w:t>
      </w:r>
      <w:r w:rsidRPr="00C421E4">
        <w:rPr>
          <w:rFonts w:ascii="Times" w:hAnsi="Times"/>
        </w:rPr>
        <w:fldChar w:fldCharType="end"/>
      </w:r>
      <w:r w:rsidRPr="00C421E4">
        <w:rPr>
          <w:rFonts w:ascii="Times" w:hAnsi="Times"/>
        </w:rPr>
        <w:t xml:space="preserve">. On the other hand, </w:t>
      </w:r>
      <w:r w:rsidRPr="00C421E4">
        <w:rPr>
          <w:rFonts w:ascii="Times" w:hAnsi="Times"/>
        </w:rPr>
        <w:lastRenderedPageBreak/>
        <w:t xml:space="preserve">when participants were asked to up-regulate emotion reactivity, brain stimulation resulted in higher arousal ratings. The authors of this study suggested higher cortical excitability in the prefrontal cortex may act as a “gain” to maximize emotional down- or up-regulation. </w:t>
      </w:r>
    </w:p>
    <w:p w14:paraId="121C5BDE" w14:textId="77777777" w:rsidR="00F7044C" w:rsidRPr="00C421E4" w:rsidRDefault="00F7044C" w:rsidP="00F7044C">
      <w:pPr>
        <w:spacing w:line="480" w:lineRule="auto"/>
        <w:rPr>
          <w:rFonts w:ascii="Times" w:hAnsi="Times"/>
        </w:rPr>
      </w:pPr>
    </w:p>
    <w:p w14:paraId="64FD02ED" w14:textId="77777777" w:rsidR="00F7044C" w:rsidRPr="00C421E4" w:rsidRDefault="00F7044C" w:rsidP="00F7044C">
      <w:pPr>
        <w:spacing w:line="480" w:lineRule="auto"/>
        <w:rPr>
          <w:rFonts w:ascii="Times" w:hAnsi="Times"/>
        </w:rPr>
      </w:pPr>
      <w:r w:rsidRPr="00C421E4">
        <w:rPr>
          <w:rFonts w:ascii="Times" w:hAnsi="Times"/>
        </w:rPr>
        <w:t xml:space="preserve">Although no studies, to our knowledge, have probed prefrontal cortical stimulation and emotion habituation, the latter study suggests that activating or dampening prefrontal activity during a habituation task might alter habituation (especially when individuals are instructed to habituate). An interesting future direction might be to utilize tDCS on individuals with a chronic history of mTBI in an attempt to reduce arousal habituation ratings by either stimulating or hindering prefrontal cortex activity. Such an experiment could elucidate the role of the prefrontal cortex in habituation, and it could also provide information relevant to potential functional alterations (either enhanced or diminished) in the prefrontal cortex that occurs as a result of mTBI. </w:t>
      </w:r>
    </w:p>
    <w:p w14:paraId="59662F8A" w14:textId="77777777" w:rsidR="00F7044C" w:rsidRPr="00C421E4" w:rsidRDefault="00F7044C" w:rsidP="00F7044C">
      <w:pPr>
        <w:pStyle w:val="NoSpacing"/>
        <w:spacing w:line="480" w:lineRule="auto"/>
        <w:rPr>
          <w:rFonts w:ascii="Times" w:hAnsi="Times"/>
        </w:rPr>
      </w:pPr>
    </w:p>
    <w:p w14:paraId="403A9B1F" w14:textId="77777777" w:rsidR="00F7044C" w:rsidRPr="00783439" w:rsidRDefault="00F7044C" w:rsidP="00F7044C">
      <w:pPr>
        <w:pStyle w:val="NoSpacing"/>
        <w:spacing w:line="480" w:lineRule="auto"/>
        <w:jc w:val="center"/>
        <w:outlineLvl w:val="0"/>
        <w:rPr>
          <w:rFonts w:ascii="Times" w:hAnsi="Times"/>
          <w:b/>
        </w:rPr>
      </w:pPr>
      <w:r>
        <w:rPr>
          <w:rFonts w:ascii="Times" w:hAnsi="Times"/>
          <w:b/>
        </w:rPr>
        <w:t xml:space="preserve">4. </w:t>
      </w:r>
      <w:r w:rsidRPr="00783439">
        <w:rPr>
          <w:rFonts w:ascii="Times" w:hAnsi="Times"/>
          <w:b/>
        </w:rPr>
        <w:t>Inconsistencies Between Studies 2 and 3</w:t>
      </w:r>
    </w:p>
    <w:p w14:paraId="235DD3DF" w14:textId="77777777" w:rsidR="00F7044C" w:rsidRPr="00C421E4" w:rsidRDefault="00F7044C" w:rsidP="00F7044C">
      <w:pPr>
        <w:pStyle w:val="NoSpacing"/>
        <w:spacing w:line="480" w:lineRule="auto"/>
        <w:rPr>
          <w:rFonts w:ascii="Times" w:hAnsi="Times"/>
        </w:rPr>
      </w:pPr>
      <w:r w:rsidRPr="00C421E4">
        <w:rPr>
          <w:rFonts w:ascii="Times" w:hAnsi="Times"/>
        </w:rPr>
        <w:t xml:space="preserve">Based on data from </w:t>
      </w:r>
      <w:r w:rsidRPr="00C421E4">
        <w:rPr>
          <w:rFonts w:ascii="Times" w:hAnsi="Times"/>
          <w:b/>
        </w:rPr>
        <w:t>Study 2</w:t>
      </w:r>
      <w:r w:rsidRPr="00C421E4">
        <w:rPr>
          <w:rFonts w:ascii="Times" w:hAnsi="Times"/>
        </w:rPr>
        <w:t xml:space="preserve">, we predicted individuals with a chronic history of mTBI would have blunted habituation. However, habituation results in Study 3 do not support this hypothesis, and, interestingly, go in the opposite direction as predicted. The experimental design in the current study and that in the previous study differ substantially. In </w:t>
      </w:r>
      <w:r w:rsidRPr="00C421E4">
        <w:rPr>
          <w:rFonts w:ascii="Times" w:hAnsi="Times"/>
          <w:b/>
        </w:rPr>
        <w:t>Study 2</w:t>
      </w:r>
      <w:r w:rsidRPr="00C421E4">
        <w:rPr>
          <w:rFonts w:ascii="Times" w:hAnsi="Times"/>
        </w:rPr>
        <w:t xml:space="preserve">, non-TBI and mTBI participants viewed negative and neutral images at two time points, each 12 </w:t>
      </w:r>
      <w:proofErr w:type="gramStart"/>
      <w:r w:rsidRPr="00C421E4">
        <w:rPr>
          <w:rFonts w:ascii="Times" w:hAnsi="Times"/>
        </w:rPr>
        <w:t>hours</w:t>
      </w:r>
      <w:proofErr w:type="gramEnd"/>
      <w:r w:rsidRPr="00C421E4">
        <w:rPr>
          <w:rFonts w:ascii="Times" w:hAnsi="Times"/>
        </w:rPr>
        <w:t xml:space="preserve"> apart. During the 12 intervening hours, participants were not monitored and were simply told to go about their day normally </w:t>
      </w:r>
      <w:r w:rsidRPr="00C421E4">
        <w:rPr>
          <w:rFonts w:ascii="Times" w:hAnsi="Times"/>
        </w:rPr>
        <w:lastRenderedPageBreak/>
        <w:t xml:space="preserve">(while avoiding napping and avoiding alcohol). In the current work, we designed a study that specifically aimed to probe habituation. By presenting the same set of images five times, with only a several second break between image set presentations, we were able to directly probe changes in ratings over time while also excluding extraneous factors (e.g., potential external stressor differences). However, as mentioned, this study design was likely not optimal for gauging physiological habituation. </w:t>
      </w:r>
    </w:p>
    <w:p w14:paraId="6195E328" w14:textId="77777777" w:rsidR="00F7044C" w:rsidRPr="00C421E4" w:rsidRDefault="00F7044C" w:rsidP="00F7044C">
      <w:pPr>
        <w:pStyle w:val="NoSpacing"/>
        <w:spacing w:line="480" w:lineRule="auto"/>
        <w:rPr>
          <w:rFonts w:ascii="Times" w:hAnsi="Times"/>
        </w:rPr>
      </w:pPr>
    </w:p>
    <w:p w14:paraId="4E386ADE" w14:textId="77777777" w:rsidR="00F7044C" w:rsidRPr="00C44B6A"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 xml:space="preserve">5. </w:t>
      </w:r>
      <w:r w:rsidRPr="00C44B6A">
        <w:rPr>
          <w:rFonts w:ascii="Times" w:hAnsi="Times"/>
          <w:b/>
        </w:rPr>
        <w:t>Positive Emotions</w:t>
      </w:r>
    </w:p>
    <w:p w14:paraId="6568B1B8"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Psychopathology is thought to be predicted by three factors: positive affect, negative affect, and arousal </w:t>
      </w:r>
      <w:r w:rsidRPr="00C421E4">
        <w:rPr>
          <w:rFonts w:ascii="Times" w:hAnsi="Times"/>
        </w:rPr>
        <w:fldChar w:fldCharType="begin"/>
      </w:r>
      <w:r w:rsidRPr="00C421E4">
        <w:rPr>
          <w:rFonts w:ascii="Times" w:hAnsi="Times"/>
        </w:rPr>
        <w:instrText xml:space="preserve"> ADDIN ZOTERO_ITEM CSL_CITATION {"citationID":"1sqeu5bhc7","properties":{"formattedCitation":"(Clark &amp; Watson, 1991)","plainCitation":"(Clark &amp; Watson, 1991)"},"citationItems":[{"id":"Sl3AVmA5/w6OiVUI0","uris":["http://www.mendeley.com/documents/?uuid=81307b6b-027d-4a5e-bb1a-a0a477496976"],"uri":["http://www.mendeley.com/documents/?uuid=81307b6b-027d-4a5e-bb1a-a0a477496976"],"itemData":{"DOI":"10.1037/0021-843X.100.3.316","ISBN":"1939-1846","ISSN":"0021-843X","PMID":"1918611","abstract":"We review psychometric and other evidence relevant to mixed anxiety-depression. Properties of anxiety and depression measures, including the convergent and discriminant validity of self- and clinical ratings, and interrater reliability, are examined in patient and normal samples. Results suggest that anxiety and depression can be reliably and validly assessed; moreover, although these disorders share a substantial component of general affective distress, they can be differentiated on the basis of factors specific to each syndrome. We also review evidence for these specific factors, examining the influence of context and scale content on ratings, factor analytic studies, and the role of low positive affect in depression. With these data, we argue for a tripartite structure consisting of general distress, physiological hyperarousal (specific anxiety), and anhedonia (specific depression), and we propose a diagnosis of mixed anxiety-depression.","author":[{"dropping-particle":"","family":"Clark","given":"Lee Anna","non-dropping-particle":"","parse-names":false,"suffix":""},{"dropping-particle":"","family":"Watson","given":"David","non-dropping-particle":"","parse-names":false,"suffix":""}],"container-title":"Journal of Abnormal Psychology","id":"Sl3AVmA5/w6OiVUI0","issue":"3","issued":{"date-parts":[["1991"]]},"page":"316-336","title":"Tripartite model of anxiety and depression: Psychometric evidence and taxonomic implications.","type":"article-journal","volume":"100"}}],"schema":"https://github.com/citation-style-language/schema/raw/master/csl-citation.json"} </w:instrText>
      </w:r>
      <w:r w:rsidRPr="00C421E4">
        <w:rPr>
          <w:rFonts w:ascii="Times" w:hAnsi="Times"/>
        </w:rPr>
        <w:fldChar w:fldCharType="separate"/>
      </w:r>
      <w:r w:rsidRPr="00C421E4">
        <w:rPr>
          <w:rFonts w:ascii="Times" w:hAnsi="Times"/>
          <w:noProof/>
        </w:rPr>
        <w:t>(Clark &amp; Watson, 1991)</w:t>
      </w:r>
      <w:r w:rsidRPr="00C421E4">
        <w:rPr>
          <w:rFonts w:ascii="Times" w:hAnsi="Times"/>
        </w:rPr>
        <w:fldChar w:fldCharType="end"/>
      </w:r>
      <w:r w:rsidRPr="00C421E4">
        <w:rPr>
          <w:rFonts w:ascii="Times" w:hAnsi="Times"/>
        </w:rPr>
        <w:t xml:space="preserve">. In this study, we included positive stimuli in addition to negative stimuli. We found arousal habituation for positive stimuli was enhanced relative to habituation for negative stimuli. Specifically, we found habituation was present for positive valence ratings but not negative valence ratings. According to Thomson and Spencer’s (1996) definition of habituation, individuals habituate more quickly to less emotional stimuli </w:t>
      </w:r>
      <w:r w:rsidRPr="00C421E4">
        <w:rPr>
          <w:rFonts w:ascii="Times" w:hAnsi="Times"/>
        </w:rPr>
        <w:fldChar w:fldCharType="begin"/>
      </w:r>
      <w:r w:rsidRPr="00C421E4">
        <w:rPr>
          <w:rFonts w:ascii="Times" w:hAnsi="Times"/>
        </w:rPr>
        <w:instrText xml:space="preserve"> ADDIN ZOTERO_ITEM CSL_CITATION {"citationID":"1l78cnnpf8","properties":{"formattedCitation":"(Natelson et al., 1988; Wright et al., 2001)","plainCitation":"(Natelson et al., 1988; Wright et al., 2001)"},"citationItems":[{"id":986,"uris":["http://zotero.org/users/4141602/items/AMUCC2RT"],"uri":["http://zotero.org/users/4141602/items/AMUCC2RT"],"itemData":{"id":986,"type":"article-journal","title":"Effect of stressor intensity on habituation of the adrenocortical stress response","container-title":"Physiology &amp; behavior","page":"41-46","volume":"43","issue":"1","author":[{"family":"Natelson","given":"Benjamin H."},{"family":"Ottenweller","given":"John E."},{"family":"Cook","given":"John A."},{"family":"Pitman","given":"David"},{"family":"McCarty","given":"Richard"},{"family":"Tapp","given":"Walter N."}],"issued":{"date-parts":[["1988"]]}}},{"id":"TBL5UahG/0uylspoi","uris":["http://www.mendeley.com/documents/?uuid=ce456213-45ef-43da-bfb1-c0c2d5fc1799"],"uri":["http://www.mendeley.com/documents/?uuid=ce456213-45ef-43da-bfb1-c0c2d5fc1799"],"itemData":{"author":[{"dropping-particle":"","family":"Wright","given":"C. I.","non-dropping-particle":"","parse-names":false,"suffix":""},{"dropping-particle":"","family":"Fischer","given":"H.","non-dropping-particle":"","parse-names":false,"suffix":""},{"dropping-particle":"","family":"Whalen","given":"P. J.","non-dropping-particle":"","parse-names":false,"suffix":""},{"dropping-particle":"","family":"McInerney","given":"S. C.","non-dropping-particle":"","parse-names":false,"suffix":""},{"dropping-particle":"","family":"Shin","given":"L. M.","non-dropping-particle":"","parse-names":false,"suffix":""},{"dropping-particle":"","family":"Rauch","given":"S. L.","non-dropping-particle":"","parse-names":false,"suffix":""}],"container-title":"Neuroreport","id":"TBL5UahG/0uylspoi","issue":"2","issued":{"date-parts":[["2001"]]},"page":"379-383","title":"Differential prefrontal cortex and amygdala habituation to repeatedly presented emotional stimuli","type":"article-journal","volume":"12"}}],"schema":"https://github.com/citation-style-language/schema/raw/master/csl-citation.json"} </w:instrText>
      </w:r>
      <w:r w:rsidRPr="00C421E4">
        <w:rPr>
          <w:rFonts w:ascii="Times" w:hAnsi="Times"/>
        </w:rPr>
        <w:fldChar w:fldCharType="separate"/>
      </w:r>
      <w:r w:rsidRPr="00C421E4">
        <w:rPr>
          <w:rFonts w:ascii="Times" w:hAnsi="Times"/>
          <w:noProof/>
        </w:rPr>
        <w:t>(Natelson et al., 1988; Wright et al., 2001)</w:t>
      </w:r>
      <w:r w:rsidRPr="00C421E4">
        <w:rPr>
          <w:rFonts w:ascii="Times" w:hAnsi="Times"/>
        </w:rPr>
        <w:fldChar w:fldCharType="end"/>
      </w:r>
      <w:r w:rsidRPr="00C421E4">
        <w:rPr>
          <w:rFonts w:ascii="Times" w:hAnsi="Times"/>
        </w:rPr>
        <w:t>. Although the positive and negative stimuli were matched for valence and arousal based on IAPS normative data, the participants rated positive images as less arousing. Therefore, it may not be surprising that habituation is greater for positive stimuli than for negative stimuli.</w:t>
      </w:r>
    </w:p>
    <w:p w14:paraId="7C76CF55" w14:textId="77777777" w:rsidR="00F7044C" w:rsidRPr="00C421E4" w:rsidRDefault="00F7044C" w:rsidP="00F7044C">
      <w:pPr>
        <w:widowControl w:val="0"/>
        <w:autoSpaceDE w:val="0"/>
        <w:autoSpaceDN w:val="0"/>
        <w:adjustRightInd w:val="0"/>
        <w:spacing w:line="480" w:lineRule="auto"/>
        <w:rPr>
          <w:rFonts w:ascii="Times" w:hAnsi="Times"/>
        </w:rPr>
      </w:pPr>
    </w:p>
    <w:p w14:paraId="74FCFADE"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We found habituation of Zygomaticus tone to positive stimuli predicted mood symptomology. No such associations were detected for habituation to negative stimuli. As mentioned, habituation to positive images was enhanced relative to habituation to negative images. It is possible that we were able to detect an association between positive </w:t>
      </w:r>
      <w:r w:rsidRPr="00C421E4">
        <w:rPr>
          <w:rFonts w:ascii="Times" w:hAnsi="Times"/>
        </w:rPr>
        <w:lastRenderedPageBreak/>
        <w:t xml:space="preserve">habituation and mood symptomology because greater variability was present in the positive habituation data, allowing for stronger correlations. </w:t>
      </w:r>
    </w:p>
    <w:p w14:paraId="283114C1" w14:textId="77777777" w:rsidR="00F7044C" w:rsidRPr="00C421E4" w:rsidRDefault="00F7044C" w:rsidP="00F7044C">
      <w:pPr>
        <w:widowControl w:val="0"/>
        <w:autoSpaceDE w:val="0"/>
        <w:autoSpaceDN w:val="0"/>
        <w:adjustRightInd w:val="0"/>
        <w:spacing w:line="480" w:lineRule="auto"/>
        <w:rPr>
          <w:rFonts w:ascii="Times" w:hAnsi="Times"/>
        </w:rPr>
      </w:pPr>
    </w:p>
    <w:p w14:paraId="7DF5FE8F"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Alternatively, as mentioned, there is evidence showing that individuals who savor positive experiences have better emotional well-being. Therefore, although we initially hypothesized that high habituation to both positive and negative images would be an adaptive trait, perhaps high habituation to positive stimuli is not adaptive. Rather, low habituation to positive stimuli might be linked with fewer mood symptoms. These findings provide motivation for future studies on positive habituation, especially when examining the relationship between habituation and psychopathology. </w:t>
      </w:r>
    </w:p>
    <w:p w14:paraId="6133BAF8" w14:textId="77777777" w:rsidR="00F7044C" w:rsidRPr="00C421E4" w:rsidRDefault="00F7044C" w:rsidP="00F7044C">
      <w:pPr>
        <w:pStyle w:val="NoSpacing"/>
        <w:spacing w:line="480" w:lineRule="auto"/>
        <w:rPr>
          <w:rFonts w:ascii="Times" w:hAnsi="Times"/>
        </w:rPr>
      </w:pPr>
    </w:p>
    <w:p w14:paraId="1898A239" w14:textId="77777777" w:rsidR="00F7044C" w:rsidRPr="0021615D" w:rsidRDefault="00F7044C" w:rsidP="00F7044C">
      <w:pPr>
        <w:pStyle w:val="NoSpacing"/>
        <w:spacing w:line="480" w:lineRule="auto"/>
        <w:jc w:val="center"/>
        <w:outlineLvl w:val="0"/>
        <w:rPr>
          <w:rFonts w:ascii="Times" w:hAnsi="Times"/>
          <w:b/>
        </w:rPr>
      </w:pPr>
      <w:r>
        <w:rPr>
          <w:rFonts w:ascii="Times" w:hAnsi="Times"/>
          <w:b/>
        </w:rPr>
        <w:t xml:space="preserve">6. </w:t>
      </w:r>
      <w:r w:rsidRPr="0021615D">
        <w:rPr>
          <w:rFonts w:ascii="Times" w:hAnsi="Times"/>
          <w:b/>
        </w:rPr>
        <w:t>Clinical Significance</w:t>
      </w:r>
    </w:p>
    <w:p w14:paraId="32942E4A" w14:textId="77777777" w:rsidR="00F7044C" w:rsidRPr="00C421E4" w:rsidRDefault="00F7044C" w:rsidP="00F7044C">
      <w:pPr>
        <w:pStyle w:val="NoSpacing"/>
        <w:spacing w:line="480" w:lineRule="auto"/>
        <w:rPr>
          <w:rFonts w:ascii="Times" w:hAnsi="Times" w:cs="Times New Roman"/>
        </w:rPr>
      </w:pPr>
      <w:r w:rsidRPr="00C421E4">
        <w:rPr>
          <w:rFonts w:ascii="Times" w:hAnsi="Times"/>
        </w:rPr>
        <w:t xml:space="preserve">We hypothesized that individuals with a history of mTBI would have reduced habituation. Given that </w:t>
      </w:r>
      <w:r w:rsidRPr="00C421E4">
        <w:rPr>
          <w:rFonts w:ascii="Times" w:hAnsi="Times" w:cs="Times New Roman"/>
        </w:rPr>
        <w:t>certain clinical treatments (e.g., exposure therapy) require systematic and repeated emotion habituation sessions, it is important to determine whether habituation deficits might be present in certain populations. We did not find a reduction in habituation, and therefore, history of chronic mTBI may not need to be considered prior to performing these treatments. Our findings also suggest that a high rate of positive habituation is linked with higher symptoms of psychopathology. Exposure therapy treatments could therefore aim to reduce positive habituation (i.e., by training participants how to use a savoring technique) while also enhancing negative habituation.</w:t>
      </w:r>
    </w:p>
    <w:p w14:paraId="79C08E97" w14:textId="77777777" w:rsidR="00F7044C" w:rsidRPr="00C421E4" w:rsidRDefault="00F7044C" w:rsidP="00F7044C">
      <w:pPr>
        <w:pStyle w:val="NoSpacing"/>
        <w:spacing w:line="480" w:lineRule="auto"/>
        <w:rPr>
          <w:rFonts w:ascii="Times" w:hAnsi="Times" w:cs="Times New Roman"/>
        </w:rPr>
      </w:pPr>
    </w:p>
    <w:p w14:paraId="6B2B4285" w14:textId="77777777" w:rsidR="00F7044C" w:rsidRPr="00C421E4" w:rsidRDefault="00F7044C" w:rsidP="00F7044C">
      <w:pPr>
        <w:pStyle w:val="NoSpacing"/>
        <w:spacing w:line="480" w:lineRule="auto"/>
        <w:rPr>
          <w:rFonts w:ascii="Times" w:hAnsi="Times" w:cs="Times New Roman"/>
        </w:rPr>
      </w:pPr>
      <w:r w:rsidRPr="00C421E4">
        <w:rPr>
          <w:rFonts w:ascii="Times" w:hAnsi="Times" w:cs="Times New Roman"/>
        </w:rPr>
        <w:lastRenderedPageBreak/>
        <w:t xml:space="preserve">Additionally, the mTBI group did not exhibit blunted emotionality to negative or positive stimuli. Therefore, clinical treatments that require behavioral activation could still be useful in this population. Lastly, we had hypothesized that circadian fluctuations in emotionality ratings might be present. If circadian differences in emotional processing are present, time-of-day could be considered when administering clinical treatment. However, the current work shows no such fluctuation of emotionality ratings throughout the day, and therefore, these data do not suggest time-of-day should be considered by clinicians. However, given that emotion ratings differed between mTBI and non-TBI groups in the morning, future work should examine whether clinical treatments are more or less effective in mTBI patients when administered during the morning hours. </w:t>
      </w:r>
    </w:p>
    <w:p w14:paraId="75A3D855" w14:textId="77777777" w:rsidR="00F7044C" w:rsidRPr="00C421E4" w:rsidRDefault="00F7044C" w:rsidP="00F7044C">
      <w:pPr>
        <w:pStyle w:val="NoSpacing"/>
        <w:spacing w:line="480" w:lineRule="auto"/>
        <w:rPr>
          <w:rFonts w:ascii="Times" w:hAnsi="Times" w:cs="Times New Roman"/>
        </w:rPr>
      </w:pPr>
    </w:p>
    <w:p w14:paraId="29AF2400" w14:textId="77777777" w:rsidR="00F7044C" w:rsidRPr="0021615D" w:rsidRDefault="00F7044C" w:rsidP="00F7044C">
      <w:pPr>
        <w:spacing w:line="480" w:lineRule="auto"/>
        <w:jc w:val="center"/>
        <w:outlineLvl w:val="0"/>
        <w:rPr>
          <w:rFonts w:ascii="Times" w:hAnsi="Times"/>
          <w:b/>
        </w:rPr>
      </w:pPr>
      <w:r>
        <w:rPr>
          <w:rFonts w:ascii="Times" w:hAnsi="Times"/>
          <w:b/>
        </w:rPr>
        <w:t xml:space="preserve">7. </w:t>
      </w:r>
      <w:r w:rsidRPr="0021615D">
        <w:rPr>
          <w:rFonts w:ascii="Times" w:hAnsi="Times"/>
          <w:b/>
        </w:rPr>
        <w:t>Statistical Power Considerations</w:t>
      </w:r>
    </w:p>
    <w:p w14:paraId="3F04D5DD" w14:textId="77777777" w:rsidR="00F7044C" w:rsidRPr="00C421E4" w:rsidRDefault="00F7044C" w:rsidP="00F7044C">
      <w:pPr>
        <w:spacing w:line="480" w:lineRule="auto"/>
        <w:rPr>
          <w:rFonts w:ascii="Times" w:hAnsi="Times"/>
        </w:rPr>
      </w:pPr>
      <w:r w:rsidRPr="00C421E4">
        <w:rPr>
          <w:rFonts w:ascii="Times" w:hAnsi="Times"/>
        </w:rPr>
        <w:t xml:space="preserve">As mentioned in the Methods section, we had sufficient statistical power to detect effects for each aim, with the exception of the circadian analyses (and the issue of multiple comparisons for the regression analyses). However, there are factors that may have impacted power in our study. For instance, our sample contained a very small age range. Had we included a sample with a wider age range, we may have had more variability in cognitive outcomes and mood symptomatology </w:t>
      </w:r>
      <w:r w:rsidRPr="00C421E4">
        <w:rPr>
          <w:rFonts w:ascii="Times" w:hAnsi="Times"/>
        </w:rPr>
        <w:fldChar w:fldCharType="begin"/>
      </w:r>
      <w:r w:rsidRPr="00C421E4">
        <w:rPr>
          <w:rFonts w:ascii="Times" w:hAnsi="Times"/>
        </w:rPr>
        <w:instrText xml:space="preserve"> ADDIN ZOTERO_ITEM CSL_CITATION {"citationID":"2c094f2bb2","properties":{"unsorted":true,"formattedCitation":"{\\rtf (Salthouse, 2004; Kunzmann &amp; Gr\\uc0\\u252{}hn, 2005)}","plainCitation":"(Salthouse, 2004; Kunzmann &amp; Grühn, 2005)"},"citationItems":[{"id":989,"uris":["http://zotero.org/users/4141602/items/T7NHTDND"],"uri":["http://zotero.org/users/4141602/items/T7NHTDND"],"itemData":{"id":989,"type":"article-journal","title":"What and when of cognitive aging","container-title":"Current directions in psychological science","page":"140-144","volume":"13","issue":"4","author":[{"family":"Salthouse","given":"Timothy A."}],"issued":{"date-parts":[["2004"]]}}},{"id":131,"uris":["http://zotero.org/users/4141602/items/US7GWXX2"],"uri":["http://zotero.org/users/4141602/items/US7GWXX2"],"itemData":{"id":131,"type":"article-journal","title":"Age differences in emotional reactivity: The sample case of sadness.","container-title":"Psychology and Aging","page":"47-59","volume":"20","issue":"1","abstract":"Past studies have suggested that the intensity of subjective reactions to emotion-arousing stimuli remains stable, whereas the magnitude of autonomic reactions declines with age. The goal of the present studies was to investigate whether this evidence will generalize to newly edited films dealing with age-relevant themes such as the loss of loved ones. In Study 1, greater self-reported sadness was found in older than in younger adults in response to all films. Findings of Study 2, which were based on an independent sample, replicated those of Study 1. In addition, 6 indicators of autonomic nervous system activity were assessed. Young and old adults did not differ in their autonomic reactions to the films. This evidence suggests that when older people are exposed to stimuli featuring themes that are relevant to their age group, they show greater subjective and physiological reactions than would be expected on the basis of past research.","DOI":"10.1037/0882-7974.20.1.47","ISSN":"0882-7974 1939-1498","author":[{"family":"Kunzmann","given":"Ute"},{"family":"Grühn","given":"Daniel"}],"issued":{"date-parts":[["2005"]]}}}],"schema":"https://github.com/citation-style-language/schema/raw/master/csl-citation.json"} </w:instrText>
      </w:r>
      <w:r w:rsidRPr="00C421E4">
        <w:rPr>
          <w:rFonts w:ascii="Times" w:hAnsi="Times"/>
        </w:rPr>
        <w:fldChar w:fldCharType="separate"/>
      </w:r>
      <w:r w:rsidRPr="00C421E4">
        <w:rPr>
          <w:rFonts w:ascii="Times" w:hAnsi="Times"/>
        </w:rPr>
        <w:t>(Salthouse, 2004; Kunzmann &amp; Grühn, 2005)</w:t>
      </w:r>
      <w:r w:rsidRPr="00C421E4">
        <w:rPr>
          <w:rFonts w:ascii="Times" w:hAnsi="Times"/>
        </w:rPr>
        <w:fldChar w:fldCharType="end"/>
      </w:r>
      <w:r w:rsidRPr="00C421E4">
        <w:rPr>
          <w:rFonts w:ascii="Times" w:hAnsi="Times"/>
        </w:rPr>
        <w:t>. More variability in these measures may have increased the likelihood of detecting a relationship between these outcomes and our predictors.</w:t>
      </w:r>
    </w:p>
    <w:p w14:paraId="378D4C2A" w14:textId="77777777" w:rsidR="00F7044C" w:rsidRPr="00C421E4" w:rsidRDefault="00F7044C" w:rsidP="00F7044C">
      <w:pPr>
        <w:spacing w:line="480" w:lineRule="auto"/>
        <w:rPr>
          <w:rFonts w:ascii="Times" w:hAnsi="Times"/>
        </w:rPr>
      </w:pPr>
    </w:p>
    <w:p w14:paraId="42AFA8AC" w14:textId="77777777" w:rsidR="00F7044C" w:rsidRPr="00C421E4" w:rsidRDefault="00F7044C" w:rsidP="00F7044C">
      <w:pPr>
        <w:spacing w:line="480" w:lineRule="auto"/>
        <w:rPr>
          <w:rFonts w:ascii="Times" w:hAnsi="Times"/>
        </w:rPr>
      </w:pPr>
      <w:r w:rsidRPr="00C421E4">
        <w:rPr>
          <w:rFonts w:ascii="Times" w:hAnsi="Times"/>
        </w:rPr>
        <w:t xml:space="preserve">A large number of analyses were performed in this experiment. It follows that the risk for Type I statistical error is high. In an attempt to minimize this risk, we set alpha to .01. </w:t>
      </w:r>
      <w:r w:rsidRPr="00C421E4">
        <w:rPr>
          <w:rFonts w:ascii="Times" w:hAnsi="Times"/>
        </w:rPr>
        <w:lastRenderedPageBreak/>
        <w:t xml:space="preserve">Nevertheless, the significant findings detected in the latter part of the experiment (i.e., the regression analyses) should be considered exploratory. Although we found a significant reactivity predictor and a significant habituation predictor of mood symptomatology, it is possible that those findings were spurious. Future work should aim to replicate these results with a more targeted statistical approach (i.e., a smaller planned set of analyses).  </w:t>
      </w:r>
    </w:p>
    <w:p w14:paraId="67E697E9" w14:textId="77777777" w:rsidR="00F7044C" w:rsidRPr="00C421E4" w:rsidRDefault="00F7044C" w:rsidP="00F7044C">
      <w:pPr>
        <w:widowControl w:val="0"/>
        <w:autoSpaceDE w:val="0"/>
        <w:autoSpaceDN w:val="0"/>
        <w:adjustRightInd w:val="0"/>
        <w:spacing w:line="480" w:lineRule="auto"/>
        <w:rPr>
          <w:rFonts w:ascii="Times" w:hAnsi="Times"/>
          <w:b/>
        </w:rPr>
      </w:pPr>
    </w:p>
    <w:p w14:paraId="145EC626" w14:textId="77777777" w:rsidR="00F7044C" w:rsidRPr="0021615D"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 xml:space="preserve">8. </w:t>
      </w:r>
      <w:r w:rsidRPr="0021615D">
        <w:rPr>
          <w:rFonts w:ascii="Times" w:hAnsi="Times"/>
          <w:b/>
        </w:rPr>
        <w:t>Future Directions</w:t>
      </w:r>
    </w:p>
    <w:p w14:paraId="12E466FD" w14:textId="77777777" w:rsidR="00F7044C" w:rsidRPr="00C421E4" w:rsidRDefault="00F7044C" w:rsidP="00F7044C">
      <w:pPr>
        <w:widowControl w:val="0"/>
        <w:autoSpaceDE w:val="0"/>
        <w:autoSpaceDN w:val="0"/>
        <w:adjustRightInd w:val="0"/>
        <w:spacing w:line="480" w:lineRule="auto"/>
        <w:rPr>
          <w:rFonts w:ascii="Times" w:hAnsi="Times"/>
          <w:b/>
        </w:rPr>
      </w:pPr>
      <w:r w:rsidRPr="00C421E4">
        <w:rPr>
          <w:rFonts w:ascii="Times" w:hAnsi="Times"/>
        </w:rPr>
        <w:t xml:space="preserve">We detected several (seemingly benign) emotion alterations in a chronic mTBI population relative to an uninjured control group. The most compelling result is behavioral ratings of stimuli, specifically the steeper slope of habituation in arousal ratings regardless of valence. This difference in habituation, however, was not predictive of mood symptomology. </w:t>
      </w:r>
    </w:p>
    <w:p w14:paraId="5F4FC0D0" w14:textId="77777777" w:rsidR="00F7044C" w:rsidRPr="00C421E4" w:rsidRDefault="00F7044C" w:rsidP="00F7044C">
      <w:pPr>
        <w:widowControl w:val="0"/>
        <w:autoSpaceDE w:val="0"/>
        <w:autoSpaceDN w:val="0"/>
        <w:adjustRightInd w:val="0"/>
        <w:spacing w:line="480" w:lineRule="auto"/>
        <w:rPr>
          <w:rFonts w:ascii="Times" w:hAnsi="Times"/>
        </w:rPr>
      </w:pPr>
    </w:p>
    <w:p w14:paraId="11A4E1A7"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Several investigations on the cognitive effects of mTBI demonstrate that, in standard conditions, cognitive functioning is normal following chronic mTBI. However, when dual-task paradigms are utilized, cognitive impairments emerge </w:t>
      </w:r>
      <w:r w:rsidRPr="00C421E4">
        <w:rPr>
          <w:rFonts w:ascii="Times" w:hAnsi="Times"/>
        </w:rPr>
        <w:fldChar w:fldCharType="begin"/>
      </w:r>
      <w:r w:rsidRPr="00C421E4">
        <w:rPr>
          <w:rFonts w:ascii="Times" w:hAnsi="Times"/>
        </w:rPr>
        <w:instrText xml:space="preserve"> ADDIN ZOTERO_ITEM CSL_CITATION {"citationID":"28k9i49ro","properties":{"formattedCitation":"(Bernstein, 2002b; Dean &amp; Sterr, 2013; Howell, Osternig, Van Donkelaar, Mayr, &amp; Chou, 2013)","plainCitation":"(Bernstein, 2002b; Dean &amp; Sterr, 2013; Howell, Osternig, Van Donkelaar, Mayr, &amp; Chou, 2013)"},"citationItems":[{"id":251,"uris":["http://zotero.org/users/4141602/items/JT39HJ7G"],"uri":["http://zotero.org/users/4141602/items/JT39HJ7G"],"itemData":{"id":251,"type":"article-journal","title":"Information processing difficulty long after self-reported concussion.","container-title":"Journal of the International Neuropsychological Society : JINS","page":"673-682","volume":"8","issue":"5","abstract":"Recovery of cognitive function after mild head injury (MHI) is thought to be relatively swift and complete. The present study replicates and extends previous work in which university students with self-reported concussion demonstrated reduced P300 amplitude on a set of easy and difficult attention tasks, in addition to performing more poorly than controls on demanding cognitive tasks many years after injury. In the present study, 13 students with self-reported concussion (MHI group: M time since injury = 8 years) and 10 controls were matched for age, sex, education, and a variety of cognitive, physical and emotional complaints. Controls outperformed the MHI group on the Digit Symbol substitution task and on a difficult dual task involving tone discrimination and visual working memory. Additionally, controls exhibited larger P300 amplitudes on both an easy and a difficult auditory discrimination task. A combination of electrophysiological, neuropsychological and self-report indices predicted group membership (MHI vs. control) with 88% accuracy. The present results, coupled with previous work, offer preliminary evidence that the combination of event-related potentials and demanding behavioral measures might reveal long-lasting, subtle cognitive problems associated with MHI. These findings may challenge existing notions of complete recovery after MHI.","DOI":"10.1017/S1355617702801400","ISSN":"13556177 (ISSN)","author":[{"family":"Bernstein","given":"Daniel M"}],"issued":{"date-parts":[["2002"]]}}},{"id":908,"uris":["http://zotero.org/users/4141602/items/PX6Z9CD6"],"uri":["http://zotero.org/users/4141602/items/PX6Z9CD6"],"itemData":{"id":908,"type":"article-journal","title":"Long-term effects of mild traumatic brain injury on cognitive performance","container-title":"Frontiers in human neuroscience","volume":"7","author":[{"family":"Dean","given":"Philip J.","dropping-particle":"a."},{"family":"Sterr","given":"Annette"}],"issued":{"date-parts":[["2013"]]}}},{"id":909,"uris":["http://zotero.org/users/4141602/items/SE2TZ3UC"],"uri":["http://zotero.org/users/4141602/items/SE2TZ3UC"],"itemData":{"id":909,"type":"article-journal","title":"Effects of Concussion on Attention and Executive Function in Adolescents","container-title":"Medicine &amp; Science in Sports &amp; Exercise","page":"1030-1037","volume":"45","issue":"6","author":[{"family":"Howell","given":"David"},{"family":"Osternig","given":"Louis"},{"family":"Van Donkelaar","given":"Paul"},{"family":"Mayr","given":"Ulrich"},{"family":"Chou","given":"Li-Shan"}],"issued":{"date-parts":[["2013"]]}}}],"schema":"https://github.com/citation-style-language/schema/raw/master/csl-citation.json"} </w:instrText>
      </w:r>
      <w:r w:rsidRPr="00C421E4">
        <w:rPr>
          <w:rFonts w:ascii="Times" w:hAnsi="Times"/>
        </w:rPr>
        <w:fldChar w:fldCharType="separate"/>
      </w:r>
      <w:r w:rsidRPr="00C421E4">
        <w:rPr>
          <w:rFonts w:ascii="Times" w:hAnsi="Times"/>
          <w:noProof/>
        </w:rPr>
        <w:t>(Bernstein, 2002b; Dean &amp; Sterr, 2013; Howell, Osternig, Van Donkelaar, Mayr, &amp; Chou, 2013)</w:t>
      </w:r>
      <w:r w:rsidRPr="00C421E4">
        <w:rPr>
          <w:rFonts w:ascii="Times" w:hAnsi="Times"/>
        </w:rPr>
        <w:fldChar w:fldCharType="end"/>
      </w:r>
      <w:r w:rsidRPr="00C421E4">
        <w:rPr>
          <w:rFonts w:ascii="Times" w:hAnsi="Times"/>
        </w:rPr>
        <w:t xml:space="preserve">. Authors of these studies speculate that compensatory activity keeps cognition intact until the cognitive load is high enough that the brain no longer has the capacity to compensate. We posit that the same may be true for emotional functioning. If emotional load were to be increased (e.g., if a mood induction were performed prior to this task), for instance, we may see differing patterns of behavior or physiology.  </w:t>
      </w:r>
    </w:p>
    <w:p w14:paraId="7D718155" w14:textId="77777777" w:rsidR="00F7044C" w:rsidRPr="00C421E4" w:rsidRDefault="00F7044C" w:rsidP="00F7044C">
      <w:pPr>
        <w:widowControl w:val="0"/>
        <w:autoSpaceDE w:val="0"/>
        <w:autoSpaceDN w:val="0"/>
        <w:adjustRightInd w:val="0"/>
        <w:spacing w:line="480" w:lineRule="auto"/>
        <w:rPr>
          <w:rFonts w:ascii="Times" w:hAnsi="Times"/>
        </w:rPr>
      </w:pPr>
    </w:p>
    <w:p w14:paraId="067B8687"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lastRenderedPageBreak/>
        <w:t xml:space="preserve">Another avenue for future work would be to focus on other mTBI populations, such as military veterans who have sustained an mTBI. Military populations, which typically come from a lower socioeconomic status than a college student sample </w:t>
      </w:r>
      <w:r w:rsidRPr="00C421E4">
        <w:rPr>
          <w:rFonts w:ascii="Times" w:hAnsi="Times"/>
        </w:rPr>
        <w:fldChar w:fldCharType="begin"/>
      </w:r>
      <w:r w:rsidRPr="00C421E4">
        <w:rPr>
          <w:rFonts w:ascii="Times" w:hAnsi="Times"/>
        </w:rPr>
        <w:instrText xml:space="preserve"> ADDIN ZOTERO_ITEM CSL_CITATION {"citationID":"42viuj5ip","properties":{"formattedCitation":"(Valentine, Harada, Washington, &amp; Damron-Rodriguez, 2002)","plainCitation":"(Valentine, Harada, Washington, &amp; Damron-Rodriguez, 2002)"},"citationItems":[{"id":910,"uris":["http://zotero.org/users/4141602/items/H3JZMISJ"],"uri":["http://zotero.org/users/4141602/items/H3JZMISJ"],"itemData":{"id":910,"type":"article-journal","title":"Health and functioning among four war eras of U.S. Veterans: Examining the impact of war cohort membership, socioeconomic status, mental health, and disease prevalence","container-title":"Military medicine","volume":"167","issue":"9","author":[{"family":"Valentine","given":"Villa M"},{"family":"Harada","given":"Nancy D"},{"family":"Washington","given":"Donna"},{"family":"Damron-Rodriguez","given":"JoAnn"}],"issued":{"date-parts":[["2002"]]}}}],"schema":"https://github.com/citation-style-language/schema/raw/master/csl-citation.json"} </w:instrText>
      </w:r>
      <w:r w:rsidRPr="00C421E4">
        <w:rPr>
          <w:rFonts w:ascii="Times" w:hAnsi="Times"/>
        </w:rPr>
        <w:fldChar w:fldCharType="separate"/>
      </w:r>
      <w:r w:rsidRPr="00C421E4">
        <w:rPr>
          <w:rFonts w:ascii="Times" w:hAnsi="Times"/>
          <w:noProof/>
        </w:rPr>
        <w:t>(Valentine, Harada, Washington, &amp; Damron-Rodriguez, 2002)</w:t>
      </w:r>
      <w:r w:rsidRPr="00C421E4">
        <w:rPr>
          <w:rFonts w:ascii="Times" w:hAnsi="Times"/>
        </w:rPr>
        <w:fldChar w:fldCharType="end"/>
      </w:r>
      <w:r w:rsidRPr="00C421E4">
        <w:rPr>
          <w:rFonts w:ascii="Times" w:hAnsi="Times"/>
        </w:rPr>
        <w:t xml:space="preserve">, such as the sample utilized here, are already at a higher risk for mood disturbances prior to head injury. With added emotional vulnerabilities, veteran populations might show differing patterns of emotional functioning. Furthermore, mTBI populations with PTSD might exhibit different patterns of results. Lastly, blast mTBIs, a form of brain injury with distinct pathology and symptomology than blunt force or rotational injury </w:t>
      </w:r>
      <w:r w:rsidRPr="00C421E4">
        <w:rPr>
          <w:rFonts w:ascii="Times" w:hAnsi="Times"/>
        </w:rPr>
        <w:fldChar w:fldCharType="begin"/>
      </w:r>
      <w:r w:rsidRPr="00C421E4">
        <w:rPr>
          <w:rFonts w:ascii="Times" w:hAnsi="Times"/>
        </w:rPr>
        <w:instrText xml:space="preserve"> ADDIN ZOTERO_ITEM CSL_CITATION {"citationID":"c0u4fmosd","properties":{"unsorted":true,"formattedCitation":"(Cernak et al., 2011; Blennow et al., 2012)","plainCitation":"(Cernak et al., 2011; Blennow et al., 2012)"},"citationItems":[{"id":912,"uris":["http://zotero.org/users/4141602/items/NNJTBNKX"],"uri":["http://zotero.org/users/4141602/items/NNJTBNKX"],"itemData":{"id":912,"type":"article-journal","title":"The pathobiology of blast injuries and blast-induced neurotrauma as identified using a new experimental model of injury in mice","container-title":"Neurobiology of Disease","page":"538-551","volume":"41","author":[{"family":"Cernak","given":"Ibolja"},{"family":"Merkle","given":"Andrew C"},{"family":"Koliatsos","given":"Vassilis E"},{"family":"Bilik","given":"Justin M"},{"family":"Luong","given":"Quang"},{"family":"Mahota","given":"Theresa M"},{"family":"Xu","given":"Leyan"},{"family":"Slack","given":"Nicole"},{"family":"Ahmed","given":"Farid A"}],"issued":{"date-parts":[["2011"]]}}},{"id":472,"uris":["http://zotero.org/users/4141602/items/F8B8GJVU"],"uri":["http://zotero.org/users/4141602/items/F8B8GJVU"],"itemData":{"id":472,"type":"article-journal","title":"The Neuropathology and Neurobiology of Traumatic Brain Injury","container-title":"Neuron","page":"886-899","volume":"76","issue":"5","abstract":"The acute and long-term consequences of traumatic brain injury (TBI) have received increased attention in recent years. In this Review, we discuss the neuropathology and neural mechanisms associated with TBI, drawing on findings from sports-induced TBI in athletes, in whom acute TBI damages axons and elicits both regenerative and degenerative tissue responses in the brain and in whom repeated concussions may initiate a long-term neurodegenerative process called dementia pugilistica or chronic traumatic encephalopathy (CTE). We also consider how the neuropathology and neurobiology of CTE in many ways resembles other neurodegenerative illnesses such as Alzheimer@s disease, particularly with respect to mismetabolism and aggregation of tau, ??-amyloid, and TDP-43. Finally, we explore how translational research in animal models of acceleration/deceleration types of injury relevant for concussion together with clinical studies employing imaging and biochemical markers may further elucidate the neurobiology of TBI and CTE.","DOI":"10.1016/j.neuron.2012.11.021","ISSN":"1097-4199 (Electronic)\\r0896-6273 (Linking)","author":[{"family":"Blennow","given":"Kaj"},{"family":"Hardy","given":"John"},{"family":"Zetterberg","given":"Henrik"}],"issued":{"date-parts":[["2012"]]}}}],"schema":"https://github.com/citation-style-language/schema/raw/master/csl-citation.json"} </w:instrText>
      </w:r>
      <w:r w:rsidRPr="00C421E4">
        <w:rPr>
          <w:rFonts w:ascii="Times" w:hAnsi="Times"/>
        </w:rPr>
        <w:fldChar w:fldCharType="separate"/>
      </w:r>
      <w:r w:rsidRPr="00C421E4">
        <w:rPr>
          <w:rFonts w:ascii="Times" w:hAnsi="Times"/>
          <w:noProof/>
        </w:rPr>
        <w:t>(Cernak et al., 2011; Blennow et al., 2012)</w:t>
      </w:r>
      <w:r w:rsidRPr="00C421E4">
        <w:rPr>
          <w:rFonts w:ascii="Times" w:hAnsi="Times"/>
        </w:rPr>
        <w:fldChar w:fldCharType="end"/>
      </w:r>
      <w:r w:rsidRPr="00C421E4">
        <w:rPr>
          <w:rFonts w:ascii="Times" w:hAnsi="Times"/>
        </w:rPr>
        <w:t xml:space="preserve">, should be examined. Studies on blast injuries, which typically impact separate brain regions than blunt force/rotational mTBI, could contrast the current work, elucidating which brain regions might be impacting emotional functioning. </w:t>
      </w:r>
    </w:p>
    <w:p w14:paraId="4BE4AB34" w14:textId="77777777" w:rsidR="00F7044C" w:rsidRPr="00C421E4" w:rsidRDefault="00F7044C" w:rsidP="00F7044C">
      <w:pPr>
        <w:widowControl w:val="0"/>
        <w:autoSpaceDE w:val="0"/>
        <w:autoSpaceDN w:val="0"/>
        <w:adjustRightInd w:val="0"/>
        <w:spacing w:line="480" w:lineRule="auto"/>
        <w:rPr>
          <w:rFonts w:ascii="Times" w:hAnsi="Times"/>
        </w:rPr>
      </w:pPr>
    </w:p>
    <w:p w14:paraId="1E88D2A5" w14:textId="77777777" w:rsidR="00F7044C" w:rsidRPr="008710AB" w:rsidRDefault="00F7044C" w:rsidP="00F7044C">
      <w:pPr>
        <w:spacing w:line="480" w:lineRule="auto"/>
        <w:jc w:val="center"/>
        <w:outlineLvl w:val="0"/>
        <w:rPr>
          <w:rFonts w:ascii="Times" w:hAnsi="Times"/>
          <w:b/>
        </w:rPr>
      </w:pPr>
      <w:r>
        <w:rPr>
          <w:rFonts w:ascii="Times" w:hAnsi="Times"/>
          <w:b/>
        </w:rPr>
        <w:t xml:space="preserve">9. </w:t>
      </w:r>
      <w:r w:rsidRPr="008710AB">
        <w:rPr>
          <w:rFonts w:ascii="Times" w:hAnsi="Times"/>
          <w:b/>
        </w:rPr>
        <w:t>The “Miserable Minority”</w:t>
      </w:r>
    </w:p>
    <w:p w14:paraId="0205B4E0" w14:textId="77777777" w:rsidR="00F7044C" w:rsidRPr="00C421E4" w:rsidRDefault="00F7044C" w:rsidP="00F7044C">
      <w:pPr>
        <w:spacing w:line="480" w:lineRule="auto"/>
        <w:rPr>
          <w:rFonts w:ascii="Times" w:hAnsi="Times"/>
          <w:b/>
        </w:rPr>
      </w:pPr>
      <w:r w:rsidRPr="00C421E4">
        <w:rPr>
          <w:rFonts w:ascii="Times" w:hAnsi="Times"/>
        </w:rPr>
        <w:t xml:space="preserve">It has been suggested that there is a subgroup (15-20%) of mTBI participants (the “Miserable Minority”) who never fully recover from an mTBI </w:t>
      </w:r>
      <w:r w:rsidRPr="00C421E4">
        <w:rPr>
          <w:rFonts w:ascii="Times" w:hAnsi="Times"/>
        </w:rPr>
        <w:fldChar w:fldCharType="begin"/>
      </w:r>
      <w:r w:rsidRPr="00C421E4">
        <w:rPr>
          <w:rFonts w:ascii="Times" w:hAnsi="Times"/>
        </w:rPr>
        <w:instrText xml:space="preserve"> ADDIN ZOTERO_ITEM CSL_CITATION {"citationID":"2gm17818l1","properties":{"formattedCitation":"(R. Ruff, 2005)","plainCitation":"(R. Ruff, 2005)"},"citationItems":[{"id":933,"uris":["http://zotero.org/users/4141602/items/9QX9TCF4"],"uri":["http://zotero.org/users/4141602/items/9QX9TCF4"],"itemData":{"id":933,"type":"article-journal","title":"Two decades of advances in understanding of mild traumatic brain injury","container-title":"The Journal of head trauma rehabilitation","page":"5-18","volume":"20","issue":"1","author":[{"family":"Ruff","given":"Ronald"}],"issued":{"date-parts":[["2005"]]}}}],"schema":"https://github.com/citation-style-language/schema/raw/master/csl-citation.json"} </w:instrText>
      </w:r>
      <w:r w:rsidRPr="00C421E4">
        <w:rPr>
          <w:rFonts w:ascii="Times" w:hAnsi="Times"/>
        </w:rPr>
        <w:fldChar w:fldCharType="separate"/>
      </w:r>
      <w:r w:rsidRPr="00C421E4">
        <w:rPr>
          <w:rFonts w:ascii="Times" w:hAnsi="Times"/>
          <w:noProof/>
        </w:rPr>
        <w:t>(Ruff, 2005)</w:t>
      </w:r>
      <w:r w:rsidRPr="00C421E4">
        <w:rPr>
          <w:rFonts w:ascii="Times" w:hAnsi="Times"/>
        </w:rPr>
        <w:fldChar w:fldCharType="end"/>
      </w:r>
      <w:r w:rsidRPr="00C421E4">
        <w:rPr>
          <w:rFonts w:ascii="Times" w:hAnsi="Times"/>
        </w:rPr>
        <w:t xml:space="preserve">. We isolated this subset – a group with at least 3 post-concussive complaints – and compared this group with (1) an opposing mTBI subgroup with low complaints, and (2) the non-TBI group. Our results showed mTBI individuals with post-concussive complaints were more depressed, more anxious, and had more PTSD symptoms than the mTBI group with few complaints. Therefore, the mTBI group could be divided in a meaningful manner based on complaints. These results support previous studies that show there may be two distinct </w:t>
      </w:r>
      <w:r w:rsidRPr="00C421E4">
        <w:rPr>
          <w:rFonts w:ascii="Times" w:hAnsi="Times"/>
        </w:rPr>
        <w:lastRenderedPageBreak/>
        <w:t>mTBI populations: a small subset of participants that continues to have mTBI-related complaints, and other mTBI participants who recover quickly after mTBI.</w:t>
      </w:r>
    </w:p>
    <w:p w14:paraId="2FF899F1" w14:textId="77777777" w:rsidR="00F7044C" w:rsidRPr="00C421E4" w:rsidRDefault="00F7044C" w:rsidP="00F7044C">
      <w:pPr>
        <w:spacing w:line="480" w:lineRule="auto"/>
        <w:rPr>
          <w:rFonts w:ascii="Times" w:hAnsi="Times"/>
        </w:rPr>
      </w:pPr>
    </w:p>
    <w:p w14:paraId="6F367E9A" w14:textId="77777777" w:rsidR="00F7044C" w:rsidRPr="00C421E4" w:rsidRDefault="00F7044C" w:rsidP="00F7044C">
      <w:pPr>
        <w:spacing w:line="480" w:lineRule="auto"/>
        <w:rPr>
          <w:rFonts w:ascii="Times" w:hAnsi="Times"/>
        </w:rPr>
      </w:pPr>
      <w:r w:rsidRPr="00C421E4">
        <w:rPr>
          <w:rFonts w:ascii="Times" w:hAnsi="Times"/>
        </w:rPr>
        <w:t xml:space="preserve">However, when comparing this subgroup with the full non-TBI sample, there were no clear group differences in emotion habituation or emotion reactivity. That is to say, even the most “severe” mTBI subjects (i.e., those with post-concussive complaints) did not show a clear differentiation from the uninjured group (i.e., the effect size for differences were either small or medium). The lack of differences from the control group underscores that our mTBI sample was generally functioning well; </w:t>
      </w:r>
      <w:r>
        <w:rPr>
          <w:rFonts w:ascii="Times" w:hAnsi="Times"/>
        </w:rPr>
        <w:t xml:space="preserve">additionally, </w:t>
      </w:r>
      <w:r w:rsidRPr="00C421E4">
        <w:rPr>
          <w:rFonts w:ascii="Times" w:hAnsi="Times"/>
        </w:rPr>
        <w:t xml:space="preserve">we were not powered for this analysis. </w:t>
      </w:r>
    </w:p>
    <w:p w14:paraId="18A3D8CD" w14:textId="77777777" w:rsidR="00F7044C" w:rsidRPr="00C421E4" w:rsidRDefault="00F7044C" w:rsidP="00F7044C">
      <w:pPr>
        <w:spacing w:line="480" w:lineRule="auto"/>
        <w:rPr>
          <w:rFonts w:ascii="Times" w:hAnsi="Times"/>
        </w:rPr>
      </w:pPr>
    </w:p>
    <w:p w14:paraId="60C0F7E1" w14:textId="77777777" w:rsidR="00F7044C" w:rsidRPr="00C421E4" w:rsidRDefault="00F7044C" w:rsidP="00F7044C">
      <w:pPr>
        <w:spacing w:line="480" w:lineRule="auto"/>
        <w:rPr>
          <w:rFonts w:ascii="Times" w:hAnsi="Times"/>
        </w:rPr>
      </w:pPr>
      <w:r w:rsidRPr="00C421E4">
        <w:rPr>
          <w:rFonts w:ascii="Times" w:hAnsi="Times"/>
        </w:rPr>
        <w:t xml:space="preserve">Although it is unknown why some individuals recover from mTBI while others do not, it has been suggested that brain damage, specifically in white matter tracts, may lead to long-term difficulties in this subset of patients </w:t>
      </w:r>
      <w:r w:rsidRPr="00C421E4">
        <w:rPr>
          <w:rFonts w:ascii="Times" w:hAnsi="Times"/>
        </w:rPr>
        <w:fldChar w:fldCharType="begin"/>
      </w:r>
      <w:r w:rsidRPr="00C421E4">
        <w:rPr>
          <w:rFonts w:ascii="Times" w:hAnsi="Times"/>
        </w:rPr>
        <w:instrText xml:space="preserve"> ADDIN ZOTERO_ITEM CSL_CITATION {"citationID":"1dgi72i6qm","properties":{"formattedCitation":"(Niogi et al., 2008)","plainCitation":"(Niogi et al., 2008)"},"citationItems":[{"id":942,"uris":["http://zotero.org/users/4141602/items/HHXR6QPB"],"uri":["http://zotero.org/users/4141602/items/HHXR6QPB"],"itemData":{"id":942,"type":"article-journal","title":"Structural dissociation of attentional control and memory in adults with and without mild traumatic brain injury","container-title":"Brain","page":"3209-3221","volume":"131","issue":"12","author":[{"family":"Niogi","given":"Sumit N."},{"family":"Mukherjee","given":"Pratik"},{"family":"Ghajar","given":"Jamshid"},{"family":"Johnson","given":"Carl E."},{"family":"Kolster","given":"Rachel"},{"family":"Lee","given":"Hana"},{"family":"Suh","given":"Minah"},{"family":"Zimmerman","given":"Robert D."},{"family":"Manley","given":"Geoffrey T."},{"family":"McCandliss","given":"Bruce D."}],"issued":{"date-parts":[["2008"]]}}}],"schema":"https://github.com/citation-style-language/schema/raw/master/csl-citation.json"} </w:instrText>
      </w:r>
      <w:r w:rsidRPr="00C421E4">
        <w:rPr>
          <w:rFonts w:ascii="Times" w:hAnsi="Times"/>
        </w:rPr>
        <w:fldChar w:fldCharType="separate"/>
      </w:r>
      <w:r w:rsidRPr="00C421E4">
        <w:rPr>
          <w:rFonts w:ascii="Times" w:hAnsi="Times"/>
          <w:noProof/>
        </w:rPr>
        <w:t>(Niogi et al., 2008)</w:t>
      </w:r>
      <w:r w:rsidRPr="00C421E4">
        <w:rPr>
          <w:rFonts w:ascii="Times" w:hAnsi="Times"/>
        </w:rPr>
        <w:fldChar w:fldCharType="end"/>
      </w:r>
      <w:r w:rsidRPr="00C421E4">
        <w:rPr>
          <w:rFonts w:ascii="Times" w:hAnsi="Times"/>
        </w:rPr>
        <w:t xml:space="preserve">. It has also been suggested that pre-morbid vulnerabilities (e.g., existing depression) increase the risk of long-term symptoms after mTBI (reviewed in </w:t>
      </w:r>
      <w:r w:rsidRPr="00C421E4">
        <w:rPr>
          <w:rFonts w:ascii="Times" w:hAnsi="Times"/>
        </w:rPr>
        <w:fldChar w:fldCharType="begin"/>
      </w:r>
      <w:r w:rsidRPr="00C421E4">
        <w:rPr>
          <w:rFonts w:ascii="Times" w:hAnsi="Times"/>
        </w:rPr>
        <w:instrText xml:space="preserve"> ADDIN ZOTERO_ITEM CSL_CITATION {"citationID":"2ipd1dmbgk","properties":{"formattedCitation":"(Ronald M. Ruff, 2011)","plainCitation":"(Ronald M. Ruff, 2011)"},"citationItems":[{"id":943,"uris":["http://zotero.org/users/4141602/items/8ABZTAAT"],"uri":["http://zotero.org/users/4141602/items/8ABZTAAT"],"itemData":{"id":943,"type":"article-journal","title":"Mild traumatic brain injury and neural recovery: rethinking the debate","container-title":"NeuroRehabilitation","page":"167-180","volume":"28","issue":"3","author":[{"family":"Ruff","given":"Ronald M."}],"issued":{"date-parts":[["2011"]]}}}],"schema":"https://github.com/citation-style-language/schema/raw/master/csl-citation.json"} </w:instrText>
      </w:r>
      <w:r w:rsidRPr="00C421E4">
        <w:rPr>
          <w:rFonts w:ascii="Times" w:hAnsi="Times"/>
        </w:rPr>
        <w:fldChar w:fldCharType="separate"/>
      </w:r>
      <w:r w:rsidRPr="00C421E4">
        <w:rPr>
          <w:rFonts w:ascii="Times" w:hAnsi="Times"/>
          <w:noProof/>
        </w:rPr>
        <w:t>Ruff, 2011)</w:t>
      </w:r>
      <w:r w:rsidRPr="00C421E4">
        <w:rPr>
          <w:rFonts w:ascii="Times" w:hAnsi="Times"/>
        </w:rPr>
        <w:fldChar w:fldCharType="end"/>
      </w:r>
      <w:r w:rsidRPr="00C421E4">
        <w:rPr>
          <w:rFonts w:ascii="Times" w:hAnsi="Times"/>
        </w:rPr>
        <w:t xml:space="preserve">. Unfortunately, with data from the current study, we cannot draw conclusions about brain damage or about pre-morbid factors. </w:t>
      </w:r>
    </w:p>
    <w:p w14:paraId="65F2508C" w14:textId="77777777" w:rsidR="00F7044C" w:rsidRPr="00C421E4" w:rsidRDefault="00F7044C" w:rsidP="00F7044C">
      <w:pPr>
        <w:spacing w:line="480" w:lineRule="auto"/>
        <w:rPr>
          <w:rFonts w:ascii="Times" w:hAnsi="Times"/>
        </w:rPr>
      </w:pPr>
    </w:p>
    <w:p w14:paraId="1C08F496" w14:textId="77777777" w:rsidR="00F7044C" w:rsidRPr="00C421E4" w:rsidRDefault="00F7044C" w:rsidP="00F7044C">
      <w:pPr>
        <w:spacing w:line="480" w:lineRule="auto"/>
        <w:rPr>
          <w:rFonts w:ascii="Times" w:hAnsi="Times"/>
        </w:rPr>
      </w:pPr>
      <w:r w:rsidRPr="00C421E4">
        <w:rPr>
          <w:rFonts w:ascii="Times" w:hAnsi="Times"/>
        </w:rPr>
        <w:t xml:space="preserve">The current study design did not allow for a robust comparison of the post-concussive syndrome group with a broader mTBI group (or with the non-TBI group). Ideally, we would have a larger sample to allow for a larger post-concussive syndrome subset. Future studies could aim to recruit participants with post-concussive syndrome and compare </w:t>
      </w:r>
      <w:r w:rsidRPr="00C421E4">
        <w:rPr>
          <w:rFonts w:ascii="Times" w:hAnsi="Times"/>
        </w:rPr>
        <w:lastRenderedPageBreak/>
        <w:t xml:space="preserve">these participants with both mTBI subjects with full recovery and also control subjects. This study design would increase statistical power to detect differences between groups. It would also allow us to examine whether there are differences between the affected and non-affected mTBI subjects (e.g., in gender, number of TBIs, etc.). </w:t>
      </w:r>
    </w:p>
    <w:p w14:paraId="1E9BDD49" w14:textId="77777777" w:rsidR="00F7044C" w:rsidRPr="00C421E4" w:rsidRDefault="00F7044C" w:rsidP="00F7044C">
      <w:pPr>
        <w:widowControl w:val="0"/>
        <w:autoSpaceDE w:val="0"/>
        <w:autoSpaceDN w:val="0"/>
        <w:adjustRightInd w:val="0"/>
        <w:spacing w:line="480" w:lineRule="auto"/>
        <w:rPr>
          <w:rFonts w:ascii="Times" w:hAnsi="Times"/>
        </w:rPr>
      </w:pPr>
    </w:p>
    <w:p w14:paraId="5C84F53C" w14:textId="77777777" w:rsidR="00F7044C" w:rsidRPr="008710AB"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 xml:space="preserve">10. </w:t>
      </w:r>
      <w:r w:rsidRPr="008710AB">
        <w:rPr>
          <w:rFonts w:ascii="Times" w:hAnsi="Times"/>
          <w:b/>
        </w:rPr>
        <w:t>Study Limitations</w:t>
      </w:r>
    </w:p>
    <w:p w14:paraId="73C0F614"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There were several limitations to this study. We included a sample of college-attending young adults who had suffered from an mTBI at least 1 year prior. In doing so, we included a sample with a small age range. Because of this, our results may not be generalizable to older age ranges, and especially not older adults, who have characteristic changes in emotion reactivity </w:t>
      </w:r>
      <w:r w:rsidRPr="00C421E4">
        <w:rPr>
          <w:rFonts w:ascii="Times" w:hAnsi="Times"/>
        </w:rPr>
        <w:fldChar w:fldCharType="begin"/>
      </w:r>
      <w:r w:rsidRPr="00C421E4">
        <w:rPr>
          <w:rFonts w:ascii="Times" w:hAnsi="Times"/>
        </w:rPr>
        <w:instrText xml:space="preserve"> ADDIN ZOTERO_ITEM CSL_CITATION {"citationID":"100gp901r0","properties":{"formattedCitation":"{\\rtf (Kunzmann &amp; Gr\\uc0\\u252{}hn, 2005)}","plainCitation":"(Kunzmann &amp; Grühn, 2005)"},"citationItems":[{"id":131,"uris":["http://zotero.org/users/4141602/items/US7GWXX2"],"uri":["http://zotero.org/users/4141602/items/US7GWXX2"],"itemData":{"id":131,"type":"article-journal","title":"Age differences in emotional reactivity: The sample case of sadness.","container-title":"Psychology and Aging","page":"47-59","volume":"20","issue":"1","abstract":"Past studies have suggested that the intensity of subjective reactions to emotion-arousing stimuli remains stable, whereas the magnitude of autonomic reactions declines with age. The goal of the present studies was to investigate whether this evidence will generalize to newly edited films dealing with age-relevant themes such as the loss of loved ones. In Study 1, greater self-reported sadness was found in older than in younger adults in response to all films. Findings of Study 2, which were based on an independent sample, replicated those of Study 1. In addition, 6 indicators of autonomic nervous system activity were assessed. Young and old adults did not differ in their autonomic reactions to the films. This evidence suggests that when older people are exposed to stimuli featuring themes that are relevant to their age group, they show greater subjective and physiological reactions than would be expected on the basis of past research.","DOI":"10.1037/0882-7974.20.1.47","ISSN":"0882-7974 1939-1498","author":[{"family":"Kunzmann","given":"Ute"},{"family":"Grühn","given":"Daniel"}],"issued":{"date-parts":[["2005"]]}}}],"schema":"https://github.com/citation-style-language/schema/raw/master/csl-citation.json"} </w:instrText>
      </w:r>
      <w:r w:rsidRPr="00C421E4">
        <w:rPr>
          <w:rFonts w:ascii="Times" w:hAnsi="Times"/>
        </w:rPr>
        <w:fldChar w:fldCharType="separate"/>
      </w:r>
      <w:r w:rsidRPr="00C421E4">
        <w:rPr>
          <w:rFonts w:ascii="Times" w:hAnsi="Times"/>
        </w:rPr>
        <w:t>(Kunzmann &amp; Grühn, 2005)</w:t>
      </w:r>
      <w:r w:rsidRPr="00C421E4">
        <w:rPr>
          <w:rFonts w:ascii="Times" w:hAnsi="Times"/>
        </w:rPr>
        <w:fldChar w:fldCharType="end"/>
      </w:r>
      <w:r w:rsidRPr="00C421E4">
        <w:rPr>
          <w:rFonts w:ascii="Times" w:hAnsi="Times"/>
        </w:rPr>
        <w:t xml:space="preserve">. Nevertheless, this work is an important starting point that will inform future work on differing populations (e.g., military veterans with mTBI). </w:t>
      </w:r>
    </w:p>
    <w:p w14:paraId="4CAD6410" w14:textId="77777777" w:rsidR="00F7044C" w:rsidRPr="00C421E4" w:rsidRDefault="00F7044C" w:rsidP="00F7044C">
      <w:pPr>
        <w:widowControl w:val="0"/>
        <w:autoSpaceDE w:val="0"/>
        <w:autoSpaceDN w:val="0"/>
        <w:adjustRightInd w:val="0"/>
        <w:spacing w:line="480" w:lineRule="auto"/>
        <w:rPr>
          <w:rFonts w:ascii="Times" w:hAnsi="Times"/>
        </w:rPr>
      </w:pPr>
    </w:p>
    <w:p w14:paraId="32E48AF6"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Next, we included participants who self-reported mTBI status. A confirmed concussion diagnosis would enhance these data and physician’s records of symptomology after mTBI would be highly informative. Furthermore, restricting the mTBI sample to include individuals with a single concussion (and potentially within a smaller range of time-since-mTBI) would provide more insight about the recovery process following mTBI. There are also several studies demonstrating individuals who have sustained 3 or more mTBIs have poorer emotional functioning </w:t>
      </w:r>
      <w:r w:rsidRPr="00C421E4">
        <w:rPr>
          <w:rFonts w:ascii="Times" w:hAnsi="Times"/>
        </w:rPr>
        <w:fldChar w:fldCharType="begin"/>
      </w:r>
      <w:r w:rsidRPr="00C421E4">
        <w:rPr>
          <w:rFonts w:ascii="Times" w:hAnsi="Times"/>
        </w:rPr>
        <w:instrText xml:space="preserve"> ADDIN ZOTERO_ITEM CSL_CITATION {"citationID":"2535emsgui","properties":{"formattedCitation":"(Henry &amp; de Beaumont, 2011; Spira, Lathan, Bleiberg, &amp; Tsao, 2014b)","plainCitation":"(Henry &amp; de Beaumont, 2011; Spira, Lathan, Bleiberg, &amp; Tsao, 2014b)"},"citationItems":[{"id":963,"uris":["http://zotero.org/users/4141602/items/GDK3M76F"],"uri":["http://zotero.org/users/4141602/items/GDK3M76F"],"itemData":{"id":963,"type":"article-journal","title":"Effects of repeated concussive and subconcussive impacts in sport","container-title":"The handbook of sport neuropsychology","page":"171","volume":"155","author":[{"family":"Henry","given":"Luke C."},{"family":"Beaumont","given":"Louis","non-dropping-particle":"de"}],"issued":{"date-parts":[["2011"]]}}},{"id":30,"uris":["http://zotero.org/users/4141602/items/WBKZZ6QP"],"uri":["http://zotero.org/users/4141602/items/WBKZZ6QP"],"itemData":{"id":30,"type":"article-journal","title":"The Impact of Multiple Concussions on Emotional Distress, Post-Concussive Symptoms, and Neurocognitive Functioning in Active Duty United States Marines Independent of Combat Exposure or Emotional Distress","container-title":"Journal of neurotrauma","page":"1823-1834","volume":"31","issue":"22","author":[{"family":"Spira","given":"J. L."},{"family":"Lathan","given":"C. E."},{"family":"Bleiberg","given":"J."},{"family":"Tsao","given":"J. W."}],"issued":{"date-parts":[["2014"]]}}}],"schema":"https://github.com/citation-style-language/schema/raw/master/csl-citation.json"} </w:instrText>
      </w:r>
      <w:r w:rsidRPr="00C421E4">
        <w:rPr>
          <w:rFonts w:ascii="Times" w:hAnsi="Times"/>
        </w:rPr>
        <w:fldChar w:fldCharType="separate"/>
      </w:r>
      <w:r w:rsidRPr="00C421E4">
        <w:rPr>
          <w:rFonts w:ascii="Times" w:hAnsi="Times"/>
          <w:noProof/>
        </w:rPr>
        <w:t>(Henry &amp; de Beaumont, 2011; Spira, Lathan, Bleiberg, &amp; Tsao, 2014b)</w:t>
      </w:r>
      <w:r w:rsidRPr="00C421E4">
        <w:rPr>
          <w:rFonts w:ascii="Times" w:hAnsi="Times"/>
        </w:rPr>
        <w:fldChar w:fldCharType="end"/>
      </w:r>
      <w:r w:rsidRPr="00C421E4">
        <w:rPr>
          <w:rFonts w:ascii="Times" w:hAnsi="Times"/>
        </w:rPr>
        <w:t xml:space="preserve">. The current work included mostly individuals who only had a single concussion, yet recruiting a larger sample with 3 or more concussions could </w:t>
      </w:r>
      <w:r w:rsidRPr="00C421E4">
        <w:rPr>
          <w:rFonts w:ascii="Times" w:hAnsi="Times"/>
        </w:rPr>
        <w:lastRenderedPageBreak/>
        <w:t xml:space="preserve">provide insight into the effects of repeated concussion, especially given that these individuals are at a higher risk for developing Chronic Traumatic Encephalopothy </w:t>
      </w:r>
      <w:r w:rsidRPr="00C421E4">
        <w:rPr>
          <w:rFonts w:ascii="Times" w:hAnsi="Times"/>
        </w:rPr>
        <w:fldChar w:fldCharType="begin"/>
      </w:r>
      <w:r w:rsidRPr="00C421E4">
        <w:rPr>
          <w:rFonts w:ascii="Times" w:hAnsi="Times"/>
        </w:rPr>
        <w:instrText xml:space="preserve"> ADDIN ZOTERO_ITEM CSL_CITATION {"citationID":"svupjcvnj","properties":{"formattedCitation":"(Henry &amp; de Beaumont, 2011)","plainCitation":"(Henry &amp; de Beaumont, 2011)"},"citationItems":[{"id":963,"uris":["http://zotero.org/users/4141602/items/GDK3M76F"],"uri":["http://zotero.org/users/4141602/items/GDK3M76F"],"itemData":{"id":963,"type":"article-journal","title":"Effects of repeated concussive and subconcussive impacts in sport","container-title":"The handbook of sport neuropsychology","page":"171","volume":"155","author":[{"family":"Henry","given":"Luke C."},{"family":"Beaumont","given":"Louis","non-dropping-particle":"de"}],"issued":{"date-parts":[["2011"]]}}}],"schema":"https://github.com/citation-style-language/schema/raw/master/csl-citation.json"} </w:instrText>
      </w:r>
      <w:r w:rsidRPr="00C421E4">
        <w:rPr>
          <w:rFonts w:ascii="Times" w:hAnsi="Times"/>
        </w:rPr>
        <w:fldChar w:fldCharType="separate"/>
      </w:r>
      <w:r w:rsidRPr="00C421E4">
        <w:rPr>
          <w:rFonts w:ascii="Times" w:hAnsi="Times"/>
          <w:noProof/>
        </w:rPr>
        <w:t>(Henry &amp; de Beaumont, 2011)</w:t>
      </w:r>
      <w:r w:rsidRPr="00C421E4">
        <w:rPr>
          <w:rFonts w:ascii="Times" w:hAnsi="Times"/>
        </w:rPr>
        <w:fldChar w:fldCharType="end"/>
      </w:r>
      <w:r w:rsidRPr="00C421E4">
        <w:rPr>
          <w:rFonts w:ascii="Times" w:hAnsi="Times"/>
        </w:rPr>
        <w:t>.</w:t>
      </w:r>
    </w:p>
    <w:p w14:paraId="04B3CE58" w14:textId="77777777" w:rsidR="00F7044C" w:rsidRPr="00C421E4" w:rsidRDefault="00F7044C" w:rsidP="00F7044C">
      <w:pPr>
        <w:widowControl w:val="0"/>
        <w:autoSpaceDE w:val="0"/>
        <w:autoSpaceDN w:val="0"/>
        <w:adjustRightInd w:val="0"/>
        <w:spacing w:line="480" w:lineRule="auto"/>
        <w:rPr>
          <w:rFonts w:ascii="Times" w:hAnsi="Times"/>
        </w:rPr>
      </w:pPr>
    </w:p>
    <w:p w14:paraId="00FFCAAF"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We are also limited in our ability to assess emotional functioning after mTBI relative to pre-mTBI. Certain individuals (e.g., student athletes) are more likely to sustain an mTBI than the general young adult population </w:t>
      </w:r>
      <w:r w:rsidRPr="00C421E4">
        <w:rPr>
          <w:rFonts w:ascii="Times" w:hAnsi="Times"/>
        </w:rPr>
        <w:fldChar w:fldCharType="begin"/>
      </w:r>
      <w:r w:rsidRPr="00C421E4">
        <w:rPr>
          <w:rFonts w:ascii="Times" w:hAnsi="Times"/>
        </w:rPr>
        <w:instrText xml:space="preserve"> ADDIN ZOTERO_ITEM CSL_CITATION {"citationID":"9hs4u8so0","properties":{"formattedCitation":"(Gessel, Fields, Collins, Dick, &amp; Comstock, 2007)","plainCitation":"(Gessel, Fields, Collins, Dick, &amp; Comstock, 2007)"},"citationItems":[{"id":981,"uris":["http://zotero.org/users/4141602/items/8JU5IAMF"],"uri":["http://zotero.org/users/4141602/items/8JU5IAMF"],"itemData":{"id":981,"type":"article-journal","title":"Concussions among United States high school and collegiate athletes","container-title":"Journal of athletic training","page":"495","volume":"42","issue":"4","author":[{"family":"Gessel","given":"Luke M."},{"family":"Fields","given":"Sarah K."},{"family":"Collins","given":"Christy L."},{"family":"Dick","given":"Randall W."},{"family":"Comstock","given":"R. Dawn"}],"issued":{"date-parts":[["2007"]]}}}],"schema":"https://github.com/citation-style-language/schema/raw/master/csl-citation.json"} </w:instrText>
      </w:r>
      <w:r w:rsidRPr="00C421E4">
        <w:rPr>
          <w:rFonts w:ascii="Times" w:hAnsi="Times"/>
        </w:rPr>
        <w:fldChar w:fldCharType="separate"/>
      </w:r>
      <w:r w:rsidRPr="00C421E4">
        <w:rPr>
          <w:rFonts w:ascii="Times" w:hAnsi="Times"/>
          <w:noProof/>
        </w:rPr>
        <w:t>(Gessel, Fields, Collins, Dick, &amp; Comstock, 2007)</w:t>
      </w:r>
      <w:r w:rsidRPr="00C421E4">
        <w:rPr>
          <w:rFonts w:ascii="Times" w:hAnsi="Times"/>
        </w:rPr>
        <w:fldChar w:fldCharType="end"/>
      </w:r>
      <w:r w:rsidRPr="00C421E4">
        <w:rPr>
          <w:rFonts w:ascii="Times" w:hAnsi="Times"/>
        </w:rPr>
        <w:t xml:space="preserve">. They may also have different emotional functioning than non-student athletes (e.g., they may have higher levels of sensation-seeking tendencies or extraversion). Therefore, whether the results seen here are due to an mTBI or due to pre-morbid differences in emotional functioning is unknown. Future work could ideally utilize a longitudinal study design to track emotional functioning before and after brain injury. This would allow researchers and clinicians to assess whether pre-morbid mood disturbances moderate or mediate post-injury habituation and reactivity. </w:t>
      </w:r>
    </w:p>
    <w:p w14:paraId="700F3E57" w14:textId="77777777" w:rsidR="00F7044C" w:rsidRPr="00C421E4" w:rsidRDefault="00F7044C" w:rsidP="00F7044C">
      <w:pPr>
        <w:widowControl w:val="0"/>
        <w:autoSpaceDE w:val="0"/>
        <w:autoSpaceDN w:val="0"/>
        <w:adjustRightInd w:val="0"/>
        <w:spacing w:line="480" w:lineRule="auto"/>
        <w:rPr>
          <w:rFonts w:ascii="Times" w:hAnsi="Times"/>
        </w:rPr>
      </w:pPr>
    </w:p>
    <w:p w14:paraId="13D7743D" w14:textId="77777777" w:rsidR="00F7044C" w:rsidRPr="00C421E4" w:rsidRDefault="00F7044C" w:rsidP="00F7044C">
      <w:pPr>
        <w:spacing w:line="480" w:lineRule="auto"/>
        <w:rPr>
          <w:rFonts w:ascii="Times" w:hAnsi="Times"/>
        </w:rPr>
      </w:pPr>
      <w:r w:rsidRPr="00C421E4">
        <w:rPr>
          <w:rFonts w:ascii="Times" w:hAnsi="Times"/>
        </w:rPr>
        <w:t xml:space="preserve">There are also limitations associated with university samples. There is increased risk for mental illness in young adulthood, relative to later adulthood: the stressors and relative instability of college can induce mental illness for the first time or exacerbate existing illnesses. In a large study surveying mental health issues in college students, 18.2% of the population had a diagnosis of depression, 10.1% had anxiety, and 7.8% reported suicide ideation </w:t>
      </w:r>
      <w:r w:rsidRPr="00C421E4">
        <w:rPr>
          <w:rFonts w:ascii="Times" w:hAnsi="Times"/>
        </w:rPr>
        <w:fldChar w:fldCharType="begin"/>
      </w:r>
      <w:r w:rsidRPr="00C421E4">
        <w:rPr>
          <w:rFonts w:ascii="Times" w:hAnsi="Times"/>
        </w:rPr>
        <w:instrText xml:space="preserve"> ADDIN ZOTERO_ITEM CSL_CITATION {"citationID":"2f0m5u7pkv","properties":{"formattedCitation":"(Ketchen Lipson, Gaddis, Heinze, Beck, &amp; Eisenberg, 2015)","plainCitation":"(Ketchen Lipson, Gaddis, Heinze, Beck, &amp; Eisenberg, 2015)"},"citationItems":[{"id":940,"uris":["http://zotero.org/users/4141602/items/6X25S33M"],"uri":["http://zotero.org/users/4141602/items/6X25S33M"],"itemData":{"id":940,"type":"article-journal","title":"Variations in student mental health and treatment utilization across US colleges and universities","container-title":"Journal of American College Health","page":"388-396","volume":"63","issue":"6","author":[{"family":"Ketchen Lipson","given":"Sarah"},{"family":"Gaddis","given":"S. Michael"},{"family":"Heinze","given":"Justin"},{"family":"Beck","given":"Kathryn"},{"family":"Eisenberg","given":"Daniel"}],"issued":{"date-parts":[["2015"]]}}}],"schema":"https://github.com/citation-style-language/schema/raw/master/csl-citation.json"} </w:instrText>
      </w:r>
      <w:r w:rsidRPr="00C421E4">
        <w:rPr>
          <w:rFonts w:ascii="Times" w:hAnsi="Times"/>
        </w:rPr>
        <w:fldChar w:fldCharType="separate"/>
      </w:r>
      <w:r w:rsidRPr="00C421E4">
        <w:rPr>
          <w:rFonts w:ascii="Times" w:hAnsi="Times"/>
          <w:noProof/>
        </w:rPr>
        <w:t>(Ketchen Lipson, Gaddis, Heinze, Beck, &amp; Eisenberg, 2015)</w:t>
      </w:r>
      <w:r w:rsidRPr="00C421E4">
        <w:rPr>
          <w:rFonts w:ascii="Times" w:hAnsi="Times"/>
        </w:rPr>
        <w:fldChar w:fldCharType="end"/>
      </w:r>
      <w:r w:rsidRPr="00C421E4">
        <w:rPr>
          <w:rFonts w:ascii="Times" w:hAnsi="Times"/>
        </w:rPr>
        <w:t xml:space="preserve">. In our sample, participants in both the mTBI group and the non-TBI group had relatively high levels of </w:t>
      </w:r>
      <w:r w:rsidRPr="00C421E4">
        <w:rPr>
          <w:rFonts w:ascii="Times" w:hAnsi="Times"/>
        </w:rPr>
        <w:lastRenderedPageBreak/>
        <w:t xml:space="preserve">depressive symptoms, indicating that our non-TBI sample may not have been an ideal control sample. </w:t>
      </w:r>
    </w:p>
    <w:p w14:paraId="4B930514" w14:textId="77777777" w:rsidR="00F7044C" w:rsidRPr="00C421E4" w:rsidRDefault="00F7044C" w:rsidP="00F7044C">
      <w:pPr>
        <w:widowControl w:val="0"/>
        <w:autoSpaceDE w:val="0"/>
        <w:autoSpaceDN w:val="0"/>
        <w:adjustRightInd w:val="0"/>
        <w:spacing w:line="480" w:lineRule="auto"/>
        <w:rPr>
          <w:rFonts w:ascii="Times" w:hAnsi="Times"/>
        </w:rPr>
      </w:pPr>
    </w:p>
    <w:p w14:paraId="62369D97" w14:textId="77777777" w:rsidR="00F7044C" w:rsidRPr="008710AB"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 xml:space="preserve">11. </w:t>
      </w:r>
      <w:r w:rsidRPr="008710AB">
        <w:rPr>
          <w:rFonts w:ascii="Times" w:hAnsi="Times"/>
          <w:b/>
        </w:rPr>
        <w:t>Conclusions</w:t>
      </w:r>
    </w:p>
    <w:p w14:paraId="64489513"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Previous studies have found risk for mood disturbances, namely depression (and anxiety, to a lesser extent), is increased following an mTBI, even in the chronic stages of injury. The current study investigated whether emotion habituation, both behaviorally and psychophysiologically, is altered in a chronic mTBI population and whether differences in emotion habituation predict mood disturbances. This study also investigated whether emotion reactivity (i.e., the initial emotional reaction to a stimulus) differs between these groups and whether these differences predict mood disturbances. Results indicate that individuals with a history of mTBI habituate more quickly to emotional images behaviorally, but do not exhibit differential psychophysiological habituation. Interestingly, in the full sample, enhanced habituation of Zygomaticus tone to positive images is predictive of poorer mood outcomes, suggesting enhanced habituation may only be normative in response to negative, but not positive, stimuli. We also found the mTBI participants do not exhibit differences from controls in emotional reactivity (either behaviorally or psychophysiologically). However, blunted reactivity (arousal ratings of positive images) was predictive of higher depressive symptoms, consistent with previous work. In conclusion, although there are subtle differences in emotion responses in chronic mTBI participants, these differences do not seem to be associated with mood disturbances. </w:t>
      </w:r>
      <w:r w:rsidRPr="00C421E4">
        <w:rPr>
          <w:rFonts w:ascii="Times" w:hAnsi="Times"/>
        </w:rPr>
        <w:br w:type="page"/>
      </w:r>
    </w:p>
    <w:p w14:paraId="4F8BF755" w14:textId="77777777" w:rsidR="00F7044C" w:rsidRPr="00C421E4" w:rsidRDefault="00F7044C" w:rsidP="00F7044C">
      <w:pPr>
        <w:rPr>
          <w:rFonts w:ascii="Times" w:hAnsi="Tim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610"/>
        <w:gridCol w:w="718"/>
        <w:gridCol w:w="718"/>
        <w:gridCol w:w="706"/>
        <w:gridCol w:w="597"/>
        <w:gridCol w:w="597"/>
        <w:gridCol w:w="597"/>
        <w:gridCol w:w="598"/>
        <w:gridCol w:w="598"/>
        <w:gridCol w:w="598"/>
        <w:gridCol w:w="598"/>
        <w:gridCol w:w="598"/>
      </w:tblGrid>
      <w:tr w:rsidR="00F7044C" w:rsidRPr="00C421E4" w14:paraId="21562721" w14:textId="77777777" w:rsidTr="00804E6B">
        <w:trPr>
          <w:trHeight w:val="320"/>
        </w:trPr>
        <w:tc>
          <w:tcPr>
            <w:tcW w:w="514" w:type="pct"/>
            <w:shd w:val="clear" w:color="auto" w:fill="auto"/>
            <w:noWrap/>
            <w:vAlign w:val="bottom"/>
            <w:hideMark/>
          </w:tcPr>
          <w:p w14:paraId="479C5444" w14:textId="77777777" w:rsidR="00F7044C" w:rsidRPr="00C421E4" w:rsidRDefault="00F7044C" w:rsidP="00804E6B">
            <w:pPr>
              <w:jc w:val="center"/>
              <w:rPr>
                <w:rFonts w:ascii="Times" w:hAnsi="Times"/>
                <w:b/>
              </w:rPr>
            </w:pPr>
            <w:r w:rsidRPr="00C421E4">
              <w:rPr>
                <w:rFonts w:ascii="Times" w:hAnsi="Times"/>
                <w:b/>
              </w:rPr>
              <w:t>Hour</w:t>
            </w:r>
          </w:p>
        </w:tc>
        <w:tc>
          <w:tcPr>
            <w:tcW w:w="363" w:type="pct"/>
            <w:shd w:val="clear" w:color="auto" w:fill="auto"/>
            <w:noWrap/>
            <w:vAlign w:val="bottom"/>
            <w:hideMark/>
          </w:tcPr>
          <w:p w14:paraId="53598D1E" w14:textId="77777777" w:rsidR="00F7044C" w:rsidRPr="00C421E4" w:rsidRDefault="00F7044C" w:rsidP="00804E6B">
            <w:pPr>
              <w:jc w:val="center"/>
              <w:rPr>
                <w:rFonts w:ascii="Times" w:hAnsi="Times"/>
                <w:b/>
              </w:rPr>
            </w:pPr>
            <w:r w:rsidRPr="00C421E4">
              <w:rPr>
                <w:rFonts w:ascii="Times" w:hAnsi="Times"/>
                <w:b/>
              </w:rPr>
              <w:t>9</w:t>
            </w:r>
          </w:p>
        </w:tc>
        <w:tc>
          <w:tcPr>
            <w:tcW w:w="426" w:type="pct"/>
            <w:shd w:val="clear" w:color="auto" w:fill="auto"/>
            <w:noWrap/>
            <w:vAlign w:val="bottom"/>
            <w:hideMark/>
          </w:tcPr>
          <w:p w14:paraId="2D879EA0" w14:textId="77777777" w:rsidR="00F7044C" w:rsidRPr="00C421E4" w:rsidRDefault="00F7044C" w:rsidP="00804E6B">
            <w:pPr>
              <w:jc w:val="center"/>
              <w:rPr>
                <w:rFonts w:ascii="Times" w:hAnsi="Times"/>
                <w:b/>
              </w:rPr>
            </w:pPr>
            <w:r w:rsidRPr="00C421E4">
              <w:rPr>
                <w:rFonts w:ascii="Times" w:hAnsi="Times"/>
                <w:b/>
              </w:rPr>
              <w:t>10</w:t>
            </w:r>
          </w:p>
        </w:tc>
        <w:tc>
          <w:tcPr>
            <w:tcW w:w="426" w:type="pct"/>
            <w:shd w:val="clear" w:color="auto" w:fill="auto"/>
            <w:noWrap/>
            <w:vAlign w:val="bottom"/>
            <w:hideMark/>
          </w:tcPr>
          <w:p w14:paraId="46DD3B16" w14:textId="77777777" w:rsidR="00F7044C" w:rsidRPr="00C421E4" w:rsidRDefault="00F7044C" w:rsidP="00804E6B">
            <w:pPr>
              <w:jc w:val="center"/>
              <w:rPr>
                <w:rFonts w:ascii="Times" w:hAnsi="Times"/>
                <w:b/>
              </w:rPr>
            </w:pPr>
            <w:r w:rsidRPr="00C421E4">
              <w:rPr>
                <w:rFonts w:ascii="Times" w:hAnsi="Times"/>
                <w:b/>
              </w:rPr>
              <w:t>11</w:t>
            </w:r>
          </w:p>
        </w:tc>
        <w:tc>
          <w:tcPr>
            <w:tcW w:w="419" w:type="pct"/>
            <w:shd w:val="clear" w:color="auto" w:fill="auto"/>
            <w:noWrap/>
            <w:vAlign w:val="bottom"/>
            <w:hideMark/>
          </w:tcPr>
          <w:p w14:paraId="3030A877" w14:textId="77777777" w:rsidR="00F7044C" w:rsidRPr="00C421E4" w:rsidRDefault="00F7044C" w:rsidP="00804E6B">
            <w:pPr>
              <w:jc w:val="center"/>
              <w:rPr>
                <w:rFonts w:ascii="Times" w:hAnsi="Times"/>
                <w:b/>
              </w:rPr>
            </w:pPr>
            <w:r w:rsidRPr="00C421E4">
              <w:rPr>
                <w:rFonts w:ascii="Times" w:hAnsi="Times"/>
                <w:b/>
              </w:rPr>
              <w:t>12</w:t>
            </w:r>
          </w:p>
        </w:tc>
        <w:tc>
          <w:tcPr>
            <w:tcW w:w="356" w:type="pct"/>
            <w:shd w:val="clear" w:color="auto" w:fill="auto"/>
            <w:noWrap/>
            <w:vAlign w:val="bottom"/>
            <w:hideMark/>
          </w:tcPr>
          <w:p w14:paraId="55BB9F2B" w14:textId="77777777" w:rsidR="00F7044C" w:rsidRPr="00C421E4" w:rsidRDefault="00F7044C" w:rsidP="00804E6B">
            <w:pPr>
              <w:jc w:val="center"/>
              <w:rPr>
                <w:rFonts w:ascii="Times" w:hAnsi="Times"/>
                <w:b/>
              </w:rPr>
            </w:pPr>
            <w:r w:rsidRPr="00C421E4">
              <w:rPr>
                <w:rFonts w:ascii="Times" w:hAnsi="Times"/>
                <w:b/>
              </w:rPr>
              <w:t>13</w:t>
            </w:r>
          </w:p>
        </w:tc>
        <w:tc>
          <w:tcPr>
            <w:tcW w:w="356" w:type="pct"/>
            <w:shd w:val="clear" w:color="auto" w:fill="auto"/>
            <w:noWrap/>
            <w:vAlign w:val="bottom"/>
            <w:hideMark/>
          </w:tcPr>
          <w:p w14:paraId="19D60878" w14:textId="77777777" w:rsidR="00F7044C" w:rsidRPr="00C421E4" w:rsidRDefault="00F7044C" w:rsidP="00804E6B">
            <w:pPr>
              <w:jc w:val="center"/>
              <w:rPr>
                <w:rFonts w:ascii="Times" w:hAnsi="Times"/>
                <w:b/>
              </w:rPr>
            </w:pPr>
            <w:r w:rsidRPr="00C421E4">
              <w:rPr>
                <w:rFonts w:ascii="Times" w:hAnsi="Times"/>
                <w:b/>
              </w:rPr>
              <w:t>14</w:t>
            </w:r>
          </w:p>
        </w:tc>
        <w:tc>
          <w:tcPr>
            <w:tcW w:w="356" w:type="pct"/>
            <w:shd w:val="clear" w:color="auto" w:fill="auto"/>
            <w:noWrap/>
            <w:vAlign w:val="bottom"/>
            <w:hideMark/>
          </w:tcPr>
          <w:p w14:paraId="430FA0E3" w14:textId="77777777" w:rsidR="00F7044C" w:rsidRPr="00C421E4" w:rsidRDefault="00F7044C" w:rsidP="00804E6B">
            <w:pPr>
              <w:jc w:val="center"/>
              <w:rPr>
                <w:rFonts w:ascii="Times" w:hAnsi="Times"/>
                <w:b/>
              </w:rPr>
            </w:pPr>
            <w:r w:rsidRPr="00C421E4">
              <w:rPr>
                <w:rFonts w:ascii="Times" w:hAnsi="Times"/>
                <w:b/>
              </w:rPr>
              <w:t>15</w:t>
            </w:r>
          </w:p>
        </w:tc>
        <w:tc>
          <w:tcPr>
            <w:tcW w:w="356" w:type="pct"/>
            <w:shd w:val="clear" w:color="auto" w:fill="auto"/>
            <w:noWrap/>
            <w:vAlign w:val="bottom"/>
            <w:hideMark/>
          </w:tcPr>
          <w:p w14:paraId="499BEE45" w14:textId="77777777" w:rsidR="00F7044C" w:rsidRPr="00C421E4" w:rsidRDefault="00F7044C" w:rsidP="00804E6B">
            <w:pPr>
              <w:jc w:val="center"/>
              <w:rPr>
                <w:rFonts w:ascii="Times" w:hAnsi="Times"/>
                <w:b/>
              </w:rPr>
            </w:pPr>
            <w:r w:rsidRPr="00C421E4">
              <w:rPr>
                <w:rFonts w:ascii="Times" w:hAnsi="Times"/>
                <w:b/>
              </w:rPr>
              <w:t>16</w:t>
            </w:r>
          </w:p>
        </w:tc>
        <w:tc>
          <w:tcPr>
            <w:tcW w:w="356" w:type="pct"/>
            <w:shd w:val="clear" w:color="auto" w:fill="auto"/>
            <w:noWrap/>
            <w:vAlign w:val="bottom"/>
            <w:hideMark/>
          </w:tcPr>
          <w:p w14:paraId="7E10A3AE" w14:textId="77777777" w:rsidR="00F7044C" w:rsidRPr="00C421E4" w:rsidRDefault="00F7044C" w:rsidP="00804E6B">
            <w:pPr>
              <w:jc w:val="center"/>
              <w:rPr>
                <w:rFonts w:ascii="Times" w:hAnsi="Times"/>
                <w:b/>
              </w:rPr>
            </w:pPr>
            <w:r w:rsidRPr="00C421E4">
              <w:rPr>
                <w:rFonts w:ascii="Times" w:hAnsi="Times"/>
                <w:b/>
              </w:rPr>
              <w:t>17</w:t>
            </w:r>
          </w:p>
        </w:tc>
        <w:tc>
          <w:tcPr>
            <w:tcW w:w="356" w:type="pct"/>
            <w:shd w:val="clear" w:color="auto" w:fill="auto"/>
            <w:noWrap/>
            <w:vAlign w:val="bottom"/>
            <w:hideMark/>
          </w:tcPr>
          <w:p w14:paraId="5F644983" w14:textId="77777777" w:rsidR="00F7044C" w:rsidRPr="00C421E4" w:rsidRDefault="00F7044C" w:rsidP="00804E6B">
            <w:pPr>
              <w:jc w:val="center"/>
              <w:rPr>
                <w:rFonts w:ascii="Times" w:hAnsi="Times"/>
                <w:b/>
              </w:rPr>
            </w:pPr>
            <w:r w:rsidRPr="00C421E4">
              <w:rPr>
                <w:rFonts w:ascii="Times" w:hAnsi="Times"/>
                <w:b/>
              </w:rPr>
              <w:t>18</w:t>
            </w:r>
          </w:p>
        </w:tc>
        <w:tc>
          <w:tcPr>
            <w:tcW w:w="356" w:type="pct"/>
            <w:shd w:val="clear" w:color="auto" w:fill="auto"/>
            <w:noWrap/>
            <w:vAlign w:val="bottom"/>
            <w:hideMark/>
          </w:tcPr>
          <w:p w14:paraId="256517CF" w14:textId="77777777" w:rsidR="00F7044C" w:rsidRPr="00C421E4" w:rsidRDefault="00F7044C" w:rsidP="00804E6B">
            <w:pPr>
              <w:jc w:val="center"/>
              <w:rPr>
                <w:rFonts w:ascii="Times" w:hAnsi="Times"/>
                <w:b/>
              </w:rPr>
            </w:pPr>
            <w:r w:rsidRPr="00C421E4">
              <w:rPr>
                <w:rFonts w:ascii="Times" w:hAnsi="Times"/>
                <w:b/>
              </w:rPr>
              <w:t>19</w:t>
            </w:r>
          </w:p>
        </w:tc>
        <w:tc>
          <w:tcPr>
            <w:tcW w:w="356" w:type="pct"/>
            <w:shd w:val="clear" w:color="auto" w:fill="auto"/>
            <w:noWrap/>
            <w:vAlign w:val="bottom"/>
            <w:hideMark/>
          </w:tcPr>
          <w:p w14:paraId="324F2549" w14:textId="77777777" w:rsidR="00F7044C" w:rsidRPr="00C421E4" w:rsidRDefault="00F7044C" w:rsidP="00804E6B">
            <w:pPr>
              <w:jc w:val="center"/>
              <w:rPr>
                <w:rFonts w:ascii="Times" w:hAnsi="Times"/>
                <w:b/>
              </w:rPr>
            </w:pPr>
            <w:r w:rsidRPr="00C421E4">
              <w:rPr>
                <w:rFonts w:ascii="Times" w:hAnsi="Times"/>
                <w:b/>
              </w:rPr>
              <w:t>20</w:t>
            </w:r>
          </w:p>
        </w:tc>
      </w:tr>
      <w:tr w:rsidR="00F7044C" w:rsidRPr="00C421E4" w14:paraId="3BF39996" w14:textId="77777777" w:rsidTr="00804E6B">
        <w:trPr>
          <w:trHeight w:val="350"/>
        </w:trPr>
        <w:tc>
          <w:tcPr>
            <w:tcW w:w="514" w:type="pct"/>
            <w:shd w:val="clear" w:color="auto" w:fill="auto"/>
            <w:noWrap/>
            <w:vAlign w:val="bottom"/>
            <w:hideMark/>
          </w:tcPr>
          <w:p w14:paraId="0127ED04" w14:textId="77777777" w:rsidR="00F7044C" w:rsidRPr="00C421E4" w:rsidRDefault="00F7044C" w:rsidP="00804E6B">
            <w:pPr>
              <w:jc w:val="center"/>
              <w:rPr>
                <w:rFonts w:ascii="Times" w:hAnsi="Times"/>
                <w:b/>
              </w:rPr>
            </w:pPr>
            <w:r w:rsidRPr="00C421E4">
              <w:rPr>
                <w:rFonts w:ascii="Times" w:hAnsi="Times"/>
                <w:b/>
              </w:rPr>
              <w:t>non-TBI</w:t>
            </w:r>
          </w:p>
        </w:tc>
        <w:tc>
          <w:tcPr>
            <w:tcW w:w="363" w:type="pct"/>
            <w:shd w:val="clear" w:color="auto" w:fill="auto"/>
            <w:noWrap/>
            <w:vAlign w:val="bottom"/>
            <w:hideMark/>
          </w:tcPr>
          <w:p w14:paraId="73BC65A0" w14:textId="77777777" w:rsidR="00F7044C" w:rsidRPr="00C421E4" w:rsidRDefault="00F7044C" w:rsidP="00804E6B">
            <w:pPr>
              <w:jc w:val="center"/>
              <w:rPr>
                <w:rFonts w:ascii="Times" w:hAnsi="Times"/>
              </w:rPr>
            </w:pPr>
            <w:r w:rsidRPr="00C421E4">
              <w:rPr>
                <w:rFonts w:ascii="Times" w:hAnsi="Times"/>
              </w:rPr>
              <w:t>4</w:t>
            </w:r>
          </w:p>
        </w:tc>
        <w:tc>
          <w:tcPr>
            <w:tcW w:w="426" w:type="pct"/>
            <w:shd w:val="clear" w:color="auto" w:fill="auto"/>
            <w:noWrap/>
            <w:vAlign w:val="bottom"/>
            <w:hideMark/>
          </w:tcPr>
          <w:p w14:paraId="1D93ADA7" w14:textId="77777777" w:rsidR="00F7044C" w:rsidRPr="00C421E4" w:rsidRDefault="00F7044C" w:rsidP="00804E6B">
            <w:pPr>
              <w:jc w:val="center"/>
              <w:rPr>
                <w:rFonts w:ascii="Times" w:hAnsi="Times"/>
              </w:rPr>
            </w:pPr>
            <w:r w:rsidRPr="00C421E4">
              <w:rPr>
                <w:rFonts w:ascii="Times" w:hAnsi="Times"/>
              </w:rPr>
              <w:t>4</w:t>
            </w:r>
          </w:p>
        </w:tc>
        <w:tc>
          <w:tcPr>
            <w:tcW w:w="426" w:type="pct"/>
            <w:shd w:val="clear" w:color="auto" w:fill="auto"/>
            <w:noWrap/>
            <w:vAlign w:val="bottom"/>
            <w:hideMark/>
          </w:tcPr>
          <w:p w14:paraId="4579AEB8" w14:textId="77777777" w:rsidR="00F7044C" w:rsidRPr="00C421E4" w:rsidRDefault="00F7044C" w:rsidP="00804E6B">
            <w:pPr>
              <w:jc w:val="center"/>
              <w:rPr>
                <w:rFonts w:ascii="Times" w:hAnsi="Times"/>
              </w:rPr>
            </w:pPr>
            <w:r w:rsidRPr="00C421E4">
              <w:rPr>
                <w:rFonts w:ascii="Times" w:hAnsi="Times"/>
              </w:rPr>
              <w:t>4</w:t>
            </w:r>
          </w:p>
        </w:tc>
        <w:tc>
          <w:tcPr>
            <w:tcW w:w="419" w:type="pct"/>
            <w:shd w:val="clear" w:color="auto" w:fill="auto"/>
            <w:noWrap/>
            <w:vAlign w:val="bottom"/>
            <w:hideMark/>
          </w:tcPr>
          <w:p w14:paraId="68309485"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2ABE9DB1" w14:textId="77777777" w:rsidR="00F7044C" w:rsidRPr="00C421E4" w:rsidRDefault="00F7044C" w:rsidP="00804E6B">
            <w:pPr>
              <w:jc w:val="center"/>
              <w:rPr>
                <w:rFonts w:ascii="Times" w:hAnsi="Times"/>
              </w:rPr>
            </w:pPr>
            <w:r w:rsidRPr="00C421E4">
              <w:rPr>
                <w:rFonts w:ascii="Times" w:hAnsi="Times"/>
              </w:rPr>
              <w:t>3</w:t>
            </w:r>
          </w:p>
        </w:tc>
        <w:tc>
          <w:tcPr>
            <w:tcW w:w="356" w:type="pct"/>
            <w:shd w:val="clear" w:color="auto" w:fill="auto"/>
            <w:noWrap/>
            <w:vAlign w:val="bottom"/>
            <w:hideMark/>
          </w:tcPr>
          <w:p w14:paraId="6DB44DF0"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391EEAB2" w14:textId="77777777" w:rsidR="00F7044C" w:rsidRPr="00C421E4" w:rsidRDefault="00F7044C" w:rsidP="00804E6B">
            <w:pPr>
              <w:jc w:val="center"/>
              <w:rPr>
                <w:rFonts w:ascii="Times" w:hAnsi="Times"/>
              </w:rPr>
            </w:pPr>
            <w:r w:rsidRPr="00C421E4">
              <w:rPr>
                <w:rFonts w:ascii="Times" w:hAnsi="Times"/>
              </w:rPr>
              <w:t>3</w:t>
            </w:r>
          </w:p>
        </w:tc>
        <w:tc>
          <w:tcPr>
            <w:tcW w:w="356" w:type="pct"/>
            <w:shd w:val="clear" w:color="auto" w:fill="auto"/>
            <w:noWrap/>
            <w:vAlign w:val="bottom"/>
            <w:hideMark/>
          </w:tcPr>
          <w:p w14:paraId="721E87E7"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18508F93"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65A0A82E"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5F60EC3D" w14:textId="77777777" w:rsidR="00F7044C" w:rsidRPr="00C421E4" w:rsidRDefault="00F7044C" w:rsidP="00804E6B">
            <w:pPr>
              <w:jc w:val="center"/>
              <w:rPr>
                <w:rFonts w:ascii="Times" w:hAnsi="Times"/>
              </w:rPr>
            </w:pPr>
            <w:r w:rsidRPr="00C421E4">
              <w:rPr>
                <w:rFonts w:ascii="Times" w:hAnsi="Times"/>
              </w:rPr>
              <w:t>3</w:t>
            </w:r>
          </w:p>
        </w:tc>
        <w:tc>
          <w:tcPr>
            <w:tcW w:w="356" w:type="pct"/>
            <w:shd w:val="clear" w:color="auto" w:fill="auto"/>
            <w:noWrap/>
            <w:vAlign w:val="bottom"/>
            <w:hideMark/>
          </w:tcPr>
          <w:p w14:paraId="2453BFD8" w14:textId="77777777" w:rsidR="00F7044C" w:rsidRPr="00C421E4" w:rsidRDefault="00F7044C" w:rsidP="00804E6B">
            <w:pPr>
              <w:jc w:val="center"/>
              <w:rPr>
                <w:rFonts w:ascii="Times" w:hAnsi="Times"/>
              </w:rPr>
            </w:pPr>
            <w:r w:rsidRPr="00C421E4">
              <w:rPr>
                <w:rFonts w:ascii="Times" w:hAnsi="Times"/>
              </w:rPr>
              <w:t>4</w:t>
            </w:r>
          </w:p>
        </w:tc>
      </w:tr>
      <w:tr w:rsidR="00F7044C" w:rsidRPr="00C421E4" w14:paraId="614B564F" w14:textId="77777777" w:rsidTr="00804E6B">
        <w:trPr>
          <w:trHeight w:val="320"/>
        </w:trPr>
        <w:tc>
          <w:tcPr>
            <w:tcW w:w="514" w:type="pct"/>
            <w:shd w:val="clear" w:color="auto" w:fill="auto"/>
            <w:noWrap/>
            <w:vAlign w:val="bottom"/>
            <w:hideMark/>
          </w:tcPr>
          <w:p w14:paraId="0B57DA59" w14:textId="77777777" w:rsidR="00F7044C" w:rsidRPr="00C421E4" w:rsidRDefault="00F7044C" w:rsidP="00804E6B">
            <w:pPr>
              <w:jc w:val="center"/>
              <w:rPr>
                <w:rFonts w:ascii="Times" w:hAnsi="Times"/>
                <w:b/>
              </w:rPr>
            </w:pPr>
            <w:r w:rsidRPr="00C421E4">
              <w:rPr>
                <w:rFonts w:ascii="Times" w:hAnsi="Times"/>
                <w:b/>
              </w:rPr>
              <w:t>mTBI</w:t>
            </w:r>
          </w:p>
        </w:tc>
        <w:tc>
          <w:tcPr>
            <w:tcW w:w="363" w:type="pct"/>
            <w:shd w:val="clear" w:color="auto" w:fill="auto"/>
            <w:noWrap/>
            <w:vAlign w:val="bottom"/>
            <w:hideMark/>
          </w:tcPr>
          <w:p w14:paraId="44604D6A" w14:textId="77777777" w:rsidR="00F7044C" w:rsidRPr="00C421E4" w:rsidRDefault="00F7044C" w:rsidP="00804E6B">
            <w:pPr>
              <w:jc w:val="center"/>
              <w:rPr>
                <w:rFonts w:ascii="Times" w:hAnsi="Times"/>
              </w:rPr>
            </w:pPr>
            <w:r w:rsidRPr="00C421E4">
              <w:rPr>
                <w:rFonts w:ascii="Times" w:hAnsi="Times"/>
              </w:rPr>
              <w:t>4</w:t>
            </w:r>
          </w:p>
        </w:tc>
        <w:tc>
          <w:tcPr>
            <w:tcW w:w="426" w:type="pct"/>
            <w:shd w:val="clear" w:color="auto" w:fill="auto"/>
            <w:noWrap/>
            <w:vAlign w:val="bottom"/>
            <w:hideMark/>
          </w:tcPr>
          <w:p w14:paraId="3D86C77B" w14:textId="77777777" w:rsidR="00F7044C" w:rsidRPr="00C421E4" w:rsidRDefault="00F7044C" w:rsidP="00804E6B">
            <w:pPr>
              <w:jc w:val="center"/>
              <w:rPr>
                <w:rFonts w:ascii="Times" w:hAnsi="Times"/>
              </w:rPr>
            </w:pPr>
            <w:r w:rsidRPr="00C421E4">
              <w:rPr>
                <w:rFonts w:ascii="Times" w:hAnsi="Times"/>
              </w:rPr>
              <w:t>4</w:t>
            </w:r>
          </w:p>
        </w:tc>
        <w:tc>
          <w:tcPr>
            <w:tcW w:w="426" w:type="pct"/>
            <w:shd w:val="clear" w:color="auto" w:fill="auto"/>
            <w:noWrap/>
            <w:vAlign w:val="bottom"/>
            <w:hideMark/>
          </w:tcPr>
          <w:p w14:paraId="769F89B4" w14:textId="77777777" w:rsidR="00F7044C" w:rsidRPr="00C421E4" w:rsidRDefault="00F7044C" w:rsidP="00804E6B">
            <w:pPr>
              <w:jc w:val="center"/>
              <w:rPr>
                <w:rFonts w:ascii="Times" w:hAnsi="Times"/>
              </w:rPr>
            </w:pPr>
            <w:r w:rsidRPr="00C421E4">
              <w:rPr>
                <w:rFonts w:ascii="Times" w:hAnsi="Times"/>
              </w:rPr>
              <w:t>4</w:t>
            </w:r>
          </w:p>
        </w:tc>
        <w:tc>
          <w:tcPr>
            <w:tcW w:w="419" w:type="pct"/>
            <w:shd w:val="clear" w:color="auto" w:fill="auto"/>
            <w:noWrap/>
            <w:vAlign w:val="bottom"/>
            <w:hideMark/>
          </w:tcPr>
          <w:p w14:paraId="6172BE4B"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09FB1F7D"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01F3A288" w14:textId="77777777" w:rsidR="00F7044C" w:rsidRPr="00C421E4" w:rsidRDefault="00F7044C" w:rsidP="00804E6B">
            <w:pPr>
              <w:jc w:val="center"/>
              <w:rPr>
                <w:rFonts w:ascii="Times" w:hAnsi="Times"/>
              </w:rPr>
            </w:pPr>
            <w:r w:rsidRPr="00C421E4">
              <w:rPr>
                <w:rFonts w:ascii="Times" w:hAnsi="Times"/>
              </w:rPr>
              <w:t>3</w:t>
            </w:r>
          </w:p>
        </w:tc>
        <w:tc>
          <w:tcPr>
            <w:tcW w:w="356" w:type="pct"/>
            <w:shd w:val="clear" w:color="auto" w:fill="auto"/>
            <w:noWrap/>
            <w:vAlign w:val="bottom"/>
            <w:hideMark/>
          </w:tcPr>
          <w:p w14:paraId="7AAEDDA5"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217A0386"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60E5EA8B"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6F63BF8B" w14:textId="77777777" w:rsidR="00F7044C" w:rsidRPr="00C421E4" w:rsidRDefault="00F7044C" w:rsidP="00804E6B">
            <w:pPr>
              <w:jc w:val="center"/>
              <w:rPr>
                <w:rFonts w:ascii="Times" w:hAnsi="Times"/>
              </w:rPr>
            </w:pPr>
            <w:r w:rsidRPr="00C421E4">
              <w:rPr>
                <w:rFonts w:ascii="Times" w:hAnsi="Times"/>
              </w:rPr>
              <w:t>4</w:t>
            </w:r>
          </w:p>
        </w:tc>
        <w:tc>
          <w:tcPr>
            <w:tcW w:w="356" w:type="pct"/>
            <w:shd w:val="clear" w:color="auto" w:fill="auto"/>
            <w:noWrap/>
            <w:vAlign w:val="bottom"/>
            <w:hideMark/>
          </w:tcPr>
          <w:p w14:paraId="60B82AA9" w14:textId="77777777" w:rsidR="00F7044C" w:rsidRPr="00C421E4" w:rsidRDefault="00F7044C" w:rsidP="00804E6B">
            <w:pPr>
              <w:jc w:val="center"/>
              <w:rPr>
                <w:rFonts w:ascii="Times" w:hAnsi="Times"/>
              </w:rPr>
            </w:pPr>
            <w:r w:rsidRPr="00C421E4">
              <w:rPr>
                <w:rFonts w:ascii="Times" w:hAnsi="Times"/>
              </w:rPr>
              <w:t>3</w:t>
            </w:r>
          </w:p>
        </w:tc>
        <w:tc>
          <w:tcPr>
            <w:tcW w:w="356" w:type="pct"/>
            <w:shd w:val="clear" w:color="auto" w:fill="auto"/>
            <w:noWrap/>
            <w:vAlign w:val="bottom"/>
            <w:hideMark/>
          </w:tcPr>
          <w:p w14:paraId="14497648" w14:textId="77777777" w:rsidR="00F7044C" w:rsidRPr="00C421E4" w:rsidRDefault="00F7044C" w:rsidP="00804E6B">
            <w:pPr>
              <w:jc w:val="center"/>
              <w:rPr>
                <w:rFonts w:ascii="Times" w:hAnsi="Times"/>
              </w:rPr>
            </w:pPr>
            <w:r w:rsidRPr="00C421E4">
              <w:rPr>
                <w:rFonts w:ascii="Times" w:hAnsi="Times"/>
              </w:rPr>
              <w:t>3</w:t>
            </w:r>
          </w:p>
        </w:tc>
      </w:tr>
    </w:tbl>
    <w:p w14:paraId="223B10B5" w14:textId="77777777" w:rsidR="00F7044C" w:rsidRPr="00C421E4" w:rsidRDefault="00F7044C" w:rsidP="00F7044C">
      <w:pPr>
        <w:widowControl w:val="0"/>
        <w:autoSpaceDE w:val="0"/>
        <w:autoSpaceDN w:val="0"/>
        <w:adjustRightInd w:val="0"/>
        <w:spacing w:line="480" w:lineRule="auto"/>
        <w:rPr>
          <w:rFonts w:ascii="Times" w:hAnsi="Times"/>
        </w:rPr>
      </w:pPr>
    </w:p>
    <w:p w14:paraId="4EFCBAD5" w14:textId="77777777" w:rsidR="00F7044C" w:rsidRPr="00C421E4" w:rsidRDefault="00F7044C" w:rsidP="00F7044C">
      <w:pPr>
        <w:widowControl w:val="0"/>
        <w:autoSpaceDE w:val="0"/>
        <w:autoSpaceDN w:val="0"/>
        <w:adjustRightInd w:val="0"/>
        <w:spacing w:line="480" w:lineRule="auto"/>
        <w:rPr>
          <w:rFonts w:ascii="Times" w:hAnsi="Times"/>
        </w:rPr>
      </w:pPr>
      <w:r>
        <w:rPr>
          <w:rFonts w:ascii="Times" w:hAnsi="Times"/>
        </w:rPr>
        <w:t>Table 1</w:t>
      </w:r>
      <w:r w:rsidRPr="00C421E4">
        <w:rPr>
          <w:rFonts w:ascii="Times" w:hAnsi="Times"/>
        </w:rPr>
        <w:t xml:space="preserve">: Circadian testing distribution. Roughly 4 participants in each group were tested at each hour.  </w:t>
      </w:r>
    </w:p>
    <w:p w14:paraId="5098575E" w14:textId="77777777" w:rsidR="00F7044C" w:rsidRPr="00C421E4" w:rsidRDefault="00F7044C" w:rsidP="00F7044C">
      <w:pPr>
        <w:rPr>
          <w:rFonts w:ascii="Times" w:hAnsi="Times"/>
        </w:rPr>
      </w:pPr>
      <w:r w:rsidRPr="00C421E4">
        <w:rPr>
          <w:rFonts w:ascii="Times" w:hAnsi="Times"/>
        </w:rPr>
        <w:br w:type="page"/>
      </w:r>
    </w:p>
    <w:p w14:paraId="7F5C90C1" w14:textId="77777777" w:rsidR="00F7044C" w:rsidRPr="00C421E4" w:rsidRDefault="00F7044C" w:rsidP="00F7044C">
      <w:pPr>
        <w:rPr>
          <w:rFonts w:ascii="Times" w:hAnsi="Times"/>
        </w:rPr>
      </w:pPr>
    </w:p>
    <w:tbl>
      <w:tblPr>
        <w:tblStyle w:val="TableGrid"/>
        <w:tblW w:w="9738" w:type="dxa"/>
        <w:tblLook w:val="06A0" w:firstRow="1" w:lastRow="0" w:firstColumn="1" w:lastColumn="0" w:noHBand="1" w:noVBand="1"/>
      </w:tblPr>
      <w:tblGrid>
        <w:gridCol w:w="3348"/>
        <w:gridCol w:w="2006"/>
        <w:gridCol w:w="1746"/>
        <w:gridCol w:w="1319"/>
        <w:gridCol w:w="1319"/>
      </w:tblGrid>
      <w:tr w:rsidR="00F7044C" w:rsidRPr="00C421E4" w14:paraId="06A6A200" w14:textId="77777777" w:rsidTr="00804E6B">
        <w:trPr>
          <w:trHeight w:val="269"/>
        </w:trPr>
        <w:tc>
          <w:tcPr>
            <w:tcW w:w="3348" w:type="dxa"/>
            <w:vAlign w:val="center"/>
            <w:hideMark/>
          </w:tcPr>
          <w:p w14:paraId="1D2A33A0" w14:textId="77777777" w:rsidR="00F7044C" w:rsidRPr="00C421E4" w:rsidRDefault="00F7044C" w:rsidP="00804E6B">
            <w:pPr>
              <w:rPr>
                <w:rFonts w:ascii="Times" w:eastAsia="Times New Roman" w:hAnsi="Times"/>
              </w:rPr>
            </w:pPr>
          </w:p>
        </w:tc>
        <w:tc>
          <w:tcPr>
            <w:tcW w:w="2006" w:type="dxa"/>
          </w:tcPr>
          <w:p w14:paraId="770B502C" w14:textId="77777777" w:rsidR="00F7044C" w:rsidRPr="00C421E4" w:rsidRDefault="00F7044C" w:rsidP="00804E6B">
            <w:pPr>
              <w:jc w:val="center"/>
              <w:rPr>
                <w:rFonts w:ascii="Times" w:eastAsia="Times New Roman" w:hAnsi="Times"/>
              </w:rPr>
            </w:pPr>
            <w:r w:rsidRPr="00C421E4">
              <w:rPr>
                <w:rFonts w:ascii="Times" w:eastAsia="Times New Roman" w:hAnsi="Times"/>
              </w:rPr>
              <w:t>Non-TBI</w:t>
            </w:r>
          </w:p>
        </w:tc>
        <w:tc>
          <w:tcPr>
            <w:tcW w:w="1746" w:type="dxa"/>
            <w:vAlign w:val="center"/>
            <w:hideMark/>
          </w:tcPr>
          <w:p w14:paraId="080F9A07" w14:textId="77777777" w:rsidR="00F7044C" w:rsidRPr="00C421E4" w:rsidRDefault="00F7044C" w:rsidP="00804E6B">
            <w:pPr>
              <w:jc w:val="center"/>
              <w:rPr>
                <w:rFonts w:ascii="Times" w:eastAsia="Times New Roman" w:hAnsi="Times"/>
              </w:rPr>
            </w:pPr>
            <w:r w:rsidRPr="00C421E4">
              <w:rPr>
                <w:rFonts w:ascii="Times" w:eastAsia="Times New Roman" w:hAnsi="Times"/>
              </w:rPr>
              <w:t>mTBI</w:t>
            </w:r>
          </w:p>
        </w:tc>
        <w:tc>
          <w:tcPr>
            <w:tcW w:w="1319" w:type="dxa"/>
            <w:vAlign w:val="center"/>
          </w:tcPr>
          <w:p w14:paraId="5994C3B3" w14:textId="77777777" w:rsidR="00F7044C" w:rsidRPr="00C421E4" w:rsidRDefault="00F7044C" w:rsidP="00804E6B">
            <w:pPr>
              <w:jc w:val="center"/>
              <w:rPr>
                <w:rFonts w:ascii="Times" w:eastAsia="Times New Roman" w:hAnsi="Times"/>
              </w:rPr>
            </w:pPr>
            <w:r w:rsidRPr="00C421E4">
              <w:rPr>
                <w:rFonts w:ascii="Times" w:eastAsia="Times New Roman" w:hAnsi="Times"/>
              </w:rPr>
              <w:t>t-value</w:t>
            </w:r>
          </w:p>
        </w:tc>
        <w:tc>
          <w:tcPr>
            <w:tcW w:w="1319" w:type="dxa"/>
            <w:vAlign w:val="center"/>
          </w:tcPr>
          <w:p w14:paraId="3B249CF8" w14:textId="77777777" w:rsidR="00F7044C" w:rsidRPr="00C421E4" w:rsidRDefault="00F7044C" w:rsidP="00804E6B">
            <w:pPr>
              <w:jc w:val="center"/>
              <w:rPr>
                <w:rFonts w:ascii="Times" w:eastAsia="Times New Roman" w:hAnsi="Times"/>
              </w:rPr>
            </w:pPr>
            <w:r w:rsidRPr="00C421E4">
              <w:rPr>
                <w:rFonts w:ascii="Times" w:eastAsia="Times New Roman" w:hAnsi="Times"/>
              </w:rPr>
              <w:t>p-value</w:t>
            </w:r>
          </w:p>
        </w:tc>
      </w:tr>
      <w:tr w:rsidR="00F7044C" w:rsidRPr="00C421E4" w14:paraId="0BB0A925" w14:textId="77777777" w:rsidTr="00804E6B">
        <w:tc>
          <w:tcPr>
            <w:tcW w:w="3348" w:type="dxa"/>
            <w:vAlign w:val="center"/>
            <w:hideMark/>
          </w:tcPr>
          <w:p w14:paraId="41A18D8D" w14:textId="77777777" w:rsidR="00F7044C" w:rsidRPr="00C421E4" w:rsidRDefault="00F7044C" w:rsidP="00804E6B">
            <w:pPr>
              <w:jc w:val="center"/>
              <w:rPr>
                <w:rFonts w:ascii="Times" w:eastAsia="Times New Roman" w:hAnsi="Times"/>
              </w:rPr>
            </w:pPr>
            <w:r w:rsidRPr="00C421E4">
              <w:rPr>
                <w:rFonts w:ascii="Times" w:eastAsia="Times New Roman" w:hAnsi="Times"/>
              </w:rPr>
              <w:t>Age</w:t>
            </w:r>
          </w:p>
        </w:tc>
        <w:tc>
          <w:tcPr>
            <w:tcW w:w="2006" w:type="dxa"/>
            <w:vAlign w:val="center"/>
          </w:tcPr>
          <w:p w14:paraId="6DC032DC" w14:textId="77777777" w:rsidR="00F7044C" w:rsidRPr="00C421E4" w:rsidRDefault="00F7044C" w:rsidP="00804E6B">
            <w:pPr>
              <w:jc w:val="center"/>
              <w:rPr>
                <w:rFonts w:ascii="Times" w:eastAsia="Times New Roman" w:hAnsi="Times"/>
              </w:rPr>
            </w:pPr>
            <w:r w:rsidRPr="00C421E4">
              <w:rPr>
                <w:rFonts w:ascii="Times" w:eastAsia="Times New Roman" w:hAnsi="Times"/>
              </w:rPr>
              <w:t>19.89</w:t>
            </w:r>
            <w:r w:rsidRPr="00C421E4">
              <w:rPr>
                <w:rFonts w:ascii="Times" w:eastAsia="Times New Roman" w:hAnsi="Times"/>
              </w:rPr>
              <w:sym w:font="Symbol" w:char="F0B1"/>
            </w:r>
            <w:r w:rsidRPr="00C421E4">
              <w:rPr>
                <w:rFonts w:ascii="Times" w:eastAsia="Times New Roman" w:hAnsi="Times"/>
              </w:rPr>
              <w:t>1.34</w:t>
            </w:r>
          </w:p>
        </w:tc>
        <w:tc>
          <w:tcPr>
            <w:tcW w:w="1746" w:type="dxa"/>
            <w:vAlign w:val="center"/>
          </w:tcPr>
          <w:p w14:paraId="016C1D8F" w14:textId="77777777" w:rsidR="00F7044C" w:rsidRPr="00C421E4" w:rsidRDefault="00F7044C" w:rsidP="00804E6B">
            <w:pPr>
              <w:jc w:val="center"/>
              <w:rPr>
                <w:rFonts w:ascii="Times" w:eastAsia="Times New Roman" w:hAnsi="Times"/>
              </w:rPr>
            </w:pPr>
            <w:r w:rsidRPr="00C421E4">
              <w:rPr>
                <w:rFonts w:ascii="Times" w:eastAsia="Times New Roman" w:hAnsi="Times"/>
              </w:rPr>
              <w:t>20.02</w:t>
            </w:r>
            <w:r w:rsidRPr="00C421E4">
              <w:rPr>
                <w:rFonts w:ascii="Times" w:eastAsia="Times New Roman" w:hAnsi="Times"/>
              </w:rPr>
              <w:sym w:font="Symbol" w:char="F0B1"/>
            </w:r>
            <w:r w:rsidRPr="00C421E4">
              <w:rPr>
                <w:rFonts w:ascii="Times" w:eastAsia="Times New Roman" w:hAnsi="Times"/>
              </w:rPr>
              <w:t>1.57</w:t>
            </w:r>
          </w:p>
        </w:tc>
        <w:tc>
          <w:tcPr>
            <w:tcW w:w="1319" w:type="dxa"/>
            <w:vAlign w:val="center"/>
          </w:tcPr>
          <w:p w14:paraId="2BB69F56" w14:textId="77777777" w:rsidR="00F7044C" w:rsidRPr="00C421E4" w:rsidRDefault="00F7044C" w:rsidP="00804E6B">
            <w:pPr>
              <w:jc w:val="center"/>
              <w:rPr>
                <w:rFonts w:ascii="Times" w:eastAsia="Times New Roman" w:hAnsi="Times"/>
              </w:rPr>
            </w:pPr>
            <w:r w:rsidRPr="00C421E4">
              <w:rPr>
                <w:rFonts w:ascii="Times" w:eastAsia="Times New Roman" w:hAnsi="Times" w:cs="Arial"/>
              </w:rPr>
              <w:t>-0.43</w:t>
            </w:r>
          </w:p>
        </w:tc>
        <w:tc>
          <w:tcPr>
            <w:tcW w:w="1319" w:type="dxa"/>
            <w:vAlign w:val="center"/>
          </w:tcPr>
          <w:p w14:paraId="180B7C6A" w14:textId="77777777" w:rsidR="00F7044C" w:rsidRPr="00C421E4" w:rsidRDefault="00F7044C" w:rsidP="00804E6B">
            <w:pPr>
              <w:jc w:val="center"/>
              <w:rPr>
                <w:rFonts w:ascii="Times" w:eastAsia="Times New Roman" w:hAnsi="Times"/>
              </w:rPr>
            </w:pPr>
            <w:r w:rsidRPr="00C421E4">
              <w:rPr>
                <w:rFonts w:ascii="Times" w:eastAsia="Times New Roman" w:hAnsi="Times" w:cs="Arial"/>
              </w:rPr>
              <w:t>0.67</w:t>
            </w:r>
          </w:p>
        </w:tc>
      </w:tr>
      <w:tr w:rsidR="00F7044C" w:rsidRPr="00C421E4" w14:paraId="7EB613A8" w14:textId="77777777" w:rsidTr="00804E6B">
        <w:tc>
          <w:tcPr>
            <w:tcW w:w="3348" w:type="dxa"/>
            <w:vAlign w:val="center"/>
            <w:hideMark/>
          </w:tcPr>
          <w:p w14:paraId="135595DF" w14:textId="77777777" w:rsidR="00F7044C" w:rsidRPr="00C421E4" w:rsidRDefault="00F7044C" w:rsidP="00804E6B">
            <w:pPr>
              <w:jc w:val="center"/>
              <w:rPr>
                <w:rFonts w:ascii="Times" w:eastAsia="Times New Roman" w:hAnsi="Times"/>
              </w:rPr>
            </w:pPr>
            <w:r w:rsidRPr="00C421E4">
              <w:rPr>
                <w:rFonts w:ascii="Times" w:eastAsia="Times New Roman" w:hAnsi="Times"/>
              </w:rPr>
              <w:t>Years of Education</w:t>
            </w:r>
          </w:p>
        </w:tc>
        <w:tc>
          <w:tcPr>
            <w:tcW w:w="2006" w:type="dxa"/>
            <w:vAlign w:val="center"/>
          </w:tcPr>
          <w:p w14:paraId="5563484A" w14:textId="77777777" w:rsidR="00F7044C" w:rsidRPr="00C421E4" w:rsidRDefault="00F7044C" w:rsidP="00804E6B">
            <w:pPr>
              <w:jc w:val="center"/>
              <w:rPr>
                <w:rFonts w:ascii="Times" w:eastAsia="Times New Roman" w:hAnsi="Times"/>
              </w:rPr>
            </w:pPr>
            <w:r w:rsidRPr="00C421E4">
              <w:rPr>
                <w:rFonts w:ascii="Times" w:eastAsia="Times New Roman" w:hAnsi="Times"/>
              </w:rPr>
              <w:t>14.33</w:t>
            </w:r>
            <w:r w:rsidRPr="00C421E4">
              <w:rPr>
                <w:rFonts w:ascii="Times" w:eastAsia="Times New Roman" w:hAnsi="Times"/>
              </w:rPr>
              <w:sym w:font="Symbol" w:char="F0B1"/>
            </w:r>
            <w:r w:rsidRPr="00C421E4">
              <w:rPr>
                <w:rFonts w:ascii="Times" w:eastAsia="Times New Roman" w:hAnsi="Times"/>
              </w:rPr>
              <w:t>1.07</w:t>
            </w:r>
          </w:p>
        </w:tc>
        <w:tc>
          <w:tcPr>
            <w:tcW w:w="1746" w:type="dxa"/>
            <w:vAlign w:val="center"/>
          </w:tcPr>
          <w:p w14:paraId="5CD930E3" w14:textId="77777777" w:rsidR="00F7044C" w:rsidRPr="00C421E4" w:rsidRDefault="00F7044C" w:rsidP="00804E6B">
            <w:pPr>
              <w:jc w:val="center"/>
              <w:rPr>
                <w:rFonts w:ascii="Times" w:eastAsia="Times New Roman" w:hAnsi="Times"/>
              </w:rPr>
            </w:pPr>
            <w:r w:rsidRPr="00C421E4">
              <w:rPr>
                <w:rFonts w:ascii="Times" w:eastAsia="Times New Roman" w:hAnsi="Times"/>
              </w:rPr>
              <w:t>14.33</w:t>
            </w:r>
            <w:r w:rsidRPr="00C421E4">
              <w:rPr>
                <w:rFonts w:ascii="Times" w:eastAsia="Times New Roman" w:hAnsi="Times"/>
              </w:rPr>
              <w:sym w:font="Symbol" w:char="F0B1"/>
            </w:r>
            <w:r w:rsidRPr="00C421E4">
              <w:rPr>
                <w:rFonts w:ascii="Times" w:eastAsia="Times New Roman" w:hAnsi="Times"/>
              </w:rPr>
              <w:t>0.95</w:t>
            </w:r>
          </w:p>
        </w:tc>
        <w:tc>
          <w:tcPr>
            <w:tcW w:w="1319" w:type="dxa"/>
            <w:vAlign w:val="center"/>
          </w:tcPr>
          <w:p w14:paraId="13354923"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0.00</w:t>
            </w:r>
          </w:p>
        </w:tc>
        <w:tc>
          <w:tcPr>
            <w:tcW w:w="1319" w:type="dxa"/>
            <w:vAlign w:val="center"/>
          </w:tcPr>
          <w:p w14:paraId="7E4380EE" w14:textId="77777777" w:rsidR="00F7044C" w:rsidRPr="00C421E4" w:rsidRDefault="00F7044C" w:rsidP="00804E6B">
            <w:pPr>
              <w:jc w:val="center"/>
              <w:rPr>
                <w:rFonts w:ascii="Times" w:eastAsia="Times New Roman" w:hAnsi="Times"/>
              </w:rPr>
            </w:pPr>
            <w:r w:rsidRPr="00C421E4">
              <w:rPr>
                <w:rFonts w:ascii="Times" w:eastAsia="Times New Roman" w:hAnsi="Times" w:cs="Arial"/>
              </w:rPr>
              <w:t>1.00</w:t>
            </w:r>
          </w:p>
        </w:tc>
      </w:tr>
      <w:tr w:rsidR="00F7044C" w:rsidRPr="00C421E4" w14:paraId="1D57BACD" w14:textId="77777777" w:rsidTr="00804E6B">
        <w:tc>
          <w:tcPr>
            <w:tcW w:w="3348" w:type="dxa"/>
            <w:vAlign w:val="center"/>
          </w:tcPr>
          <w:p w14:paraId="2A1D1522" w14:textId="77777777" w:rsidR="00F7044C" w:rsidRPr="00C421E4" w:rsidRDefault="00F7044C" w:rsidP="00804E6B">
            <w:pPr>
              <w:jc w:val="center"/>
              <w:rPr>
                <w:rFonts w:ascii="Times" w:eastAsia="Times New Roman" w:hAnsi="Times"/>
              </w:rPr>
            </w:pPr>
            <w:r w:rsidRPr="00C421E4">
              <w:rPr>
                <w:rFonts w:ascii="Times" w:eastAsia="Times New Roman" w:hAnsi="Times"/>
              </w:rPr>
              <w:t>Gender (% male)</w:t>
            </w:r>
          </w:p>
        </w:tc>
        <w:tc>
          <w:tcPr>
            <w:tcW w:w="2006" w:type="dxa"/>
            <w:vAlign w:val="center"/>
          </w:tcPr>
          <w:p w14:paraId="38C091FE" w14:textId="77777777" w:rsidR="00F7044C" w:rsidRPr="00C421E4" w:rsidRDefault="00F7044C" w:rsidP="00804E6B">
            <w:pPr>
              <w:jc w:val="center"/>
              <w:rPr>
                <w:rFonts w:ascii="Times" w:eastAsia="Times New Roman" w:hAnsi="Times"/>
              </w:rPr>
            </w:pPr>
            <w:r w:rsidRPr="00C421E4">
              <w:rPr>
                <w:rFonts w:ascii="Times" w:eastAsia="Times New Roman" w:hAnsi="Times"/>
              </w:rPr>
              <w:t>57.8</w:t>
            </w:r>
          </w:p>
        </w:tc>
        <w:tc>
          <w:tcPr>
            <w:tcW w:w="1746" w:type="dxa"/>
            <w:vAlign w:val="center"/>
          </w:tcPr>
          <w:p w14:paraId="4EAD928B" w14:textId="77777777" w:rsidR="00F7044C" w:rsidRPr="00C421E4" w:rsidRDefault="00F7044C" w:rsidP="00804E6B">
            <w:pPr>
              <w:jc w:val="center"/>
              <w:rPr>
                <w:rFonts w:ascii="Times" w:eastAsia="Times New Roman" w:hAnsi="Times"/>
              </w:rPr>
            </w:pPr>
            <w:r w:rsidRPr="00C421E4">
              <w:rPr>
                <w:rFonts w:ascii="Times" w:eastAsia="Times New Roman" w:hAnsi="Times"/>
              </w:rPr>
              <w:t>57.8</w:t>
            </w:r>
          </w:p>
        </w:tc>
        <w:tc>
          <w:tcPr>
            <w:tcW w:w="1319" w:type="dxa"/>
            <w:vAlign w:val="center"/>
          </w:tcPr>
          <w:p w14:paraId="73DBAD18" w14:textId="77777777" w:rsidR="00F7044C" w:rsidRPr="00C421E4" w:rsidRDefault="00F7044C" w:rsidP="00804E6B">
            <w:pPr>
              <w:jc w:val="center"/>
              <w:rPr>
                <w:rFonts w:ascii="Times" w:eastAsia="Times New Roman" w:hAnsi="Times"/>
              </w:rPr>
            </w:pPr>
            <w:r w:rsidRPr="00C421E4">
              <w:rPr>
                <w:rFonts w:ascii="Times" w:eastAsia="Times New Roman" w:hAnsi="Times"/>
              </w:rPr>
              <w:t>0.00</w:t>
            </w:r>
          </w:p>
        </w:tc>
        <w:tc>
          <w:tcPr>
            <w:tcW w:w="1319" w:type="dxa"/>
            <w:vAlign w:val="center"/>
          </w:tcPr>
          <w:p w14:paraId="4D8C6050" w14:textId="77777777" w:rsidR="00F7044C" w:rsidRPr="00C421E4" w:rsidRDefault="00F7044C" w:rsidP="00804E6B">
            <w:pPr>
              <w:jc w:val="center"/>
              <w:rPr>
                <w:rFonts w:ascii="Times" w:eastAsia="Times New Roman" w:hAnsi="Times"/>
              </w:rPr>
            </w:pPr>
            <w:r w:rsidRPr="00C421E4">
              <w:rPr>
                <w:rFonts w:ascii="Times" w:eastAsia="Times New Roman" w:hAnsi="Times"/>
              </w:rPr>
              <w:t>1.00</w:t>
            </w:r>
          </w:p>
        </w:tc>
      </w:tr>
      <w:tr w:rsidR="00F7044C" w:rsidRPr="00C421E4" w14:paraId="69F2D8FB" w14:textId="77777777" w:rsidTr="00804E6B">
        <w:tc>
          <w:tcPr>
            <w:tcW w:w="3348" w:type="dxa"/>
            <w:vAlign w:val="center"/>
            <w:hideMark/>
          </w:tcPr>
          <w:p w14:paraId="49A606DD" w14:textId="77777777" w:rsidR="00F7044C" w:rsidRPr="00C421E4" w:rsidRDefault="00F7044C" w:rsidP="00804E6B">
            <w:pPr>
              <w:jc w:val="center"/>
              <w:rPr>
                <w:rFonts w:ascii="Times" w:eastAsia="Times New Roman" w:hAnsi="Times"/>
              </w:rPr>
            </w:pPr>
            <w:r w:rsidRPr="00C421E4">
              <w:rPr>
                <w:rFonts w:ascii="Times" w:eastAsia="Times New Roman" w:hAnsi="Times"/>
              </w:rPr>
              <w:t>MEQ</w:t>
            </w:r>
          </w:p>
        </w:tc>
        <w:tc>
          <w:tcPr>
            <w:tcW w:w="2006" w:type="dxa"/>
            <w:vAlign w:val="center"/>
          </w:tcPr>
          <w:p w14:paraId="01623590" w14:textId="77777777" w:rsidR="00F7044C" w:rsidRPr="00C421E4" w:rsidRDefault="00F7044C" w:rsidP="00804E6B">
            <w:pPr>
              <w:jc w:val="center"/>
              <w:rPr>
                <w:rFonts w:ascii="Times" w:eastAsia="Times New Roman" w:hAnsi="Times"/>
              </w:rPr>
            </w:pPr>
            <w:r w:rsidRPr="00C421E4">
              <w:rPr>
                <w:rFonts w:ascii="Times" w:eastAsia="Times New Roman" w:hAnsi="Times"/>
              </w:rPr>
              <w:t>44.02</w:t>
            </w:r>
            <w:r w:rsidRPr="00C421E4">
              <w:rPr>
                <w:rFonts w:ascii="Times" w:eastAsia="Times New Roman" w:hAnsi="Times"/>
              </w:rPr>
              <w:sym w:font="Symbol" w:char="F0B1"/>
            </w:r>
            <w:r w:rsidRPr="00C421E4">
              <w:rPr>
                <w:rFonts w:ascii="Times" w:eastAsia="Times New Roman" w:hAnsi="Times"/>
              </w:rPr>
              <w:t>8.85</w:t>
            </w:r>
          </w:p>
        </w:tc>
        <w:tc>
          <w:tcPr>
            <w:tcW w:w="1746" w:type="dxa"/>
            <w:vAlign w:val="center"/>
          </w:tcPr>
          <w:p w14:paraId="2FAD90A8" w14:textId="77777777" w:rsidR="00F7044C" w:rsidRPr="00C421E4" w:rsidRDefault="00F7044C" w:rsidP="00804E6B">
            <w:pPr>
              <w:jc w:val="center"/>
              <w:rPr>
                <w:rFonts w:ascii="Times" w:eastAsia="Times New Roman" w:hAnsi="Times"/>
              </w:rPr>
            </w:pPr>
            <w:r w:rsidRPr="00C421E4">
              <w:rPr>
                <w:rFonts w:ascii="Times" w:eastAsia="Times New Roman" w:hAnsi="Times"/>
              </w:rPr>
              <w:t>47.69</w:t>
            </w:r>
            <w:r w:rsidRPr="00C421E4">
              <w:rPr>
                <w:rFonts w:ascii="Times" w:eastAsia="Times New Roman" w:hAnsi="Times"/>
              </w:rPr>
              <w:sym w:font="Symbol" w:char="F0B1"/>
            </w:r>
            <w:r w:rsidRPr="00C421E4">
              <w:rPr>
                <w:rFonts w:ascii="Times" w:eastAsia="Times New Roman" w:hAnsi="Times"/>
              </w:rPr>
              <w:t>9.35</w:t>
            </w:r>
          </w:p>
        </w:tc>
        <w:tc>
          <w:tcPr>
            <w:tcW w:w="1319" w:type="dxa"/>
            <w:vAlign w:val="center"/>
          </w:tcPr>
          <w:p w14:paraId="3093517A" w14:textId="77777777" w:rsidR="00F7044C" w:rsidRPr="00C421E4" w:rsidRDefault="00F7044C" w:rsidP="00804E6B">
            <w:pPr>
              <w:jc w:val="center"/>
              <w:rPr>
                <w:rFonts w:ascii="Times" w:eastAsia="Times New Roman" w:hAnsi="Times"/>
              </w:rPr>
            </w:pPr>
            <w:r w:rsidRPr="00C421E4">
              <w:rPr>
                <w:rFonts w:ascii="Times" w:eastAsia="Times New Roman" w:hAnsi="Times" w:cs="Arial"/>
              </w:rPr>
              <w:t>-1.91</w:t>
            </w:r>
          </w:p>
        </w:tc>
        <w:tc>
          <w:tcPr>
            <w:tcW w:w="1319" w:type="dxa"/>
            <w:vAlign w:val="center"/>
          </w:tcPr>
          <w:p w14:paraId="1EA98F80"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0.06</w:t>
            </w:r>
          </w:p>
        </w:tc>
      </w:tr>
      <w:tr w:rsidR="00F7044C" w:rsidRPr="00C421E4" w14:paraId="64FCB13D" w14:textId="77777777" w:rsidTr="00804E6B">
        <w:tc>
          <w:tcPr>
            <w:tcW w:w="3348" w:type="dxa"/>
            <w:vAlign w:val="center"/>
          </w:tcPr>
          <w:p w14:paraId="247B1593" w14:textId="77777777" w:rsidR="00F7044C" w:rsidRPr="00C421E4" w:rsidRDefault="00F7044C" w:rsidP="00804E6B">
            <w:pPr>
              <w:jc w:val="center"/>
              <w:rPr>
                <w:rFonts w:ascii="Times" w:eastAsia="Times New Roman" w:hAnsi="Times"/>
              </w:rPr>
            </w:pPr>
            <w:r w:rsidRPr="00C421E4">
              <w:rPr>
                <w:rFonts w:ascii="Times" w:eastAsia="Times New Roman" w:hAnsi="Times"/>
              </w:rPr>
              <w:t>PSQI</w:t>
            </w:r>
          </w:p>
        </w:tc>
        <w:tc>
          <w:tcPr>
            <w:tcW w:w="2006" w:type="dxa"/>
            <w:vAlign w:val="center"/>
          </w:tcPr>
          <w:p w14:paraId="20F77847" w14:textId="77777777" w:rsidR="00F7044C" w:rsidRPr="00C421E4" w:rsidRDefault="00F7044C" w:rsidP="00804E6B">
            <w:pPr>
              <w:jc w:val="center"/>
              <w:rPr>
                <w:rFonts w:ascii="Times" w:eastAsia="Times New Roman" w:hAnsi="Times"/>
              </w:rPr>
            </w:pPr>
            <w:r w:rsidRPr="00C421E4">
              <w:rPr>
                <w:rFonts w:ascii="Times" w:eastAsia="Times New Roman" w:hAnsi="Times"/>
              </w:rPr>
              <w:t>7.00</w:t>
            </w:r>
            <w:r w:rsidRPr="00C421E4">
              <w:rPr>
                <w:rFonts w:ascii="Times" w:eastAsia="Times New Roman" w:hAnsi="Times"/>
              </w:rPr>
              <w:sym w:font="Symbol" w:char="F0B1"/>
            </w:r>
            <w:r w:rsidRPr="00C421E4">
              <w:rPr>
                <w:rFonts w:ascii="Times" w:eastAsia="Times New Roman" w:hAnsi="Times"/>
              </w:rPr>
              <w:t>3.30</w:t>
            </w:r>
          </w:p>
        </w:tc>
        <w:tc>
          <w:tcPr>
            <w:tcW w:w="1746" w:type="dxa"/>
            <w:vAlign w:val="center"/>
          </w:tcPr>
          <w:p w14:paraId="50CE0765" w14:textId="77777777" w:rsidR="00F7044C" w:rsidRPr="00C421E4" w:rsidRDefault="00F7044C" w:rsidP="00804E6B">
            <w:pPr>
              <w:jc w:val="center"/>
              <w:rPr>
                <w:rFonts w:ascii="Times" w:eastAsia="Times New Roman" w:hAnsi="Times"/>
              </w:rPr>
            </w:pPr>
            <w:r w:rsidRPr="00C421E4">
              <w:rPr>
                <w:rFonts w:ascii="Times" w:eastAsia="Times New Roman" w:hAnsi="Times"/>
              </w:rPr>
              <w:t>6.36</w:t>
            </w:r>
            <w:r w:rsidRPr="00C421E4">
              <w:rPr>
                <w:rFonts w:ascii="Times" w:eastAsia="Times New Roman" w:hAnsi="Times"/>
              </w:rPr>
              <w:sym w:font="Symbol" w:char="F0B1"/>
            </w:r>
            <w:r w:rsidRPr="00C421E4">
              <w:rPr>
                <w:rFonts w:ascii="Times" w:eastAsia="Times New Roman" w:hAnsi="Times"/>
              </w:rPr>
              <w:t>2.79</w:t>
            </w:r>
          </w:p>
        </w:tc>
        <w:tc>
          <w:tcPr>
            <w:tcW w:w="1319" w:type="dxa"/>
            <w:vAlign w:val="center"/>
          </w:tcPr>
          <w:p w14:paraId="0AFE9219" w14:textId="77777777" w:rsidR="00F7044C" w:rsidRPr="00C421E4" w:rsidRDefault="00F7044C" w:rsidP="00804E6B">
            <w:pPr>
              <w:jc w:val="center"/>
              <w:rPr>
                <w:rFonts w:ascii="Times" w:eastAsia="Times New Roman" w:hAnsi="Times"/>
              </w:rPr>
            </w:pPr>
            <w:r w:rsidRPr="00C421E4">
              <w:rPr>
                <w:rFonts w:ascii="Times" w:eastAsia="Times New Roman" w:hAnsi="Times"/>
              </w:rPr>
              <w:t>0.99</w:t>
            </w:r>
          </w:p>
        </w:tc>
        <w:tc>
          <w:tcPr>
            <w:tcW w:w="1319" w:type="dxa"/>
            <w:vAlign w:val="center"/>
          </w:tcPr>
          <w:p w14:paraId="63378BD7" w14:textId="77777777" w:rsidR="00F7044C" w:rsidRPr="00C421E4" w:rsidRDefault="00F7044C" w:rsidP="00804E6B">
            <w:pPr>
              <w:jc w:val="center"/>
              <w:rPr>
                <w:rFonts w:ascii="Times" w:eastAsia="Times New Roman" w:hAnsi="Times"/>
              </w:rPr>
            </w:pPr>
            <w:r w:rsidRPr="00C421E4">
              <w:rPr>
                <w:rFonts w:ascii="Times" w:eastAsia="Times New Roman" w:hAnsi="Times"/>
              </w:rPr>
              <w:t>.32</w:t>
            </w:r>
          </w:p>
        </w:tc>
      </w:tr>
      <w:tr w:rsidR="00F7044C" w:rsidRPr="00C421E4" w14:paraId="1BF11231" w14:textId="77777777" w:rsidTr="00804E6B">
        <w:tc>
          <w:tcPr>
            <w:tcW w:w="3348" w:type="dxa"/>
            <w:vAlign w:val="center"/>
            <w:hideMark/>
          </w:tcPr>
          <w:p w14:paraId="4D284DD9" w14:textId="77777777" w:rsidR="00F7044C" w:rsidRPr="00C421E4" w:rsidRDefault="00F7044C" w:rsidP="00804E6B">
            <w:pPr>
              <w:jc w:val="center"/>
              <w:rPr>
                <w:rFonts w:ascii="Times" w:eastAsia="Times New Roman" w:hAnsi="Times"/>
              </w:rPr>
            </w:pPr>
            <w:r w:rsidRPr="00C421E4">
              <w:rPr>
                <w:rFonts w:ascii="Times" w:eastAsia="Times New Roman" w:hAnsi="Times"/>
              </w:rPr>
              <w:t>BDI-II</w:t>
            </w:r>
          </w:p>
        </w:tc>
        <w:tc>
          <w:tcPr>
            <w:tcW w:w="2006" w:type="dxa"/>
            <w:vAlign w:val="center"/>
          </w:tcPr>
          <w:p w14:paraId="1E3F4BC3" w14:textId="77777777" w:rsidR="00F7044C" w:rsidRPr="00C421E4" w:rsidRDefault="00F7044C" w:rsidP="00804E6B">
            <w:pPr>
              <w:jc w:val="center"/>
              <w:rPr>
                <w:rFonts w:ascii="Times" w:eastAsia="Times New Roman" w:hAnsi="Times"/>
              </w:rPr>
            </w:pPr>
            <w:r w:rsidRPr="00C421E4">
              <w:rPr>
                <w:rFonts w:ascii="Times" w:eastAsia="Times New Roman" w:hAnsi="Times"/>
              </w:rPr>
              <w:t>9.22</w:t>
            </w:r>
            <w:r w:rsidRPr="00C421E4">
              <w:rPr>
                <w:rFonts w:ascii="Times" w:eastAsia="Times New Roman" w:hAnsi="Times"/>
              </w:rPr>
              <w:sym w:font="Symbol" w:char="F0B1"/>
            </w:r>
            <w:r w:rsidRPr="00C421E4">
              <w:rPr>
                <w:rFonts w:ascii="Times" w:eastAsia="Times New Roman" w:hAnsi="Times"/>
              </w:rPr>
              <w:t>10.38</w:t>
            </w:r>
          </w:p>
        </w:tc>
        <w:tc>
          <w:tcPr>
            <w:tcW w:w="1746" w:type="dxa"/>
            <w:vAlign w:val="center"/>
          </w:tcPr>
          <w:p w14:paraId="7D4A27B7" w14:textId="77777777" w:rsidR="00F7044C" w:rsidRPr="00C421E4" w:rsidRDefault="00F7044C" w:rsidP="00804E6B">
            <w:pPr>
              <w:jc w:val="center"/>
              <w:rPr>
                <w:rFonts w:ascii="Times" w:eastAsia="Times New Roman" w:hAnsi="Times"/>
              </w:rPr>
            </w:pPr>
            <w:r w:rsidRPr="00C421E4">
              <w:rPr>
                <w:rFonts w:ascii="Times" w:eastAsia="Times New Roman" w:hAnsi="Times"/>
              </w:rPr>
              <w:t>11.31</w:t>
            </w:r>
            <w:r w:rsidRPr="00C421E4">
              <w:rPr>
                <w:rFonts w:ascii="Times" w:eastAsia="Times New Roman" w:hAnsi="Times"/>
              </w:rPr>
              <w:sym w:font="Symbol" w:char="F0B1"/>
            </w:r>
            <w:r w:rsidRPr="00C421E4">
              <w:rPr>
                <w:rFonts w:ascii="Times" w:eastAsia="Times New Roman" w:hAnsi="Times"/>
              </w:rPr>
              <w:t>10.63</w:t>
            </w:r>
          </w:p>
        </w:tc>
        <w:tc>
          <w:tcPr>
            <w:tcW w:w="1319" w:type="dxa"/>
            <w:vAlign w:val="center"/>
          </w:tcPr>
          <w:p w14:paraId="20E29A4F" w14:textId="77777777" w:rsidR="00F7044C" w:rsidRPr="00C421E4" w:rsidRDefault="00F7044C" w:rsidP="00804E6B">
            <w:pPr>
              <w:jc w:val="center"/>
              <w:rPr>
                <w:rFonts w:ascii="Times" w:eastAsia="Times New Roman" w:hAnsi="Times"/>
              </w:rPr>
            </w:pPr>
            <w:r w:rsidRPr="00C421E4">
              <w:rPr>
                <w:rFonts w:ascii="Times" w:eastAsia="Times New Roman" w:hAnsi="Times" w:cs="Arial"/>
              </w:rPr>
              <w:t>-0.94</w:t>
            </w:r>
          </w:p>
        </w:tc>
        <w:tc>
          <w:tcPr>
            <w:tcW w:w="1319" w:type="dxa"/>
            <w:vAlign w:val="center"/>
          </w:tcPr>
          <w:p w14:paraId="304681DF" w14:textId="77777777" w:rsidR="00F7044C" w:rsidRPr="00C421E4" w:rsidRDefault="00F7044C" w:rsidP="00804E6B">
            <w:pPr>
              <w:jc w:val="center"/>
              <w:rPr>
                <w:rFonts w:ascii="Times" w:eastAsia="Times New Roman" w:hAnsi="Times"/>
              </w:rPr>
            </w:pPr>
            <w:r w:rsidRPr="00C421E4">
              <w:rPr>
                <w:rFonts w:ascii="Times" w:eastAsia="Times New Roman" w:hAnsi="Times" w:cs="Arial"/>
              </w:rPr>
              <w:t>0.35</w:t>
            </w:r>
          </w:p>
        </w:tc>
      </w:tr>
      <w:tr w:rsidR="00F7044C" w:rsidRPr="00C421E4" w14:paraId="24319641" w14:textId="77777777" w:rsidTr="00804E6B">
        <w:trPr>
          <w:trHeight w:val="20"/>
        </w:trPr>
        <w:tc>
          <w:tcPr>
            <w:tcW w:w="3348" w:type="dxa"/>
            <w:vAlign w:val="center"/>
            <w:hideMark/>
          </w:tcPr>
          <w:p w14:paraId="0A53B4E6" w14:textId="77777777" w:rsidR="00F7044C" w:rsidRPr="00C421E4" w:rsidRDefault="00F7044C" w:rsidP="00804E6B">
            <w:pPr>
              <w:jc w:val="center"/>
              <w:rPr>
                <w:rFonts w:ascii="Times" w:eastAsia="Times New Roman" w:hAnsi="Times"/>
                <w:b/>
              </w:rPr>
            </w:pPr>
            <w:r w:rsidRPr="00C421E4">
              <w:rPr>
                <w:rFonts w:ascii="Times" w:eastAsia="Times New Roman" w:hAnsi="Times"/>
                <w:b/>
              </w:rPr>
              <w:t>STAI</w:t>
            </w:r>
          </w:p>
        </w:tc>
        <w:tc>
          <w:tcPr>
            <w:tcW w:w="2006" w:type="dxa"/>
            <w:vAlign w:val="center"/>
          </w:tcPr>
          <w:p w14:paraId="484F9FE4" w14:textId="77777777" w:rsidR="00F7044C" w:rsidRPr="00C421E4" w:rsidRDefault="00F7044C" w:rsidP="00804E6B">
            <w:pPr>
              <w:jc w:val="center"/>
              <w:rPr>
                <w:rFonts w:ascii="Times" w:eastAsia="Times New Roman" w:hAnsi="Times"/>
                <w:b/>
              </w:rPr>
            </w:pPr>
            <w:r w:rsidRPr="00C421E4">
              <w:rPr>
                <w:rFonts w:ascii="Times" w:eastAsia="Times New Roman" w:hAnsi="Times"/>
                <w:b/>
              </w:rPr>
              <w:t>75.71</w:t>
            </w:r>
            <w:r w:rsidRPr="00C421E4">
              <w:rPr>
                <w:rFonts w:ascii="Times" w:eastAsia="Times New Roman" w:hAnsi="Times"/>
                <w:b/>
              </w:rPr>
              <w:sym w:font="Symbol" w:char="F0B1"/>
            </w:r>
            <w:r w:rsidRPr="00C421E4">
              <w:rPr>
                <w:rFonts w:ascii="Times" w:eastAsia="Times New Roman" w:hAnsi="Times"/>
                <w:b/>
              </w:rPr>
              <w:t>17.52</w:t>
            </w:r>
          </w:p>
        </w:tc>
        <w:tc>
          <w:tcPr>
            <w:tcW w:w="1746" w:type="dxa"/>
            <w:vAlign w:val="center"/>
          </w:tcPr>
          <w:p w14:paraId="31B5BA7B" w14:textId="77777777" w:rsidR="00F7044C" w:rsidRPr="00C421E4" w:rsidRDefault="00F7044C" w:rsidP="00804E6B">
            <w:pPr>
              <w:jc w:val="center"/>
              <w:rPr>
                <w:rFonts w:ascii="Times" w:eastAsia="Times New Roman" w:hAnsi="Times"/>
                <w:b/>
              </w:rPr>
            </w:pPr>
            <w:r w:rsidRPr="00C421E4">
              <w:rPr>
                <w:rFonts w:ascii="Times" w:eastAsia="Times New Roman" w:hAnsi="Times"/>
                <w:b/>
              </w:rPr>
              <w:t>85.33</w:t>
            </w:r>
            <w:r w:rsidRPr="00C421E4">
              <w:rPr>
                <w:rFonts w:ascii="Times" w:eastAsia="Times New Roman" w:hAnsi="Times"/>
                <w:b/>
              </w:rPr>
              <w:sym w:font="Symbol" w:char="F0B1"/>
            </w:r>
            <w:r w:rsidRPr="00C421E4">
              <w:rPr>
                <w:rFonts w:ascii="Times" w:eastAsia="Times New Roman" w:hAnsi="Times"/>
                <w:b/>
              </w:rPr>
              <w:t>18.03</w:t>
            </w:r>
          </w:p>
        </w:tc>
        <w:tc>
          <w:tcPr>
            <w:tcW w:w="1319" w:type="dxa"/>
            <w:vAlign w:val="center"/>
          </w:tcPr>
          <w:p w14:paraId="23BFD38E" w14:textId="77777777" w:rsidR="00F7044C" w:rsidRPr="00C421E4" w:rsidRDefault="00F7044C" w:rsidP="00804E6B">
            <w:pPr>
              <w:jc w:val="center"/>
              <w:rPr>
                <w:rFonts w:ascii="Times" w:eastAsia="Times New Roman" w:hAnsi="Times"/>
                <w:b/>
              </w:rPr>
            </w:pPr>
            <w:r w:rsidRPr="00C421E4">
              <w:rPr>
                <w:rFonts w:ascii="Times" w:eastAsia="Times New Roman" w:hAnsi="Times" w:cs="Arial"/>
                <w:b/>
              </w:rPr>
              <w:t>-2.56</w:t>
            </w:r>
          </w:p>
        </w:tc>
        <w:tc>
          <w:tcPr>
            <w:tcW w:w="1319" w:type="dxa"/>
            <w:vAlign w:val="center"/>
          </w:tcPr>
          <w:p w14:paraId="1123C462" w14:textId="77777777" w:rsidR="00F7044C" w:rsidRPr="00C421E4" w:rsidRDefault="00F7044C" w:rsidP="00804E6B">
            <w:pPr>
              <w:jc w:val="center"/>
              <w:rPr>
                <w:rFonts w:ascii="Times" w:eastAsia="Times New Roman" w:hAnsi="Times"/>
                <w:b/>
              </w:rPr>
            </w:pPr>
            <w:r w:rsidRPr="00C421E4">
              <w:rPr>
                <w:rFonts w:ascii="Times" w:eastAsia="Times New Roman" w:hAnsi="Times" w:cs="Arial"/>
                <w:b/>
              </w:rPr>
              <w:t>0.01</w:t>
            </w:r>
          </w:p>
        </w:tc>
      </w:tr>
      <w:tr w:rsidR="00F7044C" w:rsidRPr="00C421E4" w14:paraId="22EAC780" w14:textId="77777777" w:rsidTr="00804E6B">
        <w:tc>
          <w:tcPr>
            <w:tcW w:w="3348" w:type="dxa"/>
            <w:vAlign w:val="center"/>
            <w:hideMark/>
          </w:tcPr>
          <w:p w14:paraId="1D5E0D5D" w14:textId="77777777" w:rsidR="00F7044C" w:rsidRPr="00C421E4" w:rsidRDefault="00F7044C" w:rsidP="00804E6B">
            <w:pPr>
              <w:jc w:val="center"/>
              <w:rPr>
                <w:rFonts w:ascii="Times" w:eastAsia="Times New Roman" w:hAnsi="Times"/>
              </w:rPr>
            </w:pPr>
            <w:r w:rsidRPr="00C421E4">
              <w:rPr>
                <w:rFonts w:ascii="Times" w:eastAsia="Times New Roman" w:hAnsi="Times"/>
              </w:rPr>
              <w:t>BRIEF</w:t>
            </w:r>
          </w:p>
        </w:tc>
        <w:tc>
          <w:tcPr>
            <w:tcW w:w="2006" w:type="dxa"/>
            <w:vAlign w:val="center"/>
          </w:tcPr>
          <w:p w14:paraId="3C3362C8" w14:textId="77777777" w:rsidR="00F7044C" w:rsidRPr="00C421E4" w:rsidRDefault="00F7044C" w:rsidP="00804E6B">
            <w:pPr>
              <w:jc w:val="center"/>
              <w:rPr>
                <w:rFonts w:ascii="Times" w:eastAsia="Times New Roman" w:hAnsi="Times"/>
              </w:rPr>
            </w:pPr>
            <w:r w:rsidRPr="00C421E4">
              <w:rPr>
                <w:rFonts w:ascii="Times" w:eastAsia="Times New Roman" w:hAnsi="Times"/>
              </w:rPr>
              <w:t>123.00</w:t>
            </w:r>
            <w:r w:rsidRPr="00C421E4">
              <w:rPr>
                <w:rFonts w:ascii="Times" w:eastAsia="Times New Roman" w:hAnsi="Times"/>
              </w:rPr>
              <w:sym w:font="Symbol" w:char="F0B1"/>
            </w:r>
            <w:r w:rsidRPr="00C421E4">
              <w:rPr>
                <w:rFonts w:ascii="Times" w:eastAsia="Times New Roman" w:hAnsi="Times"/>
              </w:rPr>
              <w:t>21.66</w:t>
            </w:r>
          </w:p>
        </w:tc>
        <w:tc>
          <w:tcPr>
            <w:tcW w:w="1746" w:type="dxa"/>
            <w:vAlign w:val="center"/>
          </w:tcPr>
          <w:p w14:paraId="1A615CC3" w14:textId="77777777" w:rsidR="00F7044C" w:rsidRPr="00C421E4" w:rsidRDefault="00F7044C" w:rsidP="00804E6B">
            <w:pPr>
              <w:jc w:val="center"/>
              <w:rPr>
                <w:rFonts w:ascii="Times" w:eastAsia="Times New Roman" w:hAnsi="Times"/>
              </w:rPr>
            </w:pPr>
            <w:r w:rsidRPr="00C421E4">
              <w:rPr>
                <w:rFonts w:ascii="Times" w:eastAsia="Times New Roman" w:hAnsi="Times"/>
              </w:rPr>
              <w:t>121.71</w:t>
            </w:r>
            <w:r w:rsidRPr="00C421E4">
              <w:rPr>
                <w:rFonts w:ascii="Times" w:eastAsia="Times New Roman" w:hAnsi="Times"/>
              </w:rPr>
              <w:sym w:font="Symbol" w:char="F0B1"/>
            </w:r>
            <w:r w:rsidRPr="00C421E4">
              <w:rPr>
                <w:rFonts w:ascii="Times" w:eastAsia="Times New Roman" w:hAnsi="Times"/>
              </w:rPr>
              <w:t>23.60</w:t>
            </w:r>
          </w:p>
        </w:tc>
        <w:tc>
          <w:tcPr>
            <w:tcW w:w="1319" w:type="dxa"/>
            <w:vAlign w:val="center"/>
          </w:tcPr>
          <w:p w14:paraId="243070F8" w14:textId="77777777" w:rsidR="00F7044C" w:rsidRPr="00C421E4" w:rsidRDefault="00F7044C" w:rsidP="00804E6B">
            <w:pPr>
              <w:jc w:val="center"/>
              <w:rPr>
                <w:rFonts w:ascii="Times" w:eastAsia="Times New Roman" w:hAnsi="Times"/>
              </w:rPr>
            </w:pPr>
            <w:r w:rsidRPr="00C421E4">
              <w:rPr>
                <w:rFonts w:ascii="Times" w:eastAsia="Times New Roman" w:hAnsi="Times" w:cs="Arial"/>
              </w:rPr>
              <w:t>0.27</w:t>
            </w:r>
          </w:p>
        </w:tc>
        <w:tc>
          <w:tcPr>
            <w:tcW w:w="1319" w:type="dxa"/>
            <w:vAlign w:val="center"/>
          </w:tcPr>
          <w:p w14:paraId="716AA28C" w14:textId="77777777" w:rsidR="00F7044C" w:rsidRPr="00C421E4" w:rsidRDefault="00F7044C" w:rsidP="00804E6B">
            <w:pPr>
              <w:jc w:val="center"/>
              <w:rPr>
                <w:rFonts w:ascii="Times" w:eastAsia="Times New Roman" w:hAnsi="Times"/>
              </w:rPr>
            </w:pPr>
            <w:r w:rsidRPr="00C421E4">
              <w:rPr>
                <w:rFonts w:ascii="Times" w:eastAsia="Times New Roman" w:hAnsi="Times" w:cs="Arial"/>
              </w:rPr>
              <w:t>0.79</w:t>
            </w:r>
          </w:p>
        </w:tc>
      </w:tr>
      <w:tr w:rsidR="00F7044C" w:rsidRPr="00C421E4" w14:paraId="4C95EA8E" w14:textId="77777777" w:rsidTr="00804E6B">
        <w:tc>
          <w:tcPr>
            <w:tcW w:w="3348" w:type="dxa"/>
            <w:vAlign w:val="center"/>
            <w:hideMark/>
          </w:tcPr>
          <w:p w14:paraId="23F4500B" w14:textId="77777777" w:rsidR="00F7044C" w:rsidRPr="00C421E4" w:rsidRDefault="00F7044C" w:rsidP="00804E6B">
            <w:pPr>
              <w:jc w:val="center"/>
              <w:rPr>
                <w:rFonts w:ascii="Times" w:eastAsia="Times New Roman" w:hAnsi="Times"/>
              </w:rPr>
            </w:pPr>
            <w:r w:rsidRPr="00C421E4">
              <w:rPr>
                <w:rFonts w:ascii="Times" w:eastAsia="Times New Roman" w:hAnsi="Times"/>
              </w:rPr>
              <w:t>PTSD</w:t>
            </w:r>
          </w:p>
        </w:tc>
        <w:tc>
          <w:tcPr>
            <w:tcW w:w="2006" w:type="dxa"/>
            <w:vAlign w:val="center"/>
          </w:tcPr>
          <w:p w14:paraId="6EAF87F7" w14:textId="77777777" w:rsidR="00F7044C" w:rsidRPr="00C421E4" w:rsidRDefault="00F7044C" w:rsidP="00804E6B">
            <w:pPr>
              <w:jc w:val="center"/>
              <w:rPr>
                <w:rFonts w:ascii="Times" w:eastAsia="Times New Roman" w:hAnsi="Times"/>
              </w:rPr>
            </w:pPr>
            <w:r w:rsidRPr="00C421E4">
              <w:rPr>
                <w:rFonts w:ascii="Times" w:eastAsia="Times New Roman" w:hAnsi="Times"/>
              </w:rPr>
              <w:t>29.76</w:t>
            </w:r>
            <w:r w:rsidRPr="00C421E4">
              <w:rPr>
                <w:rFonts w:ascii="Times" w:eastAsia="Times New Roman" w:hAnsi="Times"/>
              </w:rPr>
              <w:sym w:font="Symbol" w:char="F0B1"/>
            </w:r>
            <w:r w:rsidRPr="00C421E4">
              <w:rPr>
                <w:rFonts w:ascii="Times" w:eastAsia="Times New Roman" w:hAnsi="Times"/>
              </w:rPr>
              <w:t>9.71</w:t>
            </w:r>
          </w:p>
        </w:tc>
        <w:tc>
          <w:tcPr>
            <w:tcW w:w="1746" w:type="dxa"/>
            <w:vAlign w:val="center"/>
          </w:tcPr>
          <w:p w14:paraId="5F0003FE" w14:textId="77777777" w:rsidR="00F7044C" w:rsidRPr="00C421E4" w:rsidRDefault="00F7044C" w:rsidP="00804E6B">
            <w:pPr>
              <w:jc w:val="center"/>
              <w:rPr>
                <w:rFonts w:ascii="Times" w:eastAsia="Times New Roman" w:hAnsi="Times"/>
              </w:rPr>
            </w:pPr>
            <w:r w:rsidRPr="00C421E4">
              <w:rPr>
                <w:rFonts w:ascii="Times" w:eastAsia="Times New Roman" w:hAnsi="Times"/>
              </w:rPr>
              <w:t>33.22</w:t>
            </w:r>
            <w:r w:rsidRPr="00C421E4">
              <w:rPr>
                <w:rFonts w:ascii="Times" w:eastAsia="Times New Roman" w:hAnsi="Times"/>
              </w:rPr>
              <w:sym w:font="Symbol" w:char="F0B1"/>
            </w:r>
            <w:r w:rsidRPr="00C421E4">
              <w:rPr>
                <w:rFonts w:ascii="Times" w:eastAsia="Times New Roman" w:hAnsi="Times"/>
              </w:rPr>
              <w:t>13.47</w:t>
            </w:r>
          </w:p>
        </w:tc>
        <w:tc>
          <w:tcPr>
            <w:tcW w:w="1319" w:type="dxa"/>
            <w:vAlign w:val="center"/>
          </w:tcPr>
          <w:p w14:paraId="1EA60B74" w14:textId="77777777" w:rsidR="00F7044C" w:rsidRPr="00C421E4" w:rsidRDefault="00F7044C" w:rsidP="00804E6B">
            <w:pPr>
              <w:jc w:val="center"/>
              <w:rPr>
                <w:rFonts w:ascii="Times" w:eastAsia="Times New Roman" w:hAnsi="Times"/>
              </w:rPr>
            </w:pPr>
            <w:r w:rsidRPr="00C421E4">
              <w:rPr>
                <w:rFonts w:ascii="Times" w:eastAsia="Times New Roman" w:hAnsi="Times" w:cs="Arial"/>
              </w:rPr>
              <w:t>-1.40</w:t>
            </w:r>
          </w:p>
        </w:tc>
        <w:tc>
          <w:tcPr>
            <w:tcW w:w="1319" w:type="dxa"/>
            <w:vAlign w:val="center"/>
          </w:tcPr>
          <w:p w14:paraId="6312355C" w14:textId="77777777" w:rsidR="00F7044C" w:rsidRPr="00C421E4" w:rsidRDefault="00F7044C" w:rsidP="00804E6B">
            <w:pPr>
              <w:jc w:val="center"/>
              <w:rPr>
                <w:rFonts w:ascii="Times" w:eastAsia="Times New Roman" w:hAnsi="Times"/>
              </w:rPr>
            </w:pPr>
            <w:r w:rsidRPr="00C421E4">
              <w:rPr>
                <w:rFonts w:ascii="Times" w:eastAsia="Times New Roman" w:hAnsi="Times" w:cs="Arial"/>
              </w:rPr>
              <w:t>0.17</w:t>
            </w:r>
          </w:p>
        </w:tc>
      </w:tr>
      <w:tr w:rsidR="00F7044C" w:rsidRPr="00C421E4" w14:paraId="4D8ACFC3" w14:textId="77777777" w:rsidTr="00804E6B">
        <w:tc>
          <w:tcPr>
            <w:tcW w:w="3348" w:type="dxa"/>
            <w:vAlign w:val="center"/>
            <w:hideMark/>
          </w:tcPr>
          <w:p w14:paraId="2E542526" w14:textId="77777777" w:rsidR="00F7044C" w:rsidRPr="00C421E4" w:rsidRDefault="00F7044C" w:rsidP="00804E6B">
            <w:pPr>
              <w:jc w:val="center"/>
              <w:rPr>
                <w:rFonts w:ascii="Times" w:eastAsia="Times New Roman" w:hAnsi="Times"/>
              </w:rPr>
            </w:pPr>
            <w:r w:rsidRPr="00C421E4">
              <w:rPr>
                <w:rFonts w:ascii="Times" w:eastAsia="Times New Roman" w:hAnsi="Times"/>
              </w:rPr>
              <w:t>Physical Symptoms</w:t>
            </w:r>
          </w:p>
        </w:tc>
        <w:tc>
          <w:tcPr>
            <w:tcW w:w="2006" w:type="dxa"/>
            <w:vAlign w:val="center"/>
          </w:tcPr>
          <w:p w14:paraId="6D21FB4B" w14:textId="77777777" w:rsidR="00F7044C" w:rsidRPr="00C421E4" w:rsidRDefault="00F7044C" w:rsidP="00804E6B">
            <w:pPr>
              <w:jc w:val="center"/>
              <w:rPr>
                <w:rFonts w:ascii="Times" w:eastAsia="Times New Roman" w:hAnsi="Times"/>
              </w:rPr>
            </w:pPr>
            <w:r w:rsidRPr="00C421E4">
              <w:rPr>
                <w:rFonts w:ascii="Times" w:eastAsia="Times New Roman" w:hAnsi="Times"/>
              </w:rPr>
              <w:t>4.71</w:t>
            </w:r>
            <w:r w:rsidRPr="00C421E4">
              <w:rPr>
                <w:rFonts w:ascii="Times" w:eastAsia="Times New Roman" w:hAnsi="Times"/>
              </w:rPr>
              <w:sym w:font="Symbol" w:char="F0B1"/>
            </w:r>
            <w:r w:rsidRPr="00C421E4">
              <w:rPr>
                <w:rFonts w:ascii="Times" w:eastAsia="Times New Roman" w:hAnsi="Times"/>
              </w:rPr>
              <w:t>3.36</w:t>
            </w:r>
          </w:p>
        </w:tc>
        <w:tc>
          <w:tcPr>
            <w:tcW w:w="1746" w:type="dxa"/>
            <w:vAlign w:val="center"/>
          </w:tcPr>
          <w:p w14:paraId="4BB259F1" w14:textId="77777777" w:rsidR="00F7044C" w:rsidRPr="00C421E4" w:rsidRDefault="00F7044C" w:rsidP="00804E6B">
            <w:pPr>
              <w:jc w:val="center"/>
              <w:rPr>
                <w:rFonts w:ascii="Times" w:eastAsia="Times New Roman" w:hAnsi="Times"/>
              </w:rPr>
            </w:pPr>
            <w:r w:rsidRPr="00C421E4">
              <w:rPr>
                <w:rFonts w:ascii="Times" w:eastAsia="Times New Roman" w:hAnsi="Times"/>
              </w:rPr>
              <w:t>6.00</w:t>
            </w:r>
            <w:r w:rsidRPr="00C421E4">
              <w:rPr>
                <w:rFonts w:ascii="Times" w:eastAsia="Times New Roman" w:hAnsi="Times"/>
              </w:rPr>
              <w:sym w:font="Symbol" w:char="F0B1"/>
            </w:r>
            <w:r w:rsidRPr="00C421E4">
              <w:rPr>
                <w:rFonts w:ascii="Times" w:eastAsia="Times New Roman" w:hAnsi="Times"/>
              </w:rPr>
              <w:t>3.15</w:t>
            </w:r>
          </w:p>
        </w:tc>
        <w:tc>
          <w:tcPr>
            <w:tcW w:w="1319" w:type="dxa"/>
            <w:vAlign w:val="center"/>
          </w:tcPr>
          <w:p w14:paraId="14314965" w14:textId="77777777" w:rsidR="00F7044C" w:rsidRPr="00C421E4" w:rsidRDefault="00F7044C" w:rsidP="00804E6B">
            <w:pPr>
              <w:jc w:val="center"/>
              <w:rPr>
                <w:rFonts w:ascii="Times" w:eastAsia="Times New Roman" w:hAnsi="Times"/>
              </w:rPr>
            </w:pPr>
            <w:r w:rsidRPr="00C421E4">
              <w:rPr>
                <w:rFonts w:ascii="Times" w:eastAsia="Times New Roman" w:hAnsi="Times" w:cs="Arial"/>
              </w:rPr>
              <w:t>-1.88</w:t>
            </w:r>
          </w:p>
        </w:tc>
        <w:tc>
          <w:tcPr>
            <w:tcW w:w="1319" w:type="dxa"/>
            <w:vAlign w:val="center"/>
          </w:tcPr>
          <w:p w14:paraId="41D96F2C"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0.06</w:t>
            </w:r>
          </w:p>
        </w:tc>
      </w:tr>
      <w:tr w:rsidR="00F7044C" w:rsidRPr="00C421E4" w14:paraId="15C04768" w14:textId="77777777" w:rsidTr="00804E6B">
        <w:tc>
          <w:tcPr>
            <w:tcW w:w="3348" w:type="dxa"/>
            <w:vAlign w:val="center"/>
            <w:hideMark/>
          </w:tcPr>
          <w:p w14:paraId="61515171" w14:textId="77777777" w:rsidR="00F7044C" w:rsidRPr="00C421E4" w:rsidRDefault="00F7044C" w:rsidP="00804E6B">
            <w:pPr>
              <w:jc w:val="center"/>
              <w:rPr>
                <w:rFonts w:ascii="Times" w:eastAsia="Times New Roman" w:hAnsi="Times"/>
              </w:rPr>
            </w:pPr>
            <w:r w:rsidRPr="00C421E4">
              <w:rPr>
                <w:rFonts w:ascii="Times" w:eastAsia="Times New Roman" w:hAnsi="Times"/>
              </w:rPr>
              <w:t>Stroop Black &amp; White</w:t>
            </w:r>
          </w:p>
        </w:tc>
        <w:tc>
          <w:tcPr>
            <w:tcW w:w="2006" w:type="dxa"/>
            <w:vAlign w:val="center"/>
          </w:tcPr>
          <w:p w14:paraId="07AE4195" w14:textId="77777777" w:rsidR="00F7044C" w:rsidRPr="00C421E4" w:rsidRDefault="00F7044C" w:rsidP="00804E6B">
            <w:pPr>
              <w:jc w:val="center"/>
              <w:rPr>
                <w:rFonts w:ascii="Times" w:eastAsia="Times New Roman" w:hAnsi="Times"/>
              </w:rPr>
            </w:pPr>
            <w:r w:rsidRPr="00C421E4">
              <w:rPr>
                <w:rFonts w:ascii="Times" w:eastAsia="Times New Roman" w:hAnsi="Times"/>
              </w:rPr>
              <w:t>45.87</w:t>
            </w:r>
            <w:r w:rsidRPr="00C421E4">
              <w:rPr>
                <w:rFonts w:ascii="Times" w:eastAsia="Times New Roman" w:hAnsi="Times"/>
              </w:rPr>
              <w:sym w:font="Symbol" w:char="F0B1"/>
            </w:r>
            <w:r w:rsidRPr="00C421E4">
              <w:rPr>
                <w:rFonts w:ascii="Times" w:eastAsia="Times New Roman" w:hAnsi="Times"/>
              </w:rPr>
              <w:t>6.79</w:t>
            </w:r>
          </w:p>
        </w:tc>
        <w:tc>
          <w:tcPr>
            <w:tcW w:w="1746" w:type="dxa"/>
            <w:vAlign w:val="center"/>
          </w:tcPr>
          <w:p w14:paraId="4316A953" w14:textId="77777777" w:rsidR="00F7044C" w:rsidRPr="00C421E4" w:rsidRDefault="00F7044C" w:rsidP="00804E6B">
            <w:pPr>
              <w:jc w:val="center"/>
              <w:rPr>
                <w:rFonts w:ascii="Times" w:eastAsia="Times New Roman" w:hAnsi="Times"/>
              </w:rPr>
            </w:pPr>
            <w:r w:rsidRPr="00C421E4">
              <w:rPr>
                <w:rFonts w:ascii="Times" w:eastAsia="Times New Roman" w:hAnsi="Times"/>
              </w:rPr>
              <w:t>43.47</w:t>
            </w:r>
            <w:r w:rsidRPr="00C421E4">
              <w:rPr>
                <w:rFonts w:ascii="Times" w:eastAsia="Times New Roman" w:hAnsi="Times"/>
              </w:rPr>
              <w:sym w:font="Symbol" w:char="F0B1"/>
            </w:r>
            <w:r w:rsidRPr="00C421E4">
              <w:rPr>
                <w:rFonts w:ascii="Times" w:eastAsia="Times New Roman" w:hAnsi="Times"/>
              </w:rPr>
              <w:t>5.98</w:t>
            </w:r>
          </w:p>
        </w:tc>
        <w:tc>
          <w:tcPr>
            <w:tcW w:w="1319" w:type="dxa"/>
            <w:vAlign w:val="center"/>
          </w:tcPr>
          <w:p w14:paraId="576AB7D5" w14:textId="77777777" w:rsidR="00F7044C" w:rsidRPr="00C421E4" w:rsidRDefault="00F7044C" w:rsidP="00804E6B">
            <w:pPr>
              <w:jc w:val="center"/>
              <w:rPr>
                <w:rFonts w:ascii="Times" w:eastAsia="Times New Roman" w:hAnsi="Times"/>
              </w:rPr>
            </w:pPr>
            <w:r w:rsidRPr="00C421E4">
              <w:rPr>
                <w:rFonts w:ascii="Times" w:eastAsia="Times New Roman" w:hAnsi="Times" w:cs="Arial"/>
              </w:rPr>
              <w:t>1.78</w:t>
            </w:r>
          </w:p>
        </w:tc>
        <w:tc>
          <w:tcPr>
            <w:tcW w:w="1319" w:type="dxa"/>
            <w:vAlign w:val="center"/>
          </w:tcPr>
          <w:p w14:paraId="341B48B0"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0.08</w:t>
            </w:r>
          </w:p>
        </w:tc>
      </w:tr>
      <w:tr w:rsidR="00F7044C" w:rsidRPr="00C421E4" w14:paraId="3EEBEE42" w14:textId="77777777" w:rsidTr="00804E6B">
        <w:tc>
          <w:tcPr>
            <w:tcW w:w="3348" w:type="dxa"/>
            <w:vAlign w:val="center"/>
            <w:hideMark/>
          </w:tcPr>
          <w:p w14:paraId="0C800E7E" w14:textId="77777777" w:rsidR="00F7044C" w:rsidRPr="00C421E4" w:rsidRDefault="00F7044C" w:rsidP="00804E6B">
            <w:pPr>
              <w:jc w:val="center"/>
              <w:rPr>
                <w:rFonts w:ascii="Times" w:eastAsia="Times New Roman" w:hAnsi="Times"/>
              </w:rPr>
            </w:pPr>
            <w:r w:rsidRPr="00C421E4">
              <w:rPr>
                <w:rFonts w:ascii="Times" w:eastAsia="Times New Roman" w:hAnsi="Times"/>
              </w:rPr>
              <w:t>Stroop Color</w:t>
            </w:r>
          </w:p>
        </w:tc>
        <w:tc>
          <w:tcPr>
            <w:tcW w:w="2006" w:type="dxa"/>
            <w:vAlign w:val="center"/>
          </w:tcPr>
          <w:p w14:paraId="27B8A39C" w14:textId="77777777" w:rsidR="00F7044C" w:rsidRPr="00C421E4" w:rsidRDefault="00F7044C" w:rsidP="00804E6B">
            <w:pPr>
              <w:jc w:val="center"/>
              <w:rPr>
                <w:rFonts w:ascii="Times" w:eastAsia="Times New Roman" w:hAnsi="Times"/>
              </w:rPr>
            </w:pPr>
            <w:r w:rsidRPr="00C421E4">
              <w:rPr>
                <w:rFonts w:ascii="Times" w:eastAsia="Times New Roman" w:hAnsi="Times"/>
              </w:rPr>
              <w:t>64.93</w:t>
            </w:r>
            <w:r w:rsidRPr="00C421E4">
              <w:rPr>
                <w:rFonts w:ascii="Times" w:eastAsia="Times New Roman" w:hAnsi="Times"/>
              </w:rPr>
              <w:sym w:font="Symbol" w:char="F0B1"/>
            </w:r>
            <w:r w:rsidRPr="00C421E4">
              <w:rPr>
                <w:rFonts w:ascii="Times" w:eastAsia="Times New Roman" w:hAnsi="Times"/>
              </w:rPr>
              <w:t>10.62</w:t>
            </w:r>
          </w:p>
        </w:tc>
        <w:tc>
          <w:tcPr>
            <w:tcW w:w="1746" w:type="dxa"/>
            <w:vAlign w:val="center"/>
          </w:tcPr>
          <w:p w14:paraId="7169551C" w14:textId="77777777" w:rsidR="00F7044C" w:rsidRPr="00C421E4" w:rsidRDefault="00F7044C" w:rsidP="00804E6B">
            <w:pPr>
              <w:jc w:val="center"/>
              <w:rPr>
                <w:rFonts w:ascii="Times" w:eastAsia="Times New Roman" w:hAnsi="Times"/>
              </w:rPr>
            </w:pPr>
            <w:r w:rsidRPr="00C421E4">
              <w:rPr>
                <w:rFonts w:ascii="Times" w:eastAsia="Times New Roman" w:hAnsi="Times"/>
              </w:rPr>
              <w:t>60.51</w:t>
            </w:r>
            <w:r w:rsidRPr="00C421E4">
              <w:rPr>
                <w:rFonts w:ascii="Times" w:eastAsia="Times New Roman" w:hAnsi="Times"/>
              </w:rPr>
              <w:sym w:font="Symbol" w:char="F0B1"/>
            </w:r>
            <w:r w:rsidRPr="00C421E4">
              <w:rPr>
                <w:rFonts w:ascii="Times" w:eastAsia="Times New Roman" w:hAnsi="Times"/>
              </w:rPr>
              <w:t>9.42</w:t>
            </w:r>
          </w:p>
        </w:tc>
        <w:tc>
          <w:tcPr>
            <w:tcW w:w="1319" w:type="dxa"/>
            <w:vAlign w:val="center"/>
          </w:tcPr>
          <w:p w14:paraId="70F31146" w14:textId="77777777" w:rsidR="00F7044C" w:rsidRPr="00C421E4" w:rsidRDefault="00F7044C" w:rsidP="00804E6B">
            <w:pPr>
              <w:jc w:val="center"/>
              <w:rPr>
                <w:rFonts w:ascii="Times" w:eastAsia="Times New Roman" w:hAnsi="Times"/>
              </w:rPr>
            </w:pPr>
            <w:r w:rsidRPr="00C421E4">
              <w:rPr>
                <w:rFonts w:ascii="Times" w:eastAsia="Times New Roman" w:hAnsi="Times" w:cs="Arial"/>
              </w:rPr>
              <w:t>2.09</w:t>
            </w:r>
          </w:p>
        </w:tc>
        <w:tc>
          <w:tcPr>
            <w:tcW w:w="1319" w:type="dxa"/>
            <w:vAlign w:val="center"/>
          </w:tcPr>
          <w:p w14:paraId="37EA9F3E"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0.04</w:t>
            </w:r>
          </w:p>
        </w:tc>
      </w:tr>
      <w:tr w:rsidR="00F7044C" w:rsidRPr="00C421E4" w14:paraId="7930F8A1" w14:textId="77777777" w:rsidTr="00804E6B">
        <w:tc>
          <w:tcPr>
            <w:tcW w:w="3348" w:type="dxa"/>
            <w:vAlign w:val="center"/>
            <w:hideMark/>
          </w:tcPr>
          <w:p w14:paraId="7C20208E" w14:textId="77777777" w:rsidR="00F7044C" w:rsidRPr="00C421E4" w:rsidRDefault="00F7044C" w:rsidP="00804E6B">
            <w:pPr>
              <w:jc w:val="center"/>
              <w:rPr>
                <w:rFonts w:ascii="Times" w:eastAsia="Times New Roman" w:hAnsi="Times"/>
              </w:rPr>
            </w:pPr>
            <w:r w:rsidRPr="00C421E4">
              <w:rPr>
                <w:rFonts w:ascii="Times" w:eastAsia="Times New Roman" w:hAnsi="Times"/>
              </w:rPr>
              <w:t>Stroop Interference</w:t>
            </w:r>
          </w:p>
        </w:tc>
        <w:tc>
          <w:tcPr>
            <w:tcW w:w="2006" w:type="dxa"/>
            <w:vAlign w:val="center"/>
          </w:tcPr>
          <w:p w14:paraId="778DEBD5" w14:textId="77777777" w:rsidR="00F7044C" w:rsidRPr="00C421E4" w:rsidRDefault="00F7044C" w:rsidP="00804E6B">
            <w:pPr>
              <w:jc w:val="center"/>
              <w:rPr>
                <w:rFonts w:ascii="Times" w:eastAsia="Times New Roman" w:hAnsi="Times"/>
              </w:rPr>
            </w:pPr>
            <w:r w:rsidRPr="00C421E4">
              <w:rPr>
                <w:rFonts w:ascii="Times" w:eastAsia="Times New Roman" w:hAnsi="Times"/>
              </w:rPr>
              <w:t>105.31</w:t>
            </w:r>
            <w:r w:rsidRPr="00C421E4">
              <w:rPr>
                <w:rFonts w:ascii="Times" w:eastAsia="Times New Roman" w:hAnsi="Times"/>
              </w:rPr>
              <w:sym w:font="Symbol" w:char="F0B1"/>
            </w:r>
            <w:r w:rsidRPr="00C421E4">
              <w:rPr>
                <w:rFonts w:ascii="Times" w:eastAsia="Times New Roman" w:hAnsi="Times"/>
              </w:rPr>
              <w:t>20.69</w:t>
            </w:r>
          </w:p>
        </w:tc>
        <w:tc>
          <w:tcPr>
            <w:tcW w:w="1746" w:type="dxa"/>
            <w:vAlign w:val="center"/>
          </w:tcPr>
          <w:p w14:paraId="1A9D3B26" w14:textId="77777777" w:rsidR="00F7044C" w:rsidRPr="00C421E4" w:rsidRDefault="00F7044C" w:rsidP="00804E6B">
            <w:pPr>
              <w:jc w:val="center"/>
              <w:rPr>
                <w:rFonts w:ascii="Times" w:eastAsia="Times New Roman" w:hAnsi="Times"/>
              </w:rPr>
            </w:pPr>
            <w:r w:rsidRPr="00C421E4">
              <w:rPr>
                <w:rFonts w:ascii="Times" w:eastAsia="Times New Roman" w:hAnsi="Times"/>
              </w:rPr>
              <w:t>99.11</w:t>
            </w:r>
            <w:r w:rsidRPr="00C421E4">
              <w:rPr>
                <w:rFonts w:ascii="Times" w:eastAsia="Times New Roman" w:hAnsi="Times"/>
              </w:rPr>
              <w:sym w:font="Symbol" w:char="F0B1"/>
            </w:r>
            <w:r w:rsidRPr="00C421E4">
              <w:rPr>
                <w:rFonts w:ascii="Times" w:eastAsia="Times New Roman" w:hAnsi="Times"/>
              </w:rPr>
              <w:t>17.99</w:t>
            </w:r>
          </w:p>
        </w:tc>
        <w:tc>
          <w:tcPr>
            <w:tcW w:w="1319" w:type="dxa"/>
            <w:vAlign w:val="center"/>
          </w:tcPr>
          <w:p w14:paraId="1CF2E285" w14:textId="77777777" w:rsidR="00F7044C" w:rsidRPr="00C421E4" w:rsidRDefault="00F7044C" w:rsidP="00804E6B">
            <w:pPr>
              <w:jc w:val="center"/>
              <w:rPr>
                <w:rFonts w:ascii="Times" w:eastAsia="Times New Roman" w:hAnsi="Times"/>
              </w:rPr>
            </w:pPr>
            <w:r w:rsidRPr="00C421E4">
              <w:rPr>
                <w:rFonts w:ascii="Times" w:eastAsia="Times New Roman" w:hAnsi="Times" w:cs="Arial"/>
              </w:rPr>
              <w:t>1.52</w:t>
            </w:r>
          </w:p>
        </w:tc>
        <w:tc>
          <w:tcPr>
            <w:tcW w:w="1319" w:type="dxa"/>
            <w:vAlign w:val="center"/>
          </w:tcPr>
          <w:p w14:paraId="2CE8C742" w14:textId="77777777" w:rsidR="00F7044C" w:rsidRPr="00C421E4" w:rsidRDefault="00F7044C" w:rsidP="00804E6B">
            <w:pPr>
              <w:jc w:val="center"/>
              <w:rPr>
                <w:rFonts w:ascii="Times" w:eastAsia="Times New Roman" w:hAnsi="Times"/>
              </w:rPr>
            </w:pPr>
            <w:r w:rsidRPr="00C421E4">
              <w:rPr>
                <w:rFonts w:ascii="Times" w:eastAsia="Times New Roman" w:hAnsi="Times" w:cs="Arial"/>
              </w:rPr>
              <w:t>0.13</w:t>
            </w:r>
          </w:p>
        </w:tc>
      </w:tr>
      <w:tr w:rsidR="00F7044C" w:rsidRPr="00C421E4" w14:paraId="2D1B4208" w14:textId="77777777" w:rsidTr="00804E6B">
        <w:tc>
          <w:tcPr>
            <w:tcW w:w="3348" w:type="dxa"/>
            <w:vAlign w:val="center"/>
            <w:hideMark/>
          </w:tcPr>
          <w:p w14:paraId="66BF2788" w14:textId="77777777" w:rsidR="00F7044C" w:rsidRPr="00C421E4" w:rsidRDefault="00F7044C" w:rsidP="00804E6B">
            <w:pPr>
              <w:jc w:val="center"/>
              <w:rPr>
                <w:rFonts w:ascii="Times" w:eastAsia="Times New Roman" w:hAnsi="Times"/>
              </w:rPr>
            </w:pPr>
            <w:r w:rsidRPr="00C421E4">
              <w:rPr>
                <w:rFonts w:ascii="Times" w:eastAsia="Times New Roman" w:hAnsi="Times"/>
              </w:rPr>
              <w:t>Stroop Int. Minus Color</w:t>
            </w:r>
          </w:p>
        </w:tc>
        <w:tc>
          <w:tcPr>
            <w:tcW w:w="2006" w:type="dxa"/>
            <w:vAlign w:val="center"/>
          </w:tcPr>
          <w:p w14:paraId="4E5C6DBD" w14:textId="77777777" w:rsidR="00F7044C" w:rsidRPr="00C421E4" w:rsidRDefault="00F7044C" w:rsidP="00804E6B">
            <w:pPr>
              <w:jc w:val="center"/>
              <w:rPr>
                <w:rFonts w:ascii="Times" w:eastAsia="Times New Roman" w:hAnsi="Times"/>
              </w:rPr>
            </w:pPr>
            <w:r w:rsidRPr="00C421E4">
              <w:rPr>
                <w:rFonts w:ascii="Times" w:eastAsia="Times New Roman" w:hAnsi="Times"/>
              </w:rPr>
              <w:t>40.38</w:t>
            </w:r>
            <w:r w:rsidRPr="00C421E4">
              <w:rPr>
                <w:rFonts w:ascii="Times" w:eastAsia="Times New Roman" w:hAnsi="Times"/>
              </w:rPr>
              <w:sym w:font="Symbol" w:char="F0B1"/>
            </w:r>
            <w:r w:rsidRPr="00C421E4">
              <w:rPr>
                <w:rFonts w:ascii="Times" w:eastAsia="Times New Roman" w:hAnsi="Times"/>
              </w:rPr>
              <w:t>15.30</w:t>
            </w:r>
          </w:p>
        </w:tc>
        <w:tc>
          <w:tcPr>
            <w:tcW w:w="1746" w:type="dxa"/>
            <w:vAlign w:val="center"/>
          </w:tcPr>
          <w:p w14:paraId="4AEAC3A0" w14:textId="77777777" w:rsidR="00F7044C" w:rsidRPr="00C421E4" w:rsidRDefault="00F7044C" w:rsidP="00804E6B">
            <w:pPr>
              <w:jc w:val="center"/>
              <w:rPr>
                <w:rFonts w:ascii="Times" w:eastAsia="Times New Roman" w:hAnsi="Times"/>
              </w:rPr>
            </w:pPr>
            <w:r w:rsidRPr="00C421E4">
              <w:rPr>
                <w:rFonts w:ascii="Times" w:eastAsia="Times New Roman" w:hAnsi="Times"/>
              </w:rPr>
              <w:t>38.60</w:t>
            </w:r>
            <w:r w:rsidRPr="00C421E4">
              <w:rPr>
                <w:rFonts w:ascii="Times" w:eastAsia="Times New Roman" w:hAnsi="Times"/>
              </w:rPr>
              <w:sym w:font="Symbol" w:char="F0B1"/>
            </w:r>
            <w:r w:rsidRPr="00C421E4">
              <w:rPr>
                <w:rFonts w:ascii="Times" w:eastAsia="Times New Roman" w:hAnsi="Times"/>
              </w:rPr>
              <w:t>12.92</w:t>
            </w:r>
          </w:p>
        </w:tc>
        <w:tc>
          <w:tcPr>
            <w:tcW w:w="1319" w:type="dxa"/>
            <w:vAlign w:val="center"/>
          </w:tcPr>
          <w:p w14:paraId="2B5FB468" w14:textId="77777777" w:rsidR="00F7044C" w:rsidRPr="00C421E4" w:rsidRDefault="00F7044C" w:rsidP="00804E6B">
            <w:pPr>
              <w:jc w:val="center"/>
              <w:rPr>
                <w:rFonts w:ascii="Times" w:eastAsia="Times New Roman" w:hAnsi="Times"/>
              </w:rPr>
            </w:pPr>
            <w:r w:rsidRPr="00C421E4">
              <w:rPr>
                <w:rFonts w:ascii="Times" w:eastAsia="Times New Roman" w:hAnsi="Times" w:cs="Arial"/>
              </w:rPr>
              <w:t>0.60</w:t>
            </w:r>
          </w:p>
        </w:tc>
        <w:tc>
          <w:tcPr>
            <w:tcW w:w="1319" w:type="dxa"/>
            <w:vAlign w:val="center"/>
          </w:tcPr>
          <w:p w14:paraId="1198C71C" w14:textId="77777777" w:rsidR="00F7044C" w:rsidRPr="00C421E4" w:rsidRDefault="00F7044C" w:rsidP="00804E6B">
            <w:pPr>
              <w:jc w:val="center"/>
              <w:rPr>
                <w:rFonts w:ascii="Times" w:eastAsia="Times New Roman" w:hAnsi="Times"/>
              </w:rPr>
            </w:pPr>
            <w:r w:rsidRPr="00C421E4">
              <w:rPr>
                <w:rFonts w:ascii="Times" w:eastAsia="Times New Roman" w:hAnsi="Times" w:cs="Arial"/>
              </w:rPr>
              <w:t>0.55</w:t>
            </w:r>
          </w:p>
        </w:tc>
      </w:tr>
      <w:tr w:rsidR="00F7044C" w:rsidRPr="00C421E4" w14:paraId="440DCC4A" w14:textId="77777777" w:rsidTr="00804E6B">
        <w:tc>
          <w:tcPr>
            <w:tcW w:w="3348" w:type="dxa"/>
            <w:vAlign w:val="center"/>
            <w:hideMark/>
          </w:tcPr>
          <w:p w14:paraId="09C103FA" w14:textId="77777777" w:rsidR="00F7044C" w:rsidRPr="00C421E4" w:rsidRDefault="00F7044C" w:rsidP="00804E6B">
            <w:pPr>
              <w:jc w:val="center"/>
              <w:rPr>
                <w:rFonts w:ascii="Times" w:eastAsia="Times New Roman" w:hAnsi="Times"/>
              </w:rPr>
            </w:pPr>
            <w:r w:rsidRPr="00C421E4">
              <w:rPr>
                <w:rFonts w:ascii="Times" w:eastAsia="Times New Roman" w:hAnsi="Times"/>
              </w:rPr>
              <w:t>Digit Span Backwards</w:t>
            </w:r>
          </w:p>
        </w:tc>
        <w:tc>
          <w:tcPr>
            <w:tcW w:w="2006" w:type="dxa"/>
            <w:vAlign w:val="center"/>
          </w:tcPr>
          <w:p w14:paraId="4CC243D8" w14:textId="77777777" w:rsidR="00F7044C" w:rsidRPr="00C421E4" w:rsidRDefault="00F7044C" w:rsidP="00804E6B">
            <w:pPr>
              <w:jc w:val="center"/>
              <w:rPr>
                <w:rFonts w:ascii="Times" w:eastAsia="Times New Roman" w:hAnsi="Times"/>
              </w:rPr>
            </w:pPr>
            <w:r w:rsidRPr="00C421E4">
              <w:rPr>
                <w:rFonts w:ascii="Times" w:eastAsia="Times New Roman" w:hAnsi="Times"/>
              </w:rPr>
              <w:t>8.23</w:t>
            </w:r>
            <w:r w:rsidRPr="00C421E4">
              <w:rPr>
                <w:rFonts w:ascii="Times" w:eastAsia="Times New Roman" w:hAnsi="Times"/>
              </w:rPr>
              <w:sym w:font="Symbol" w:char="F0B1"/>
            </w:r>
            <w:r w:rsidRPr="00C421E4">
              <w:rPr>
                <w:rFonts w:ascii="Times" w:eastAsia="Times New Roman" w:hAnsi="Times"/>
              </w:rPr>
              <w:t>2.63</w:t>
            </w:r>
          </w:p>
        </w:tc>
        <w:tc>
          <w:tcPr>
            <w:tcW w:w="1746" w:type="dxa"/>
            <w:vAlign w:val="center"/>
          </w:tcPr>
          <w:p w14:paraId="53B18DE2" w14:textId="77777777" w:rsidR="00F7044C" w:rsidRPr="00C421E4" w:rsidRDefault="00F7044C" w:rsidP="00804E6B">
            <w:pPr>
              <w:jc w:val="center"/>
              <w:rPr>
                <w:rFonts w:ascii="Times" w:eastAsia="Times New Roman" w:hAnsi="Times"/>
              </w:rPr>
            </w:pPr>
            <w:r w:rsidRPr="00C421E4">
              <w:rPr>
                <w:rFonts w:ascii="Times" w:eastAsia="Times New Roman" w:hAnsi="Times"/>
              </w:rPr>
              <w:t>8.82</w:t>
            </w:r>
            <w:r w:rsidRPr="00C421E4">
              <w:rPr>
                <w:rFonts w:ascii="Times" w:eastAsia="Times New Roman" w:hAnsi="Times"/>
              </w:rPr>
              <w:sym w:font="Symbol" w:char="F0B1"/>
            </w:r>
            <w:r w:rsidRPr="00C421E4">
              <w:rPr>
                <w:rFonts w:ascii="Times" w:eastAsia="Times New Roman" w:hAnsi="Times"/>
              </w:rPr>
              <w:t>2.28</w:t>
            </w:r>
          </w:p>
        </w:tc>
        <w:tc>
          <w:tcPr>
            <w:tcW w:w="1319" w:type="dxa"/>
            <w:vAlign w:val="center"/>
          </w:tcPr>
          <w:p w14:paraId="5D9CFDD4" w14:textId="77777777" w:rsidR="00F7044C" w:rsidRPr="00C421E4" w:rsidRDefault="00F7044C" w:rsidP="00804E6B">
            <w:pPr>
              <w:jc w:val="center"/>
              <w:rPr>
                <w:rFonts w:ascii="Times" w:eastAsia="Times New Roman" w:hAnsi="Times"/>
              </w:rPr>
            </w:pPr>
            <w:r w:rsidRPr="00C421E4">
              <w:rPr>
                <w:rFonts w:ascii="Times" w:eastAsia="Times New Roman" w:hAnsi="Times" w:cs="Arial"/>
              </w:rPr>
              <w:t>-1.14</w:t>
            </w:r>
          </w:p>
        </w:tc>
        <w:tc>
          <w:tcPr>
            <w:tcW w:w="1319" w:type="dxa"/>
            <w:vAlign w:val="center"/>
          </w:tcPr>
          <w:p w14:paraId="6AC288FA" w14:textId="77777777" w:rsidR="00F7044C" w:rsidRPr="00C421E4" w:rsidRDefault="00F7044C" w:rsidP="00804E6B">
            <w:pPr>
              <w:jc w:val="center"/>
              <w:rPr>
                <w:rFonts w:ascii="Times" w:eastAsia="Times New Roman" w:hAnsi="Times"/>
              </w:rPr>
            </w:pPr>
            <w:r w:rsidRPr="00C421E4">
              <w:rPr>
                <w:rFonts w:ascii="Times" w:eastAsia="Times New Roman" w:hAnsi="Times" w:cs="Arial"/>
              </w:rPr>
              <w:t>0.26</w:t>
            </w:r>
          </w:p>
        </w:tc>
      </w:tr>
      <w:tr w:rsidR="00F7044C" w:rsidRPr="00C421E4" w14:paraId="0A3D0939" w14:textId="77777777" w:rsidTr="00804E6B">
        <w:tc>
          <w:tcPr>
            <w:tcW w:w="3348" w:type="dxa"/>
            <w:vAlign w:val="center"/>
            <w:hideMark/>
          </w:tcPr>
          <w:p w14:paraId="60631B2E" w14:textId="77777777" w:rsidR="00F7044C" w:rsidRPr="00C421E4" w:rsidRDefault="00F7044C" w:rsidP="00804E6B">
            <w:pPr>
              <w:jc w:val="center"/>
              <w:rPr>
                <w:rFonts w:ascii="Times" w:eastAsia="Times New Roman" w:hAnsi="Times"/>
              </w:rPr>
            </w:pPr>
            <w:r w:rsidRPr="00C421E4">
              <w:rPr>
                <w:rFonts w:ascii="Times" w:eastAsia="Times New Roman" w:hAnsi="Times"/>
              </w:rPr>
              <w:t>Verbal fluency: Letters</w:t>
            </w:r>
          </w:p>
        </w:tc>
        <w:tc>
          <w:tcPr>
            <w:tcW w:w="2006" w:type="dxa"/>
            <w:vAlign w:val="center"/>
          </w:tcPr>
          <w:p w14:paraId="5516ADEB" w14:textId="77777777" w:rsidR="00F7044C" w:rsidRPr="00C421E4" w:rsidRDefault="00F7044C" w:rsidP="00804E6B">
            <w:pPr>
              <w:jc w:val="center"/>
              <w:rPr>
                <w:rFonts w:ascii="Times" w:eastAsia="Times New Roman" w:hAnsi="Times"/>
              </w:rPr>
            </w:pPr>
            <w:r w:rsidRPr="00C421E4">
              <w:rPr>
                <w:rFonts w:ascii="Times" w:eastAsia="Times New Roman" w:hAnsi="Times"/>
              </w:rPr>
              <w:t>13.54</w:t>
            </w:r>
            <w:r w:rsidRPr="00C421E4">
              <w:rPr>
                <w:rFonts w:ascii="Times" w:eastAsia="Times New Roman" w:hAnsi="Times"/>
              </w:rPr>
              <w:sym w:font="Symbol" w:char="F0B1"/>
            </w:r>
            <w:r w:rsidRPr="00C421E4">
              <w:rPr>
                <w:rFonts w:ascii="Times" w:eastAsia="Times New Roman" w:hAnsi="Times"/>
              </w:rPr>
              <w:t>3.77</w:t>
            </w:r>
          </w:p>
        </w:tc>
        <w:tc>
          <w:tcPr>
            <w:tcW w:w="1746" w:type="dxa"/>
            <w:vAlign w:val="center"/>
          </w:tcPr>
          <w:p w14:paraId="621AF406" w14:textId="77777777" w:rsidR="00F7044C" w:rsidRPr="00C421E4" w:rsidRDefault="00F7044C" w:rsidP="00804E6B">
            <w:pPr>
              <w:jc w:val="center"/>
              <w:rPr>
                <w:rFonts w:ascii="Times" w:eastAsia="Times New Roman" w:hAnsi="Times"/>
              </w:rPr>
            </w:pPr>
            <w:r w:rsidRPr="00C421E4">
              <w:rPr>
                <w:rFonts w:ascii="Times" w:eastAsia="Times New Roman" w:hAnsi="Times"/>
              </w:rPr>
              <w:t>14.94</w:t>
            </w:r>
            <w:r w:rsidRPr="00C421E4">
              <w:rPr>
                <w:rFonts w:ascii="Times" w:eastAsia="Times New Roman" w:hAnsi="Times"/>
              </w:rPr>
              <w:sym w:font="Symbol" w:char="F0B1"/>
            </w:r>
            <w:r w:rsidRPr="00C421E4">
              <w:rPr>
                <w:rFonts w:ascii="Times" w:eastAsia="Times New Roman" w:hAnsi="Times"/>
              </w:rPr>
              <w:t>3.27</w:t>
            </w:r>
          </w:p>
        </w:tc>
        <w:tc>
          <w:tcPr>
            <w:tcW w:w="1319" w:type="dxa"/>
            <w:vAlign w:val="center"/>
          </w:tcPr>
          <w:p w14:paraId="3F107A59" w14:textId="77777777" w:rsidR="00F7044C" w:rsidRPr="00C421E4" w:rsidRDefault="00F7044C" w:rsidP="00804E6B">
            <w:pPr>
              <w:jc w:val="center"/>
              <w:rPr>
                <w:rFonts w:ascii="Times" w:eastAsia="Times New Roman" w:hAnsi="Times"/>
              </w:rPr>
            </w:pPr>
            <w:r w:rsidRPr="00C421E4">
              <w:rPr>
                <w:rFonts w:ascii="Times" w:eastAsia="Times New Roman" w:hAnsi="Times" w:cs="Arial"/>
              </w:rPr>
              <w:t>-1.87</w:t>
            </w:r>
          </w:p>
        </w:tc>
        <w:tc>
          <w:tcPr>
            <w:tcW w:w="1319" w:type="dxa"/>
            <w:vAlign w:val="center"/>
          </w:tcPr>
          <w:p w14:paraId="76327EF2"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0.07</w:t>
            </w:r>
          </w:p>
        </w:tc>
      </w:tr>
      <w:tr w:rsidR="00F7044C" w:rsidRPr="00C421E4" w14:paraId="7104A63A" w14:textId="77777777" w:rsidTr="00804E6B">
        <w:tc>
          <w:tcPr>
            <w:tcW w:w="3348" w:type="dxa"/>
            <w:vAlign w:val="center"/>
            <w:hideMark/>
          </w:tcPr>
          <w:p w14:paraId="62977432" w14:textId="77777777" w:rsidR="00F7044C" w:rsidRPr="00C421E4" w:rsidRDefault="00F7044C" w:rsidP="00804E6B">
            <w:pPr>
              <w:jc w:val="center"/>
              <w:rPr>
                <w:rFonts w:ascii="Times" w:eastAsia="Times New Roman" w:hAnsi="Times"/>
              </w:rPr>
            </w:pPr>
            <w:r w:rsidRPr="00C421E4">
              <w:rPr>
                <w:rFonts w:ascii="Times" w:eastAsia="Times New Roman" w:hAnsi="Times"/>
              </w:rPr>
              <w:t>Verbal fluency: Categories</w:t>
            </w:r>
          </w:p>
        </w:tc>
        <w:tc>
          <w:tcPr>
            <w:tcW w:w="2006" w:type="dxa"/>
            <w:vAlign w:val="center"/>
          </w:tcPr>
          <w:p w14:paraId="67518D9C" w14:textId="77777777" w:rsidR="00F7044C" w:rsidRPr="00C421E4" w:rsidRDefault="00F7044C" w:rsidP="00804E6B">
            <w:pPr>
              <w:jc w:val="center"/>
              <w:rPr>
                <w:rFonts w:ascii="Times" w:eastAsia="Times New Roman" w:hAnsi="Times"/>
              </w:rPr>
            </w:pPr>
            <w:r w:rsidRPr="00C421E4">
              <w:rPr>
                <w:rFonts w:ascii="Times" w:eastAsia="Times New Roman" w:hAnsi="Times"/>
              </w:rPr>
              <w:t>20.37</w:t>
            </w:r>
            <w:r w:rsidRPr="00C421E4">
              <w:rPr>
                <w:rFonts w:ascii="Times" w:eastAsia="Times New Roman" w:hAnsi="Times"/>
              </w:rPr>
              <w:sym w:font="Symbol" w:char="F0B1"/>
            </w:r>
            <w:r w:rsidRPr="00C421E4">
              <w:rPr>
                <w:rFonts w:ascii="Times" w:eastAsia="Times New Roman" w:hAnsi="Times"/>
              </w:rPr>
              <w:t>3.71</w:t>
            </w:r>
          </w:p>
        </w:tc>
        <w:tc>
          <w:tcPr>
            <w:tcW w:w="1746" w:type="dxa"/>
            <w:vAlign w:val="center"/>
          </w:tcPr>
          <w:p w14:paraId="3EB285A5" w14:textId="77777777" w:rsidR="00F7044C" w:rsidRPr="00C421E4" w:rsidRDefault="00F7044C" w:rsidP="00804E6B">
            <w:pPr>
              <w:jc w:val="center"/>
              <w:rPr>
                <w:rFonts w:ascii="Times" w:eastAsia="Times New Roman" w:hAnsi="Times"/>
              </w:rPr>
            </w:pPr>
            <w:r w:rsidRPr="00C421E4">
              <w:rPr>
                <w:rFonts w:ascii="Times" w:eastAsia="Times New Roman" w:hAnsi="Times"/>
              </w:rPr>
              <w:t>22.16</w:t>
            </w:r>
            <w:r w:rsidRPr="00C421E4">
              <w:rPr>
                <w:rFonts w:ascii="Times" w:eastAsia="Times New Roman" w:hAnsi="Times"/>
              </w:rPr>
              <w:sym w:font="Symbol" w:char="F0B1"/>
            </w:r>
            <w:r w:rsidRPr="00C421E4">
              <w:rPr>
                <w:rFonts w:ascii="Times" w:eastAsia="Times New Roman" w:hAnsi="Times"/>
              </w:rPr>
              <w:t>3.72</w:t>
            </w:r>
          </w:p>
        </w:tc>
        <w:tc>
          <w:tcPr>
            <w:tcW w:w="1319" w:type="dxa"/>
            <w:vAlign w:val="center"/>
          </w:tcPr>
          <w:p w14:paraId="61BDDAF7" w14:textId="77777777" w:rsidR="00F7044C" w:rsidRPr="00C421E4" w:rsidRDefault="00F7044C" w:rsidP="00804E6B">
            <w:pPr>
              <w:jc w:val="center"/>
              <w:rPr>
                <w:rFonts w:ascii="Times" w:eastAsia="Times New Roman" w:hAnsi="Times"/>
              </w:rPr>
            </w:pPr>
            <w:r w:rsidRPr="00C421E4">
              <w:rPr>
                <w:rFonts w:ascii="Times" w:eastAsia="Times New Roman" w:hAnsi="Times" w:cs="Arial"/>
              </w:rPr>
              <w:t>-2.28</w:t>
            </w:r>
          </w:p>
        </w:tc>
        <w:tc>
          <w:tcPr>
            <w:tcW w:w="1319" w:type="dxa"/>
            <w:vAlign w:val="center"/>
          </w:tcPr>
          <w:p w14:paraId="4B860F45" w14:textId="77777777" w:rsidR="00F7044C" w:rsidRPr="00C421E4" w:rsidRDefault="00F7044C" w:rsidP="00804E6B">
            <w:pPr>
              <w:jc w:val="center"/>
              <w:rPr>
                <w:rFonts w:ascii="Times" w:eastAsia="Times New Roman" w:hAnsi="Times"/>
              </w:rPr>
            </w:pPr>
            <w:r w:rsidRPr="00C421E4">
              <w:rPr>
                <w:rFonts w:ascii="Times" w:eastAsia="Times New Roman" w:hAnsi="Times" w:cs="Arial"/>
              </w:rPr>
              <w:t>0.03</w:t>
            </w:r>
          </w:p>
        </w:tc>
      </w:tr>
      <w:tr w:rsidR="00F7044C" w:rsidRPr="00C421E4" w14:paraId="701FA60E" w14:textId="77777777" w:rsidTr="00804E6B">
        <w:tc>
          <w:tcPr>
            <w:tcW w:w="3348" w:type="dxa"/>
            <w:vAlign w:val="center"/>
            <w:hideMark/>
          </w:tcPr>
          <w:p w14:paraId="5A69E8F1" w14:textId="77777777" w:rsidR="00F7044C" w:rsidRPr="00C421E4" w:rsidRDefault="00F7044C" w:rsidP="00804E6B">
            <w:pPr>
              <w:jc w:val="center"/>
              <w:rPr>
                <w:rFonts w:ascii="Times" w:eastAsia="Times New Roman" w:hAnsi="Times"/>
                <w:b/>
              </w:rPr>
            </w:pPr>
            <w:r w:rsidRPr="00C421E4">
              <w:rPr>
                <w:rFonts w:ascii="Times" w:eastAsia="Times New Roman" w:hAnsi="Times"/>
                <w:b/>
              </w:rPr>
              <w:t>Verbal fluency: Pairs</w:t>
            </w:r>
          </w:p>
        </w:tc>
        <w:tc>
          <w:tcPr>
            <w:tcW w:w="2006" w:type="dxa"/>
            <w:vAlign w:val="center"/>
          </w:tcPr>
          <w:p w14:paraId="2C1A58B8" w14:textId="77777777" w:rsidR="00F7044C" w:rsidRPr="00C421E4" w:rsidRDefault="00F7044C" w:rsidP="00804E6B">
            <w:pPr>
              <w:jc w:val="center"/>
              <w:rPr>
                <w:rFonts w:ascii="Times" w:eastAsia="Times New Roman" w:hAnsi="Times"/>
                <w:b/>
              </w:rPr>
            </w:pPr>
            <w:r w:rsidRPr="00C421E4">
              <w:rPr>
                <w:rFonts w:ascii="Times" w:eastAsia="Times New Roman" w:hAnsi="Times"/>
                <w:b/>
              </w:rPr>
              <w:t>13.57</w:t>
            </w:r>
            <w:r w:rsidRPr="00C421E4">
              <w:rPr>
                <w:rFonts w:ascii="Times" w:eastAsia="Times New Roman" w:hAnsi="Times"/>
                <w:b/>
              </w:rPr>
              <w:sym w:font="Symbol" w:char="F0B1"/>
            </w:r>
            <w:r w:rsidRPr="00C421E4">
              <w:rPr>
                <w:rFonts w:ascii="Times" w:eastAsia="Times New Roman" w:hAnsi="Times"/>
                <w:b/>
              </w:rPr>
              <w:t>2.93</w:t>
            </w:r>
          </w:p>
        </w:tc>
        <w:tc>
          <w:tcPr>
            <w:tcW w:w="1746" w:type="dxa"/>
            <w:vAlign w:val="center"/>
          </w:tcPr>
          <w:p w14:paraId="09CA454B" w14:textId="77777777" w:rsidR="00F7044C" w:rsidRPr="00C421E4" w:rsidRDefault="00F7044C" w:rsidP="00804E6B">
            <w:pPr>
              <w:jc w:val="center"/>
              <w:rPr>
                <w:rFonts w:ascii="Times" w:eastAsia="Times New Roman" w:hAnsi="Times"/>
                <w:b/>
              </w:rPr>
            </w:pPr>
            <w:r w:rsidRPr="00C421E4">
              <w:rPr>
                <w:rFonts w:ascii="Times" w:eastAsia="Times New Roman" w:hAnsi="Times"/>
                <w:b/>
              </w:rPr>
              <w:t>16.20</w:t>
            </w:r>
            <w:r w:rsidRPr="00C421E4">
              <w:rPr>
                <w:rFonts w:ascii="Times" w:eastAsia="Times New Roman" w:hAnsi="Times"/>
                <w:b/>
              </w:rPr>
              <w:sym w:font="Symbol" w:char="F0B1"/>
            </w:r>
            <w:r w:rsidRPr="00C421E4">
              <w:rPr>
                <w:rFonts w:ascii="Times" w:eastAsia="Times New Roman" w:hAnsi="Times"/>
                <w:b/>
              </w:rPr>
              <w:t>2.66</w:t>
            </w:r>
          </w:p>
        </w:tc>
        <w:tc>
          <w:tcPr>
            <w:tcW w:w="1319" w:type="dxa"/>
            <w:vAlign w:val="center"/>
          </w:tcPr>
          <w:p w14:paraId="2FD0F56F" w14:textId="77777777" w:rsidR="00F7044C" w:rsidRPr="00C421E4" w:rsidRDefault="00F7044C" w:rsidP="00804E6B">
            <w:pPr>
              <w:jc w:val="center"/>
              <w:rPr>
                <w:rFonts w:ascii="Times" w:eastAsia="Times New Roman" w:hAnsi="Times"/>
                <w:b/>
              </w:rPr>
            </w:pPr>
            <w:r w:rsidRPr="00C421E4">
              <w:rPr>
                <w:rFonts w:ascii="Times" w:eastAsia="Times New Roman" w:hAnsi="Times"/>
                <w:b/>
              </w:rPr>
              <w:t>-4.44</w:t>
            </w:r>
          </w:p>
        </w:tc>
        <w:tc>
          <w:tcPr>
            <w:tcW w:w="1319" w:type="dxa"/>
            <w:vAlign w:val="center"/>
          </w:tcPr>
          <w:p w14:paraId="7E647D16" w14:textId="77777777" w:rsidR="00F7044C" w:rsidRPr="00C421E4" w:rsidRDefault="00F7044C" w:rsidP="00804E6B">
            <w:pPr>
              <w:jc w:val="center"/>
              <w:rPr>
                <w:rFonts w:ascii="Times" w:eastAsia="Times New Roman" w:hAnsi="Times"/>
                <w:b/>
              </w:rPr>
            </w:pPr>
            <w:r w:rsidRPr="00C421E4">
              <w:rPr>
                <w:rFonts w:ascii="Times" w:eastAsia="Times New Roman" w:hAnsi="Times"/>
                <w:b/>
              </w:rPr>
              <w:t>0.001</w:t>
            </w:r>
          </w:p>
        </w:tc>
      </w:tr>
      <w:tr w:rsidR="00F7044C" w:rsidRPr="00C421E4" w14:paraId="0DC5D535" w14:textId="77777777" w:rsidTr="00804E6B">
        <w:tc>
          <w:tcPr>
            <w:tcW w:w="3348" w:type="dxa"/>
            <w:vAlign w:val="center"/>
            <w:hideMark/>
          </w:tcPr>
          <w:p w14:paraId="09326B0A" w14:textId="77777777" w:rsidR="00F7044C" w:rsidRPr="00C421E4" w:rsidRDefault="00F7044C" w:rsidP="00804E6B">
            <w:pPr>
              <w:jc w:val="center"/>
              <w:rPr>
                <w:rFonts w:ascii="Times" w:eastAsia="Times New Roman" w:hAnsi="Times"/>
              </w:rPr>
            </w:pPr>
            <w:r w:rsidRPr="00C421E4">
              <w:rPr>
                <w:rFonts w:ascii="Times" w:eastAsia="Times New Roman" w:hAnsi="Times"/>
              </w:rPr>
              <w:t>Dissociative Experiences Scale</w:t>
            </w:r>
          </w:p>
        </w:tc>
        <w:tc>
          <w:tcPr>
            <w:tcW w:w="2006" w:type="dxa"/>
            <w:vAlign w:val="center"/>
          </w:tcPr>
          <w:p w14:paraId="6E410D29" w14:textId="77777777" w:rsidR="00F7044C" w:rsidRPr="00C421E4" w:rsidRDefault="00F7044C" w:rsidP="00804E6B">
            <w:pPr>
              <w:jc w:val="center"/>
              <w:rPr>
                <w:rFonts w:ascii="Times" w:eastAsia="Times New Roman" w:hAnsi="Times"/>
              </w:rPr>
            </w:pPr>
            <w:r w:rsidRPr="00C421E4">
              <w:rPr>
                <w:rFonts w:ascii="Times" w:eastAsia="Times New Roman" w:hAnsi="Times"/>
              </w:rPr>
              <w:t>7.27</w:t>
            </w:r>
            <w:r w:rsidRPr="00C421E4">
              <w:rPr>
                <w:rFonts w:ascii="Times" w:eastAsia="Times New Roman" w:hAnsi="Times"/>
              </w:rPr>
              <w:sym w:font="Symbol" w:char="F0B1"/>
            </w:r>
            <w:r w:rsidRPr="00C421E4">
              <w:rPr>
                <w:rFonts w:ascii="Times" w:eastAsia="Times New Roman" w:hAnsi="Times"/>
              </w:rPr>
              <w:t>6.66</w:t>
            </w:r>
          </w:p>
        </w:tc>
        <w:tc>
          <w:tcPr>
            <w:tcW w:w="1746" w:type="dxa"/>
            <w:vAlign w:val="center"/>
          </w:tcPr>
          <w:p w14:paraId="50A2D661" w14:textId="77777777" w:rsidR="00F7044C" w:rsidRPr="00C421E4" w:rsidRDefault="00F7044C" w:rsidP="00804E6B">
            <w:pPr>
              <w:jc w:val="center"/>
              <w:rPr>
                <w:rFonts w:ascii="Times" w:eastAsia="Times New Roman" w:hAnsi="Times"/>
              </w:rPr>
            </w:pPr>
            <w:r w:rsidRPr="00C421E4">
              <w:rPr>
                <w:rFonts w:ascii="Times" w:eastAsia="Times New Roman" w:hAnsi="Times"/>
              </w:rPr>
              <w:t>6.84</w:t>
            </w:r>
            <w:r w:rsidRPr="00C421E4">
              <w:rPr>
                <w:rFonts w:ascii="Times" w:eastAsia="Times New Roman" w:hAnsi="Times"/>
              </w:rPr>
              <w:sym w:font="Symbol" w:char="F0B1"/>
            </w:r>
            <w:r w:rsidRPr="00C421E4">
              <w:rPr>
                <w:rFonts w:ascii="Times" w:eastAsia="Times New Roman" w:hAnsi="Times"/>
              </w:rPr>
              <w:t>7.40</w:t>
            </w:r>
          </w:p>
        </w:tc>
        <w:tc>
          <w:tcPr>
            <w:tcW w:w="1319" w:type="dxa"/>
            <w:vAlign w:val="center"/>
          </w:tcPr>
          <w:p w14:paraId="12072414" w14:textId="77777777" w:rsidR="00F7044C" w:rsidRPr="00C421E4" w:rsidRDefault="00F7044C" w:rsidP="00804E6B">
            <w:pPr>
              <w:jc w:val="center"/>
              <w:rPr>
                <w:rFonts w:ascii="Times" w:eastAsia="Times New Roman" w:hAnsi="Times"/>
              </w:rPr>
            </w:pPr>
            <w:r w:rsidRPr="00C421E4">
              <w:rPr>
                <w:rFonts w:ascii="Times" w:eastAsia="Times New Roman" w:hAnsi="Times"/>
              </w:rPr>
              <w:t>.285</w:t>
            </w:r>
          </w:p>
        </w:tc>
        <w:tc>
          <w:tcPr>
            <w:tcW w:w="1319" w:type="dxa"/>
            <w:vAlign w:val="center"/>
          </w:tcPr>
          <w:p w14:paraId="36FFC8C4" w14:textId="77777777" w:rsidR="00F7044C" w:rsidRPr="00C421E4" w:rsidRDefault="00F7044C" w:rsidP="00804E6B">
            <w:pPr>
              <w:jc w:val="center"/>
              <w:rPr>
                <w:rFonts w:ascii="Times" w:eastAsia="Times New Roman" w:hAnsi="Times"/>
              </w:rPr>
            </w:pPr>
            <w:r w:rsidRPr="00C421E4">
              <w:rPr>
                <w:rFonts w:ascii="Times" w:eastAsia="Times New Roman" w:hAnsi="Times"/>
              </w:rPr>
              <w:t>0.77</w:t>
            </w:r>
          </w:p>
        </w:tc>
      </w:tr>
    </w:tbl>
    <w:p w14:paraId="79910919" w14:textId="77777777" w:rsidR="00F7044C" w:rsidRPr="00C421E4" w:rsidRDefault="00F7044C" w:rsidP="00F7044C">
      <w:pPr>
        <w:jc w:val="center"/>
        <w:rPr>
          <w:rFonts w:ascii="Times" w:hAnsi="Times"/>
        </w:rPr>
      </w:pPr>
    </w:p>
    <w:p w14:paraId="4C1702C9" w14:textId="77777777" w:rsidR="00F7044C" w:rsidRPr="00C421E4" w:rsidRDefault="00F7044C" w:rsidP="00F7044C">
      <w:pPr>
        <w:spacing w:line="480" w:lineRule="auto"/>
        <w:outlineLvl w:val="0"/>
        <w:rPr>
          <w:rFonts w:ascii="Times" w:hAnsi="Times"/>
        </w:rPr>
      </w:pPr>
      <w:r>
        <w:rPr>
          <w:rFonts w:ascii="Times" w:hAnsi="Times"/>
        </w:rPr>
        <w:t>Table 2</w:t>
      </w:r>
      <w:r w:rsidRPr="00C421E4">
        <w:rPr>
          <w:rFonts w:ascii="Times" w:hAnsi="Times"/>
        </w:rPr>
        <w:t>: Demographic table. Bold indicates significance differences between groups. For gender, a X-value, rather than a t-value, is presented.</w:t>
      </w:r>
    </w:p>
    <w:p w14:paraId="29D2B8DB" w14:textId="77777777" w:rsidR="00F7044C" w:rsidRPr="00C421E4" w:rsidRDefault="00F7044C" w:rsidP="00F7044C">
      <w:pPr>
        <w:rPr>
          <w:rFonts w:ascii="Times" w:hAnsi="Times"/>
        </w:rPr>
      </w:pPr>
      <w:r w:rsidRPr="00C421E4">
        <w:rPr>
          <w:rFonts w:ascii="Times" w:hAnsi="Times"/>
        </w:rPr>
        <w:br w:type="page"/>
      </w:r>
    </w:p>
    <w:tbl>
      <w:tblPr>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6"/>
        <w:gridCol w:w="1037"/>
        <w:gridCol w:w="1037"/>
        <w:gridCol w:w="1037"/>
        <w:gridCol w:w="896"/>
        <w:gridCol w:w="1019"/>
        <w:gridCol w:w="1246"/>
      </w:tblGrid>
      <w:tr w:rsidR="00F7044C" w:rsidRPr="00C421E4" w14:paraId="71FAB09B" w14:textId="77777777" w:rsidTr="00804E6B">
        <w:trPr>
          <w:trHeight w:val="315"/>
        </w:trPr>
        <w:tc>
          <w:tcPr>
            <w:tcW w:w="1666" w:type="dxa"/>
            <w:shd w:val="clear" w:color="auto" w:fill="auto"/>
            <w:noWrap/>
            <w:vAlign w:val="center"/>
            <w:hideMark/>
          </w:tcPr>
          <w:p w14:paraId="140A6940" w14:textId="77777777" w:rsidR="00F7044C" w:rsidRPr="00C421E4" w:rsidRDefault="00F7044C" w:rsidP="00804E6B">
            <w:pPr>
              <w:jc w:val="center"/>
              <w:rPr>
                <w:rFonts w:ascii="Times" w:hAnsi="Times"/>
                <w:sz w:val="20"/>
                <w:szCs w:val="20"/>
              </w:rPr>
            </w:pPr>
          </w:p>
        </w:tc>
        <w:tc>
          <w:tcPr>
            <w:tcW w:w="1037" w:type="dxa"/>
            <w:shd w:val="clear" w:color="auto" w:fill="auto"/>
            <w:noWrap/>
            <w:vAlign w:val="center"/>
            <w:hideMark/>
          </w:tcPr>
          <w:p w14:paraId="6E747EDC" w14:textId="77777777" w:rsidR="00F7044C" w:rsidRPr="00C421E4" w:rsidRDefault="00F7044C" w:rsidP="00804E6B">
            <w:pPr>
              <w:jc w:val="center"/>
              <w:rPr>
                <w:rFonts w:ascii="Times" w:hAnsi="Times"/>
              </w:rPr>
            </w:pPr>
            <w:r w:rsidRPr="00C421E4">
              <w:rPr>
                <w:rFonts w:ascii="Times" w:hAnsi="Times"/>
              </w:rPr>
              <w:t>BDI-II</w:t>
            </w:r>
          </w:p>
        </w:tc>
        <w:tc>
          <w:tcPr>
            <w:tcW w:w="1037" w:type="dxa"/>
            <w:shd w:val="clear" w:color="auto" w:fill="auto"/>
            <w:noWrap/>
            <w:vAlign w:val="center"/>
            <w:hideMark/>
          </w:tcPr>
          <w:p w14:paraId="0633AA1F" w14:textId="77777777" w:rsidR="00F7044C" w:rsidRPr="00C421E4" w:rsidRDefault="00F7044C" w:rsidP="00804E6B">
            <w:pPr>
              <w:jc w:val="center"/>
              <w:rPr>
                <w:rFonts w:ascii="Times" w:hAnsi="Times"/>
              </w:rPr>
            </w:pPr>
            <w:r w:rsidRPr="00C421E4">
              <w:rPr>
                <w:rFonts w:ascii="Times" w:hAnsi="Times"/>
              </w:rPr>
              <w:t>STAI</w:t>
            </w:r>
          </w:p>
        </w:tc>
        <w:tc>
          <w:tcPr>
            <w:tcW w:w="1037" w:type="dxa"/>
            <w:shd w:val="clear" w:color="auto" w:fill="auto"/>
            <w:noWrap/>
            <w:vAlign w:val="center"/>
            <w:hideMark/>
          </w:tcPr>
          <w:p w14:paraId="071225D5" w14:textId="77777777" w:rsidR="00F7044C" w:rsidRPr="00C421E4" w:rsidRDefault="00F7044C" w:rsidP="00804E6B">
            <w:pPr>
              <w:jc w:val="center"/>
              <w:rPr>
                <w:rFonts w:ascii="Times" w:hAnsi="Times"/>
              </w:rPr>
            </w:pPr>
            <w:r w:rsidRPr="00C421E4">
              <w:rPr>
                <w:rFonts w:ascii="Times" w:hAnsi="Times"/>
              </w:rPr>
              <w:t>BRIEF</w:t>
            </w:r>
          </w:p>
        </w:tc>
        <w:tc>
          <w:tcPr>
            <w:tcW w:w="896" w:type="dxa"/>
            <w:shd w:val="clear" w:color="auto" w:fill="auto"/>
            <w:noWrap/>
            <w:vAlign w:val="center"/>
            <w:hideMark/>
          </w:tcPr>
          <w:p w14:paraId="5E420331" w14:textId="77777777" w:rsidR="00F7044C" w:rsidRPr="00C421E4" w:rsidRDefault="00F7044C" w:rsidP="00804E6B">
            <w:pPr>
              <w:jc w:val="center"/>
              <w:rPr>
                <w:rFonts w:ascii="Times" w:hAnsi="Times"/>
              </w:rPr>
            </w:pPr>
            <w:r w:rsidRPr="00C421E4">
              <w:rPr>
                <w:rFonts w:ascii="Times" w:hAnsi="Times"/>
              </w:rPr>
              <w:t>PTSD</w:t>
            </w:r>
          </w:p>
        </w:tc>
        <w:tc>
          <w:tcPr>
            <w:tcW w:w="1019" w:type="dxa"/>
            <w:shd w:val="clear" w:color="auto" w:fill="auto"/>
            <w:noWrap/>
            <w:vAlign w:val="center"/>
            <w:hideMark/>
          </w:tcPr>
          <w:p w14:paraId="25814C17" w14:textId="77777777" w:rsidR="00F7044C" w:rsidRPr="00C421E4" w:rsidRDefault="00F7044C" w:rsidP="00804E6B">
            <w:pPr>
              <w:jc w:val="center"/>
              <w:rPr>
                <w:rFonts w:ascii="Times" w:hAnsi="Times"/>
              </w:rPr>
            </w:pPr>
            <w:r w:rsidRPr="00C421E4">
              <w:rPr>
                <w:rFonts w:ascii="Times" w:hAnsi="Times"/>
              </w:rPr>
              <w:t>Stroop</w:t>
            </w:r>
          </w:p>
        </w:tc>
        <w:tc>
          <w:tcPr>
            <w:tcW w:w="1246" w:type="dxa"/>
            <w:shd w:val="clear" w:color="auto" w:fill="auto"/>
            <w:noWrap/>
            <w:vAlign w:val="center"/>
            <w:hideMark/>
          </w:tcPr>
          <w:p w14:paraId="6C50C74C" w14:textId="77777777" w:rsidR="00F7044C" w:rsidRPr="00C421E4" w:rsidRDefault="00F7044C" w:rsidP="00804E6B">
            <w:pPr>
              <w:jc w:val="center"/>
              <w:rPr>
                <w:rFonts w:ascii="Times" w:hAnsi="Times"/>
              </w:rPr>
            </w:pPr>
            <w:r w:rsidRPr="00C421E4">
              <w:rPr>
                <w:rFonts w:ascii="Times" w:hAnsi="Times"/>
              </w:rPr>
              <w:t>Dig. Span</w:t>
            </w:r>
          </w:p>
        </w:tc>
      </w:tr>
      <w:tr w:rsidR="00F7044C" w:rsidRPr="00C421E4" w14:paraId="28A87DAB" w14:textId="77777777" w:rsidTr="00804E6B">
        <w:trPr>
          <w:trHeight w:val="315"/>
        </w:trPr>
        <w:tc>
          <w:tcPr>
            <w:tcW w:w="1666" w:type="dxa"/>
            <w:shd w:val="clear" w:color="auto" w:fill="auto"/>
            <w:noWrap/>
            <w:vAlign w:val="center"/>
            <w:hideMark/>
          </w:tcPr>
          <w:p w14:paraId="39563035" w14:textId="77777777" w:rsidR="00F7044C" w:rsidRPr="00C421E4" w:rsidRDefault="00F7044C" w:rsidP="00804E6B">
            <w:pPr>
              <w:jc w:val="center"/>
              <w:rPr>
                <w:rFonts w:ascii="Times" w:hAnsi="Times"/>
              </w:rPr>
            </w:pPr>
            <w:r w:rsidRPr="00C421E4">
              <w:rPr>
                <w:rFonts w:ascii="Times" w:hAnsi="Times"/>
              </w:rPr>
              <w:t>BDI-II</w:t>
            </w:r>
          </w:p>
        </w:tc>
        <w:tc>
          <w:tcPr>
            <w:tcW w:w="1037" w:type="dxa"/>
            <w:shd w:val="clear" w:color="auto" w:fill="auto"/>
            <w:noWrap/>
            <w:vAlign w:val="center"/>
            <w:hideMark/>
          </w:tcPr>
          <w:p w14:paraId="3A842B82" w14:textId="77777777" w:rsidR="00F7044C" w:rsidRPr="00C421E4" w:rsidRDefault="00F7044C" w:rsidP="00804E6B">
            <w:pPr>
              <w:jc w:val="center"/>
              <w:rPr>
                <w:rFonts w:ascii="Times" w:hAnsi="Times"/>
              </w:rPr>
            </w:pPr>
            <w:r w:rsidRPr="00C421E4">
              <w:rPr>
                <w:rFonts w:ascii="Times" w:hAnsi="Times"/>
              </w:rPr>
              <w:t>1</w:t>
            </w:r>
          </w:p>
        </w:tc>
        <w:tc>
          <w:tcPr>
            <w:tcW w:w="1037" w:type="dxa"/>
            <w:shd w:val="clear" w:color="auto" w:fill="auto"/>
            <w:noWrap/>
            <w:vAlign w:val="center"/>
            <w:hideMark/>
          </w:tcPr>
          <w:p w14:paraId="7B85F449" w14:textId="77777777" w:rsidR="00F7044C" w:rsidRPr="00C421E4" w:rsidRDefault="00F7044C" w:rsidP="00804E6B">
            <w:pPr>
              <w:jc w:val="center"/>
              <w:rPr>
                <w:rFonts w:ascii="Times" w:hAnsi="Times"/>
                <w:sz w:val="20"/>
                <w:szCs w:val="20"/>
              </w:rPr>
            </w:pPr>
          </w:p>
        </w:tc>
        <w:tc>
          <w:tcPr>
            <w:tcW w:w="1037" w:type="dxa"/>
            <w:shd w:val="clear" w:color="auto" w:fill="auto"/>
            <w:noWrap/>
            <w:vAlign w:val="center"/>
            <w:hideMark/>
          </w:tcPr>
          <w:p w14:paraId="5CF9A175" w14:textId="77777777" w:rsidR="00F7044C" w:rsidRPr="00C421E4" w:rsidRDefault="00F7044C" w:rsidP="00804E6B">
            <w:pPr>
              <w:jc w:val="center"/>
              <w:rPr>
                <w:rFonts w:ascii="Times" w:hAnsi="Times"/>
                <w:sz w:val="20"/>
                <w:szCs w:val="20"/>
              </w:rPr>
            </w:pPr>
          </w:p>
        </w:tc>
        <w:tc>
          <w:tcPr>
            <w:tcW w:w="896" w:type="dxa"/>
            <w:shd w:val="clear" w:color="auto" w:fill="auto"/>
            <w:noWrap/>
            <w:vAlign w:val="center"/>
            <w:hideMark/>
          </w:tcPr>
          <w:p w14:paraId="6FB3F8F7" w14:textId="77777777" w:rsidR="00F7044C" w:rsidRPr="00C421E4" w:rsidRDefault="00F7044C" w:rsidP="00804E6B">
            <w:pPr>
              <w:jc w:val="center"/>
              <w:rPr>
                <w:rFonts w:ascii="Times" w:hAnsi="Times"/>
                <w:sz w:val="20"/>
                <w:szCs w:val="20"/>
              </w:rPr>
            </w:pPr>
          </w:p>
        </w:tc>
        <w:tc>
          <w:tcPr>
            <w:tcW w:w="1019" w:type="dxa"/>
            <w:shd w:val="clear" w:color="auto" w:fill="auto"/>
            <w:noWrap/>
            <w:vAlign w:val="center"/>
            <w:hideMark/>
          </w:tcPr>
          <w:p w14:paraId="66631869" w14:textId="77777777" w:rsidR="00F7044C" w:rsidRPr="00C421E4" w:rsidRDefault="00F7044C" w:rsidP="00804E6B">
            <w:pPr>
              <w:jc w:val="center"/>
              <w:rPr>
                <w:rFonts w:ascii="Times" w:hAnsi="Times"/>
                <w:sz w:val="20"/>
                <w:szCs w:val="20"/>
              </w:rPr>
            </w:pPr>
          </w:p>
        </w:tc>
        <w:tc>
          <w:tcPr>
            <w:tcW w:w="1246" w:type="dxa"/>
            <w:shd w:val="clear" w:color="auto" w:fill="auto"/>
            <w:noWrap/>
            <w:vAlign w:val="center"/>
            <w:hideMark/>
          </w:tcPr>
          <w:p w14:paraId="02AC5794" w14:textId="77777777" w:rsidR="00F7044C" w:rsidRPr="00C421E4" w:rsidRDefault="00F7044C" w:rsidP="00804E6B">
            <w:pPr>
              <w:jc w:val="center"/>
              <w:rPr>
                <w:rFonts w:ascii="Times" w:hAnsi="Times"/>
                <w:sz w:val="20"/>
                <w:szCs w:val="20"/>
              </w:rPr>
            </w:pPr>
          </w:p>
        </w:tc>
      </w:tr>
      <w:tr w:rsidR="00F7044C" w:rsidRPr="00C421E4" w14:paraId="452AB4FE" w14:textId="77777777" w:rsidTr="00804E6B">
        <w:trPr>
          <w:trHeight w:val="315"/>
        </w:trPr>
        <w:tc>
          <w:tcPr>
            <w:tcW w:w="1666" w:type="dxa"/>
            <w:shd w:val="clear" w:color="auto" w:fill="auto"/>
            <w:noWrap/>
            <w:vAlign w:val="center"/>
            <w:hideMark/>
          </w:tcPr>
          <w:p w14:paraId="62E9C5BD" w14:textId="77777777" w:rsidR="00F7044C" w:rsidRPr="00C421E4" w:rsidRDefault="00F7044C" w:rsidP="00804E6B">
            <w:pPr>
              <w:jc w:val="center"/>
              <w:rPr>
                <w:rFonts w:ascii="Times" w:hAnsi="Times"/>
              </w:rPr>
            </w:pPr>
            <w:r w:rsidRPr="00C421E4">
              <w:rPr>
                <w:rFonts w:ascii="Times" w:hAnsi="Times"/>
              </w:rPr>
              <w:t>STAI</w:t>
            </w:r>
          </w:p>
        </w:tc>
        <w:tc>
          <w:tcPr>
            <w:tcW w:w="1037" w:type="dxa"/>
            <w:shd w:val="clear" w:color="auto" w:fill="auto"/>
            <w:noWrap/>
            <w:vAlign w:val="center"/>
            <w:hideMark/>
          </w:tcPr>
          <w:p w14:paraId="3D53D27B" w14:textId="77777777" w:rsidR="00F7044C" w:rsidRPr="00C421E4" w:rsidRDefault="00F7044C" w:rsidP="00804E6B">
            <w:pPr>
              <w:jc w:val="center"/>
              <w:rPr>
                <w:rFonts w:ascii="Times" w:hAnsi="Times"/>
              </w:rPr>
            </w:pPr>
            <w:r w:rsidRPr="00C421E4">
              <w:rPr>
                <w:rFonts w:ascii="Times" w:hAnsi="Times"/>
              </w:rPr>
              <w:t>.667*</w:t>
            </w:r>
          </w:p>
        </w:tc>
        <w:tc>
          <w:tcPr>
            <w:tcW w:w="1037" w:type="dxa"/>
            <w:shd w:val="clear" w:color="auto" w:fill="auto"/>
            <w:noWrap/>
            <w:vAlign w:val="center"/>
            <w:hideMark/>
          </w:tcPr>
          <w:p w14:paraId="53BE84F6" w14:textId="77777777" w:rsidR="00F7044C" w:rsidRPr="00C421E4" w:rsidRDefault="00F7044C" w:rsidP="00804E6B">
            <w:pPr>
              <w:jc w:val="center"/>
              <w:rPr>
                <w:rFonts w:ascii="Times" w:hAnsi="Times"/>
              </w:rPr>
            </w:pPr>
            <w:r w:rsidRPr="00C421E4">
              <w:rPr>
                <w:rFonts w:ascii="Times" w:hAnsi="Times"/>
              </w:rPr>
              <w:t>1</w:t>
            </w:r>
          </w:p>
        </w:tc>
        <w:tc>
          <w:tcPr>
            <w:tcW w:w="1037" w:type="dxa"/>
            <w:shd w:val="clear" w:color="auto" w:fill="auto"/>
            <w:noWrap/>
            <w:vAlign w:val="center"/>
            <w:hideMark/>
          </w:tcPr>
          <w:p w14:paraId="4EFFA7C2" w14:textId="77777777" w:rsidR="00F7044C" w:rsidRPr="00C421E4" w:rsidRDefault="00F7044C" w:rsidP="00804E6B">
            <w:pPr>
              <w:jc w:val="center"/>
              <w:rPr>
                <w:rFonts w:ascii="Times" w:hAnsi="Times"/>
                <w:sz w:val="20"/>
                <w:szCs w:val="20"/>
              </w:rPr>
            </w:pPr>
          </w:p>
        </w:tc>
        <w:tc>
          <w:tcPr>
            <w:tcW w:w="896" w:type="dxa"/>
            <w:shd w:val="clear" w:color="auto" w:fill="auto"/>
            <w:noWrap/>
            <w:vAlign w:val="center"/>
            <w:hideMark/>
          </w:tcPr>
          <w:p w14:paraId="40D3A7E0" w14:textId="77777777" w:rsidR="00F7044C" w:rsidRPr="00C421E4" w:rsidRDefault="00F7044C" w:rsidP="00804E6B">
            <w:pPr>
              <w:jc w:val="center"/>
              <w:rPr>
                <w:rFonts w:ascii="Times" w:hAnsi="Times"/>
                <w:sz w:val="20"/>
                <w:szCs w:val="20"/>
              </w:rPr>
            </w:pPr>
          </w:p>
        </w:tc>
        <w:tc>
          <w:tcPr>
            <w:tcW w:w="1019" w:type="dxa"/>
            <w:shd w:val="clear" w:color="auto" w:fill="auto"/>
            <w:noWrap/>
            <w:vAlign w:val="center"/>
            <w:hideMark/>
          </w:tcPr>
          <w:p w14:paraId="12DC1385" w14:textId="77777777" w:rsidR="00F7044C" w:rsidRPr="00C421E4" w:rsidRDefault="00F7044C" w:rsidP="00804E6B">
            <w:pPr>
              <w:jc w:val="center"/>
              <w:rPr>
                <w:rFonts w:ascii="Times" w:hAnsi="Times"/>
                <w:sz w:val="20"/>
                <w:szCs w:val="20"/>
              </w:rPr>
            </w:pPr>
          </w:p>
        </w:tc>
        <w:tc>
          <w:tcPr>
            <w:tcW w:w="1246" w:type="dxa"/>
            <w:shd w:val="clear" w:color="auto" w:fill="auto"/>
            <w:noWrap/>
            <w:vAlign w:val="center"/>
            <w:hideMark/>
          </w:tcPr>
          <w:p w14:paraId="1FE5924F" w14:textId="77777777" w:rsidR="00F7044C" w:rsidRPr="00C421E4" w:rsidRDefault="00F7044C" w:rsidP="00804E6B">
            <w:pPr>
              <w:jc w:val="center"/>
              <w:rPr>
                <w:rFonts w:ascii="Times" w:hAnsi="Times"/>
                <w:sz w:val="20"/>
                <w:szCs w:val="20"/>
              </w:rPr>
            </w:pPr>
          </w:p>
        </w:tc>
      </w:tr>
      <w:tr w:rsidR="00F7044C" w:rsidRPr="00C421E4" w14:paraId="006E1854" w14:textId="77777777" w:rsidTr="00804E6B">
        <w:trPr>
          <w:trHeight w:val="315"/>
        </w:trPr>
        <w:tc>
          <w:tcPr>
            <w:tcW w:w="1666" w:type="dxa"/>
            <w:shd w:val="clear" w:color="auto" w:fill="auto"/>
            <w:noWrap/>
            <w:vAlign w:val="center"/>
            <w:hideMark/>
          </w:tcPr>
          <w:p w14:paraId="126E5B61" w14:textId="77777777" w:rsidR="00F7044C" w:rsidRPr="00C421E4" w:rsidRDefault="00F7044C" w:rsidP="00804E6B">
            <w:pPr>
              <w:jc w:val="center"/>
              <w:rPr>
                <w:rFonts w:ascii="Times" w:hAnsi="Times"/>
              </w:rPr>
            </w:pPr>
            <w:r w:rsidRPr="00C421E4">
              <w:rPr>
                <w:rFonts w:ascii="Times" w:hAnsi="Times"/>
              </w:rPr>
              <w:t>BRIEF</w:t>
            </w:r>
          </w:p>
        </w:tc>
        <w:tc>
          <w:tcPr>
            <w:tcW w:w="1037" w:type="dxa"/>
            <w:shd w:val="clear" w:color="auto" w:fill="auto"/>
            <w:noWrap/>
            <w:vAlign w:val="center"/>
            <w:hideMark/>
          </w:tcPr>
          <w:p w14:paraId="2EB44951" w14:textId="77777777" w:rsidR="00F7044C" w:rsidRPr="00C421E4" w:rsidRDefault="00F7044C" w:rsidP="00804E6B">
            <w:pPr>
              <w:jc w:val="center"/>
              <w:rPr>
                <w:rFonts w:ascii="Times" w:hAnsi="Times"/>
              </w:rPr>
            </w:pPr>
            <w:r w:rsidRPr="00C421E4">
              <w:rPr>
                <w:rFonts w:ascii="Times" w:hAnsi="Times"/>
              </w:rPr>
              <w:t>.681*</w:t>
            </w:r>
          </w:p>
        </w:tc>
        <w:tc>
          <w:tcPr>
            <w:tcW w:w="1037" w:type="dxa"/>
            <w:shd w:val="clear" w:color="auto" w:fill="auto"/>
            <w:noWrap/>
            <w:vAlign w:val="center"/>
            <w:hideMark/>
          </w:tcPr>
          <w:p w14:paraId="556D814A" w14:textId="77777777" w:rsidR="00F7044C" w:rsidRPr="00C421E4" w:rsidRDefault="00F7044C" w:rsidP="00804E6B">
            <w:pPr>
              <w:jc w:val="center"/>
              <w:rPr>
                <w:rFonts w:ascii="Times" w:hAnsi="Times"/>
              </w:rPr>
            </w:pPr>
            <w:r w:rsidRPr="00C421E4">
              <w:rPr>
                <w:rFonts w:ascii="Times" w:hAnsi="Times"/>
              </w:rPr>
              <w:t>.564*</w:t>
            </w:r>
          </w:p>
        </w:tc>
        <w:tc>
          <w:tcPr>
            <w:tcW w:w="1037" w:type="dxa"/>
            <w:shd w:val="clear" w:color="auto" w:fill="auto"/>
            <w:noWrap/>
            <w:vAlign w:val="center"/>
            <w:hideMark/>
          </w:tcPr>
          <w:p w14:paraId="6505DE0E" w14:textId="77777777" w:rsidR="00F7044C" w:rsidRPr="00C421E4" w:rsidRDefault="00F7044C" w:rsidP="00804E6B">
            <w:pPr>
              <w:jc w:val="center"/>
              <w:rPr>
                <w:rFonts w:ascii="Times" w:hAnsi="Times"/>
              </w:rPr>
            </w:pPr>
            <w:r w:rsidRPr="00C421E4">
              <w:rPr>
                <w:rFonts w:ascii="Times" w:hAnsi="Times"/>
              </w:rPr>
              <w:t>1</w:t>
            </w:r>
          </w:p>
        </w:tc>
        <w:tc>
          <w:tcPr>
            <w:tcW w:w="896" w:type="dxa"/>
            <w:shd w:val="clear" w:color="auto" w:fill="auto"/>
            <w:noWrap/>
            <w:vAlign w:val="center"/>
            <w:hideMark/>
          </w:tcPr>
          <w:p w14:paraId="2D24A7B0" w14:textId="77777777" w:rsidR="00F7044C" w:rsidRPr="00C421E4" w:rsidRDefault="00F7044C" w:rsidP="00804E6B">
            <w:pPr>
              <w:jc w:val="center"/>
              <w:rPr>
                <w:rFonts w:ascii="Times" w:hAnsi="Times"/>
                <w:sz w:val="20"/>
                <w:szCs w:val="20"/>
              </w:rPr>
            </w:pPr>
          </w:p>
        </w:tc>
        <w:tc>
          <w:tcPr>
            <w:tcW w:w="1019" w:type="dxa"/>
            <w:shd w:val="clear" w:color="auto" w:fill="auto"/>
            <w:noWrap/>
            <w:vAlign w:val="center"/>
            <w:hideMark/>
          </w:tcPr>
          <w:p w14:paraId="7241D44A" w14:textId="77777777" w:rsidR="00F7044C" w:rsidRPr="00C421E4" w:rsidRDefault="00F7044C" w:rsidP="00804E6B">
            <w:pPr>
              <w:jc w:val="center"/>
              <w:rPr>
                <w:rFonts w:ascii="Times" w:hAnsi="Times"/>
                <w:sz w:val="20"/>
                <w:szCs w:val="20"/>
              </w:rPr>
            </w:pPr>
          </w:p>
        </w:tc>
        <w:tc>
          <w:tcPr>
            <w:tcW w:w="1246" w:type="dxa"/>
            <w:shd w:val="clear" w:color="auto" w:fill="auto"/>
            <w:noWrap/>
            <w:vAlign w:val="center"/>
            <w:hideMark/>
          </w:tcPr>
          <w:p w14:paraId="627A146A" w14:textId="77777777" w:rsidR="00F7044C" w:rsidRPr="00C421E4" w:rsidRDefault="00F7044C" w:rsidP="00804E6B">
            <w:pPr>
              <w:jc w:val="center"/>
              <w:rPr>
                <w:rFonts w:ascii="Times" w:hAnsi="Times"/>
                <w:sz w:val="20"/>
                <w:szCs w:val="20"/>
              </w:rPr>
            </w:pPr>
          </w:p>
        </w:tc>
      </w:tr>
      <w:tr w:rsidR="00F7044C" w:rsidRPr="00C421E4" w14:paraId="43950628" w14:textId="77777777" w:rsidTr="00804E6B">
        <w:trPr>
          <w:trHeight w:val="315"/>
        </w:trPr>
        <w:tc>
          <w:tcPr>
            <w:tcW w:w="1666" w:type="dxa"/>
            <w:shd w:val="clear" w:color="auto" w:fill="auto"/>
            <w:noWrap/>
            <w:vAlign w:val="center"/>
            <w:hideMark/>
          </w:tcPr>
          <w:p w14:paraId="1AA7FE9F" w14:textId="77777777" w:rsidR="00F7044C" w:rsidRPr="00C421E4" w:rsidRDefault="00F7044C" w:rsidP="00804E6B">
            <w:pPr>
              <w:jc w:val="center"/>
              <w:rPr>
                <w:rFonts w:ascii="Times" w:hAnsi="Times"/>
              </w:rPr>
            </w:pPr>
            <w:r w:rsidRPr="00C421E4">
              <w:rPr>
                <w:rFonts w:ascii="Times" w:hAnsi="Times"/>
              </w:rPr>
              <w:t>PTSD</w:t>
            </w:r>
          </w:p>
        </w:tc>
        <w:tc>
          <w:tcPr>
            <w:tcW w:w="1037" w:type="dxa"/>
            <w:shd w:val="clear" w:color="auto" w:fill="auto"/>
            <w:noWrap/>
            <w:vAlign w:val="center"/>
            <w:hideMark/>
          </w:tcPr>
          <w:p w14:paraId="39DFE4C4" w14:textId="77777777" w:rsidR="00F7044C" w:rsidRPr="00C421E4" w:rsidRDefault="00F7044C" w:rsidP="00804E6B">
            <w:pPr>
              <w:jc w:val="center"/>
              <w:rPr>
                <w:rFonts w:ascii="Times" w:hAnsi="Times"/>
              </w:rPr>
            </w:pPr>
            <w:r w:rsidRPr="00C421E4">
              <w:rPr>
                <w:rFonts w:ascii="Times" w:hAnsi="Times"/>
              </w:rPr>
              <w:t>.813*</w:t>
            </w:r>
          </w:p>
        </w:tc>
        <w:tc>
          <w:tcPr>
            <w:tcW w:w="1037" w:type="dxa"/>
            <w:shd w:val="clear" w:color="auto" w:fill="auto"/>
            <w:noWrap/>
            <w:vAlign w:val="center"/>
            <w:hideMark/>
          </w:tcPr>
          <w:p w14:paraId="5D5811B9" w14:textId="77777777" w:rsidR="00F7044C" w:rsidRPr="00C421E4" w:rsidRDefault="00F7044C" w:rsidP="00804E6B">
            <w:pPr>
              <w:jc w:val="center"/>
              <w:rPr>
                <w:rFonts w:ascii="Times" w:hAnsi="Times"/>
              </w:rPr>
            </w:pPr>
            <w:r w:rsidRPr="00C421E4">
              <w:rPr>
                <w:rFonts w:ascii="Times" w:hAnsi="Times"/>
              </w:rPr>
              <w:t>.669*</w:t>
            </w:r>
          </w:p>
        </w:tc>
        <w:tc>
          <w:tcPr>
            <w:tcW w:w="1037" w:type="dxa"/>
            <w:shd w:val="clear" w:color="auto" w:fill="auto"/>
            <w:noWrap/>
            <w:vAlign w:val="center"/>
            <w:hideMark/>
          </w:tcPr>
          <w:p w14:paraId="16ACD88D" w14:textId="77777777" w:rsidR="00F7044C" w:rsidRPr="00C421E4" w:rsidRDefault="00F7044C" w:rsidP="00804E6B">
            <w:pPr>
              <w:jc w:val="center"/>
              <w:rPr>
                <w:rFonts w:ascii="Times" w:hAnsi="Times"/>
              </w:rPr>
            </w:pPr>
            <w:r w:rsidRPr="00C421E4">
              <w:rPr>
                <w:rFonts w:ascii="Times" w:hAnsi="Times"/>
              </w:rPr>
              <w:t>.513*</w:t>
            </w:r>
          </w:p>
        </w:tc>
        <w:tc>
          <w:tcPr>
            <w:tcW w:w="896" w:type="dxa"/>
            <w:shd w:val="clear" w:color="auto" w:fill="auto"/>
            <w:noWrap/>
            <w:vAlign w:val="center"/>
            <w:hideMark/>
          </w:tcPr>
          <w:p w14:paraId="7FFC53BD" w14:textId="77777777" w:rsidR="00F7044C" w:rsidRPr="00C421E4" w:rsidRDefault="00F7044C" w:rsidP="00804E6B">
            <w:pPr>
              <w:jc w:val="center"/>
              <w:rPr>
                <w:rFonts w:ascii="Times" w:hAnsi="Times"/>
              </w:rPr>
            </w:pPr>
            <w:r w:rsidRPr="00C421E4">
              <w:rPr>
                <w:rFonts w:ascii="Times" w:hAnsi="Times"/>
              </w:rPr>
              <w:t>1</w:t>
            </w:r>
          </w:p>
        </w:tc>
        <w:tc>
          <w:tcPr>
            <w:tcW w:w="1019" w:type="dxa"/>
            <w:shd w:val="clear" w:color="auto" w:fill="auto"/>
            <w:noWrap/>
            <w:vAlign w:val="center"/>
            <w:hideMark/>
          </w:tcPr>
          <w:p w14:paraId="0E25748C" w14:textId="77777777" w:rsidR="00F7044C" w:rsidRPr="00C421E4" w:rsidRDefault="00F7044C" w:rsidP="00804E6B">
            <w:pPr>
              <w:jc w:val="center"/>
              <w:rPr>
                <w:rFonts w:ascii="Times" w:hAnsi="Times"/>
                <w:sz w:val="20"/>
                <w:szCs w:val="20"/>
              </w:rPr>
            </w:pPr>
          </w:p>
        </w:tc>
        <w:tc>
          <w:tcPr>
            <w:tcW w:w="1246" w:type="dxa"/>
            <w:shd w:val="clear" w:color="auto" w:fill="auto"/>
            <w:noWrap/>
            <w:vAlign w:val="center"/>
            <w:hideMark/>
          </w:tcPr>
          <w:p w14:paraId="4DF4CE23" w14:textId="77777777" w:rsidR="00F7044C" w:rsidRPr="00C421E4" w:rsidRDefault="00F7044C" w:rsidP="00804E6B">
            <w:pPr>
              <w:jc w:val="center"/>
              <w:rPr>
                <w:rFonts w:ascii="Times" w:hAnsi="Times"/>
                <w:sz w:val="20"/>
                <w:szCs w:val="20"/>
              </w:rPr>
            </w:pPr>
          </w:p>
        </w:tc>
      </w:tr>
      <w:tr w:rsidR="00F7044C" w:rsidRPr="00C421E4" w14:paraId="33A95E0C" w14:textId="77777777" w:rsidTr="00804E6B">
        <w:trPr>
          <w:trHeight w:val="315"/>
        </w:trPr>
        <w:tc>
          <w:tcPr>
            <w:tcW w:w="1666" w:type="dxa"/>
            <w:shd w:val="clear" w:color="auto" w:fill="auto"/>
            <w:noWrap/>
            <w:vAlign w:val="center"/>
            <w:hideMark/>
          </w:tcPr>
          <w:p w14:paraId="471A0685" w14:textId="77777777" w:rsidR="00F7044C" w:rsidRPr="00C421E4" w:rsidRDefault="00F7044C" w:rsidP="00804E6B">
            <w:pPr>
              <w:jc w:val="center"/>
              <w:rPr>
                <w:rFonts w:ascii="Times" w:hAnsi="Times"/>
              </w:rPr>
            </w:pPr>
            <w:r w:rsidRPr="00C421E4">
              <w:rPr>
                <w:rFonts w:ascii="Times" w:hAnsi="Times"/>
              </w:rPr>
              <w:t>Stroop</w:t>
            </w:r>
          </w:p>
        </w:tc>
        <w:tc>
          <w:tcPr>
            <w:tcW w:w="1037" w:type="dxa"/>
            <w:shd w:val="clear" w:color="auto" w:fill="auto"/>
            <w:noWrap/>
            <w:vAlign w:val="center"/>
            <w:hideMark/>
          </w:tcPr>
          <w:p w14:paraId="4C78FBED" w14:textId="77777777" w:rsidR="00F7044C" w:rsidRPr="00C421E4" w:rsidRDefault="00F7044C" w:rsidP="00804E6B">
            <w:pPr>
              <w:jc w:val="center"/>
              <w:rPr>
                <w:rFonts w:ascii="Times" w:hAnsi="Times"/>
              </w:rPr>
            </w:pPr>
            <w:r w:rsidRPr="00C421E4">
              <w:rPr>
                <w:rFonts w:ascii="Times" w:hAnsi="Times"/>
              </w:rPr>
              <w:t>-0.005</w:t>
            </w:r>
          </w:p>
        </w:tc>
        <w:tc>
          <w:tcPr>
            <w:tcW w:w="1037" w:type="dxa"/>
            <w:shd w:val="clear" w:color="auto" w:fill="auto"/>
            <w:noWrap/>
            <w:vAlign w:val="center"/>
            <w:hideMark/>
          </w:tcPr>
          <w:p w14:paraId="5865843E" w14:textId="77777777" w:rsidR="00F7044C" w:rsidRPr="00C421E4" w:rsidRDefault="00F7044C" w:rsidP="00804E6B">
            <w:pPr>
              <w:jc w:val="center"/>
              <w:rPr>
                <w:rFonts w:ascii="Times" w:hAnsi="Times"/>
              </w:rPr>
            </w:pPr>
            <w:r w:rsidRPr="00C421E4">
              <w:rPr>
                <w:rFonts w:ascii="Times" w:hAnsi="Times"/>
              </w:rPr>
              <w:t>-0.065</w:t>
            </w:r>
          </w:p>
        </w:tc>
        <w:tc>
          <w:tcPr>
            <w:tcW w:w="1037" w:type="dxa"/>
            <w:shd w:val="clear" w:color="auto" w:fill="auto"/>
            <w:noWrap/>
            <w:vAlign w:val="center"/>
            <w:hideMark/>
          </w:tcPr>
          <w:p w14:paraId="498F33DC" w14:textId="77777777" w:rsidR="00F7044C" w:rsidRPr="00C421E4" w:rsidRDefault="00F7044C" w:rsidP="00804E6B">
            <w:pPr>
              <w:jc w:val="center"/>
              <w:rPr>
                <w:rFonts w:ascii="Times" w:hAnsi="Times"/>
              </w:rPr>
            </w:pPr>
            <w:r w:rsidRPr="00C421E4">
              <w:rPr>
                <w:rFonts w:ascii="Times" w:hAnsi="Times"/>
              </w:rPr>
              <w:t>-0.05</w:t>
            </w:r>
          </w:p>
        </w:tc>
        <w:tc>
          <w:tcPr>
            <w:tcW w:w="896" w:type="dxa"/>
            <w:shd w:val="clear" w:color="auto" w:fill="auto"/>
            <w:noWrap/>
            <w:vAlign w:val="center"/>
            <w:hideMark/>
          </w:tcPr>
          <w:p w14:paraId="15C569FF" w14:textId="77777777" w:rsidR="00F7044C" w:rsidRPr="00C421E4" w:rsidRDefault="00F7044C" w:rsidP="00804E6B">
            <w:pPr>
              <w:jc w:val="center"/>
              <w:rPr>
                <w:rFonts w:ascii="Times" w:hAnsi="Times"/>
              </w:rPr>
            </w:pPr>
            <w:r w:rsidRPr="00C421E4">
              <w:rPr>
                <w:rFonts w:ascii="Times" w:hAnsi="Times"/>
              </w:rPr>
              <w:t>0.048</w:t>
            </w:r>
          </w:p>
        </w:tc>
        <w:tc>
          <w:tcPr>
            <w:tcW w:w="1019" w:type="dxa"/>
            <w:shd w:val="clear" w:color="auto" w:fill="auto"/>
            <w:noWrap/>
            <w:vAlign w:val="center"/>
            <w:hideMark/>
          </w:tcPr>
          <w:p w14:paraId="518024C4" w14:textId="77777777" w:rsidR="00F7044C" w:rsidRPr="00C421E4" w:rsidRDefault="00F7044C" w:rsidP="00804E6B">
            <w:pPr>
              <w:jc w:val="center"/>
              <w:rPr>
                <w:rFonts w:ascii="Times" w:hAnsi="Times"/>
              </w:rPr>
            </w:pPr>
            <w:r w:rsidRPr="00C421E4">
              <w:rPr>
                <w:rFonts w:ascii="Times" w:hAnsi="Times"/>
              </w:rPr>
              <w:t>1</w:t>
            </w:r>
          </w:p>
        </w:tc>
        <w:tc>
          <w:tcPr>
            <w:tcW w:w="1246" w:type="dxa"/>
            <w:shd w:val="clear" w:color="auto" w:fill="auto"/>
            <w:noWrap/>
            <w:vAlign w:val="center"/>
            <w:hideMark/>
          </w:tcPr>
          <w:p w14:paraId="3C0F57D5" w14:textId="77777777" w:rsidR="00F7044C" w:rsidRPr="00C421E4" w:rsidRDefault="00F7044C" w:rsidP="00804E6B">
            <w:pPr>
              <w:jc w:val="center"/>
              <w:rPr>
                <w:rFonts w:ascii="Times" w:hAnsi="Times"/>
                <w:sz w:val="20"/>
                <w:szCs w:val="20"/>
              </w:rPr>
            </w:pPr>
          </w:p>
        </w:tc>
      </w:tr>
      <w:tr w:rsidR="00F7044C" w:rsidRPr="00C421E4" w14:paraId="4DB17F82" w14:textId="77777777" w:rsidTr="00804E6B">
        <w:trPr>
          <w:trHeight w:val="351"/>
        </w:trPr>
        <w:tc>
          <w:tcPr>
            <w:tcW w:w="1666" w:type="dxa"/>
            <w:shd w:val="clear" w:color="auto" w:fill="auto"/>
            <w:noWrap/>
            <w:vAlign w:val="center"/>
            <w:hideMark/>
          </w:tcPr>
          <w:p w14:paraId="0389B9C5" w14:textId="77777777" w:rsidR="00F7044C" w:rsidRPr="00C421E4" w:rsidRDefault="00F7044C" w:rsidP="00804E6B">
            <w:pPr>
              <w:jc w:val="center"/>
              <w:rPr>
                <w:rFonts w:ascii="Times" w:hAnsi="Times"/>
              </w:rPr>
            </w:pPr>
            <w:r w:rsidRPr="00C421E4">
              <w:rPr>
                <w:rFonts w:ascii="Times" w:hAnsi="Times"/>
              </w:rPr>
              <w:t>Dig. Span</w:t>
            </w:r>
          </w:p>
        </w:tc>
        <w:tc>
          <w:tcPr>
            <w:tcW w:w="1037" w:type="dxa"/>
            <w:shd w:val="clear" w:color="auto" w:fill="auto"/>
            <w:noWrap/>
            <w:vAlign w:val="center"/>
            <w:hideMark/>
          </w:tcPr>
          <w:p w14:paraId="55A87203" w14:textId="77777777" w:rsidR="00F7044C" w:rsidRPr="00C421E4" w:rsidRDefault="00F7044C" w:rsidP="00804E6B">
            <w:pPr>
              <w:jc w:val="center"/>
              <w:rPr>
                <w:rFonts w:ascii="Times" w:hAnsi="Times"/>
              </w:rPr>
            </w:pPr>
            <w:r w:rsidRPr="00C421E4">
              <w:rPr>
                <w:rFonts w:ascii="Times" w:hAnsi="Times"/>
              </w:rPr>
              <w:t>0.03</w:t>
            </w:r>
          </w:p>
        </w:tc>
        <w:tc>
          <w:tcPr>
            <w:tcW w:w="1037" w:type="dxa"/>
            <w:shd w:val="clear" w:color="auto" w:fill="auto"/>
            <w:noWrap/>
            <w:vAlign w:val="center"/>
            <w:hideMark/>
          </w:tcPr>
          <w:p w14:paraId="3A2AC6D0" w14:textId="77777777" w:rsidR="00F7044C" w:rsidRPr="00C421E4" w:rsidRDefault="00F7044C" w:rsidP="00804E6B">
            <w:pPr>
              <w:jc w:val="center"/>
              <w:rPr>
                <w:rFonts w:ascii="Times" w:hAnsi="Times"/>
              </w:rPr>
            </w:pPr>
            <w:r w:rsidRPr="00C421E4">
              <w:rPr>
                <w:rFonts w:ascii="Times" w:hAnsi="Times"/>
              </w:rPr>
              <w:t>-0.1</w:t>
            </w:r>
          </w:p>
        </w:tc>
        <w:tc>
          <w:tcPr>
            <w:tcW w:w="1037" w:type="dxa"/>
            <w:shd w:val="clear" w:color="auto" w:fill="auto"/>
            <w:noWrap/>
            <w:vAlign w:val="center"/>
            <w:hideMark/>
          </w:tcPr>
          <w:p w14:paraId="1619FEB8" w14:textId="77777777" w:rsidR="00F7044C" w:rsidRPr="00C421E4" w:rsidRDefault="00F7044C" w:rsidP="00804E6B">
            <w:pPr>
              <w:jc w:val="center"/>
              <w:rPr>
                <w:rFonts w:ascii="Times" w:hAnsi="Times"/>
              </w:rPr>
            </w:pPr>
            <w:r w:rsidRPr="00C421E4">
              <w:rPr>
                <w:rFonts w:ascii="Times" w:hAnsi="Times"/>
              </w:rPr>
              <w:t>0.062</w:t>
            </w:r>
          </w:p>
        </w:tc>
        <w:tc>
          <w:tcPr>
            <w:tcW w:w="896" w:type="dxa"/>
            <w:shd w:val="clear" w:color="auto" w:fill="auto"/>
            <w:noWrap/>
            <w:vAlign w:val="center"/>
            <w:hideMark/>
          </w:tcPr>
          <w:p w14:paraId="7E4D948F" w14:textId="77777777" w:rsidR="00F7044C" w:rsidRPr="00C421E4" w:rsidRDefault="00F7044C" w:rsidP="00804E6B">
            <w:pPr>
              <w:jc w:val="center"/>
              <w:rPr>
                <w:rFonts w:ascii="Times" w:hAnsi="Times"/>
              </w:rPr>
            </w:pPr>
            <w:r w:rsidRPr="00C421E4">
              <w:rPr>
                <w:rFonts w:ascii="Times" w:hAnsi="Times"/>
              </w:rPr>
              <w:t>0.141</w:t>
            </w:r>
          </w:p>
        </w:tc>
        <w:tc>
          <w:tcPr>
            <w:tcW w:w="1019" w:type="dxa"/>
            <w:shd w:val="clear" w:color="auto" w:fill="auto"/>
            <w:noWrap/>
            <w:vAlign w:val="center"/>
            <w:hideMark/>
          </w:tcPr>
          <w:p w14:paraId="0149293D" w14:textId="77777777" w:rsidR="00F7044C" w:rsidRPr="00C421E4" w:rsidRDefault="00F7044C" w:rsidP="00804E6B">
            <w:pPr>
              <w:jc w:val="center"/>
              <w:rPr>
                <w:rFonts w:ascii="Times" w:hAnsi="Times"/>
              </w:rPr>
            </w:pPr>
            <w:r w:rsidRPr="00C421E4">
              <w:rPr>
                <w:rFonts w:ascii="Times" w:hAnsi="Times"/>
              </w:rPr>
              <w:t>-0.239</w:t>
            </w:r>
          </w:p>
        </w:tc>
        <w:tc>
          <w:tcPr>
            <w:tcW w:w="1246" w:type="dxa"/>
            <w:shd w:val="clear" w:color="auto" w:fill="auto"/>
            <w:noWrap/>
            <w:vAlign w:val="center"/>
            <w:hideMark/>
          </w:tcPr>
          <w:p w14:paraId="6EBFC33A" w14:textId="77777777" w:rsidR="00F7044C" w:rsidRPr="00C421E4" w:rsidRDefault="00F7044C" w:rsidP="00804E6B">
            <w:pPr>
              <w:jc w:val="center"/>
              <w:rPr>
                <w:rFonts w:ascii="Times" w:hAnsi="Times"/>
              </w:rPr>
            </w:pPr>
            <w:r w:rsidRPr="00C421E4">
              <w:rPr>
                <w:rFonts w:ascii="Times" w:hAnsi="Times"/>
              </w:rPr>
              <w:t>1</w:t>
            </w:r>
          </w:p>
        </w:tc>
      </w:tr>
      <w:tr w:rsidR="00F7044C" w:rsidRPr="00C421E4" w14:paraId="75014800" w14:textId="77777777" w:rsidTr="00804E6B">
        <w:trPr>
          <w:trHeight w:val="315"/>
        </w:trPr>
        <w:tc>
          <w:tcPr>
            <w:tcW w:w="1666" w:type="dxa"/>
            <w:shd w:val="clear" w:color="auto" w:fill="auto"/>
            <w:noWrap/>
            <w:vAlign w:val="center"/>
            <w:hideMark/>
          </w:tcPr>
          <w:p w14:paraId="2D7571C6" w14:textId="77777777" w:rsidR="00F7044C" w:rsidRPr="00C421E4" w:rsidRDefault="00F7044C" w:rsidP="00804E6B">
            <w:pPr>
              <w:jc w:val="center"/>
              <w:rPr>
                <w:rFonts w:ascii="Times" w:hAnsi="Times"/>
              </w:rPr>
            </w:pPr>
            <w:r w:rsidRPr="00C421E4">
              <w:rPr>
                <w:rFonts w:ascii="Times" w:hAnsi="Times"/>
              </w:rPr>
              <w:t>Ver. Fluency</w:t>
            </w:r>
          </w:p>
        </w:tc>
        <w:tc>
          <w:tcPr>
            <w:tcW w:w="1037" w:type="dxa"/>
            <w:shd w:val="clear" w:color="auto" w:fill="auto"/>
            <w:noWrap/>
            <w:vAlign w:val="center"/>
            <w:hideMark/>
          </w:tcPr>
          <w:p w14:paraId="0D9A80B7" w14:textId="77777777" w:rsidR="00F7044C" w:rsidRPr="00C421E4" w:rsidRDefault="00F7044C" w:rsidP="00804E6B">
            <w:pPr>
              <w:jc w:val="center"/>
              <w:rPr>
                <w:rFonts w:ascii="Times" w:hAnsi="Times"/>
              </w:rPr>
            </w:pPr>
            <w:r w:rsidRPr="00C421E4">
              <w:rPr>
                <w:rFonts w:ascii="Times" w:hAnsi="Times"/>
              </w:rPr>
              <w:t>0.109</w:t>
            </w:r>
          </w:p>
        </w:tc>
        <w:tc>
          <w:tcPr>
            <w:tcW w:w="1037" w:type="dxa"/>
            <w:shd w:val="clear" w:color="auto" w:fill="auto"/>
            <w:noWrap/>
            <w:vAlign w:val="center"/>
            <w:hideMark/>
          </w:tcPr>
          <w:p w14:paraId="7B48A067" w14:textId="77777777" w:rsidR="00F7044C" w:rsidRPr="00C421E4" w:rsidRDefault="00F7044C" w:rsidP="00804E6B">
            <w:pPr>
              <w:jc w:val="center"/>
              <w:rPr>
                <w:rFonts w:ascii="Times" w:hAnsi="Times"/>
              </w:rPr>
            </w:pPr>
            <w:r w:rsidRPr="00C421E4">
              <w:rPr>
                <w:rFonts w:ascii="Times" w:hAnsi="Times"/>
              </w:rPr>
              <w:t>-0.147</w:t>
            </w:r>
          </w:p>
        </w:tc>
        <w:tc>
          <w:tcPr>
            <w:tcW w:w="1037" w:type="dxa"/>
            <w:shd w:val="clear" w:color="auto" w:fill="auto"/>
            <w:noWrap/>
            <w:vAlign w:val="center"/>
            <w:hideMark/>
          </w:tcPr>
          <w:p w14:paraId="2C3E8AE7" w14:textId="77777777" w:rsidR="00F7044C" w:rsidRPr="00C421E4" w:rsidRDefault="00F7044C" w:rsidP="00804E6B">
            <w:pPr>
              <w:jc w:val="center"/>
              <w:rPr>
                <w:rFonts w:ascii="Times" w:hAnsi="Times"/>
              </w:rPr>
            </w:pPr>
            <w:r w:rsidRPr="00C421E4">
              <w:rPr>
                <w:rFonts w:ascii="Times" w:hAnsi="Times"/>
              </w:rPr>
              <w:t>0.291</w:t>
            </w:r>
          </w:p>
        </w:tc>
        <w:tc>
          <w:tcPr>
            <w:tcW w:w="896" w:type="dxa"/>
            <w:shd w:val="clear" w:color="auto" w:fill="auto"/>
            <w:noWrap/>
            <w:vAlign w:val="center"/>
            <w:hideMark/>
          </w:tcPr>
          <w:p w14:paraId="76638094" w14:textId="77777777" w:rsidR="00F7044C" w:rsidRPr="00C421E4" w:rsidRDefault="00F7044C" w:rsidP="00804E6B">
            <w:pPr>
              <w:jc w:val="center"/>
              <w:rPr>
                <w:rFonts w:ascii="Times" w:hAnsi="Times"/>
              </w:rPr>
            </w:pPr>
            <w:r w:rsidRPr="00C421E4">
              <w:rPr>
                <w:rFonts w:ascii="Times" w:hAnsi="Times"/>
              </w:rPr>
              <w:t>0.045</w:t>
            </w:r>
          </w:p>
        </w:tc>
        <w:tc>
          <w:tcPr>
            <w:tcW w:w="1019" w:type="dxa"/>
            <w:shd w:val="clear" w:color="auto" w:fill="auto"/>
            <w:noWrap/>
            <w:vAlign w:val="center"/>
            <w:hideMark/>
          </w:tcPr>
          <w:p w14:paraId="6248A49A" w14:textId="77777777" w:rsidR="00F7044C" w:rsidRPr="00C421E4" w:rsidRDefault="00F7044C" w:rsidP="00804E6B">
            <w:pPr>
              <w:jc w:val="center"/>
              <w:rPr>
                <w:rFonts w:ascii="Times" w:hAnsi="Times"/>
              </w:rPr>
            </w:pPr>
            <w:r w:rsidRPr="00C421E4">
              <w:rPr>
                <w:rFonts w:ascii="Times" w:hAnsi="Times"/>
              </w:rPr>
              <w:t>-0.134</w:t>
            </w:r>
          </w:p>
        </w:tc>
        <w:tc>
          <w:tcPr>
            <w:tcW w:w="1246" w:type="dxa"/>
            <w:shd w:val="clear" w:color="auto" w:fill="auto"/>
            <w:noWrap/>
            <w:vAlign w:val="center"/>
            <w:hideMark/>
          </w:tcPr>
          <w:p w14:paraId="17DF8515" w14:textId="77777777" w:rsidR="00F7044C" w:rsidRPr="00C421E4" w:rsidRDefault="00F7044C" w:rsidP="00804E6B">
            <w:pPr>
              <w:jc w:val="center"/>
              <w:rPr>
                <w:rFonts w:ascii="Times" w:hAnsi="Times"/>
              </w:rPr>
            </w:pPr>
            <w:r w:rsidRPr="00C421E4">
              <w:rPr>
                <w:rFonts w:ascii="Times" w:hAnsi="Times"/>
              </w:rPr>
              <w:t>.313</w:t>
            </w:r>
          </w:p>
        </w:tc>
      </w:tr>
    </w:tbl>
    <w:p w14:paraId="4D340BE1" w14:textId="77777777" w:rsidR="00F7044C" w:rsidRPr="00C421E4" w:rsidRDefault="00F7044C" w:rsidP="00F7044C">
      <w:pPr>
        <w:outlineLvl w:val="0"/>
        <w:rPr>
          <w:rFonts w:ascii="Times" w:hAnsi="Times"/>
        </w:rPr>
      </w:pPr>
    </w:p>
    <w:p w14:paraId="60B89585" w14:textId="77777777" w:rsidR="00F7044C" w:rsidRPr="00C421E4" w:rsidRDefault="00F7044C" w:rsidP="00F7044C">
      <w:pPr>
        <w:spacing w:line="480" w:lineRule="auto"/>
        <w:rPr>
          <w:rFonts w:ascii="Times" w:hAnsi="Times"/>
        </w:rPr>
      </w:pPr>
      <w:r>
        <w:rPr>
          <w:rFonts w:ascii="Times" w:hAnsi="Times"/>
        </w:rPr>
        <w:t>Table 3</w:t>
      </w:r>
      <w:r w:rsidRPr="00C421E4">
        <w:rPr>
          <w:rFonts w:ascii="Times" w:hAnsi="Times"/>
        </w:rPr>
        <w:t>: Correlations between psychological and cognitive tests. Numbers represent r-values. * indicates p &lt; .01.</w:t>
      </w:r>
    </w:p>
    <w:p w14:paraId="244D06E7" w14:textId="77777777" w:rsidR="00F7044C" w:rsidRPr="00C421E4" w:rsidRDefault="00F7044C" w:rsidP="00F7044C">
      <w:pPr>
        <w:outlineLvl w:val="0"/>
        <w:rPr>
          <w:rFonts w:ascii="Times" w:hAnsi="Times"/>
        </w:rPr>
      </w:pPr>
      <w:r w:rsidRPr="00C421E4">
        <w:rPr>
          <w:rFonts w:ascii="Times" w:hAnsi="Times"/>
        </w:rPr>
        <w:br w:type="page"/>
      </w:r>
    </w:p>
    <w:tbl>
      <w:tblPr>
        <w:tblStyle w:val="TableGrid"/>
        <w:tblW w:w="5000" w:type="pct"/>
        <w:tblLook w:val="0420" w:firstRow="1" w:lastRow="0" w:firstColumn="0" w:lastColumn="0" w:noHBand="0" w:noVBand="1"/>
      </w:tblPr>
      <w:tblGrid>
        <w:gridCol w:w="2403"/>
        <w:gridCol w:w="1511"/>
        <w:gridCol w:w="1572"/>
        <w:gridCol w:w="1572"/>
        <w:gridCol w:w="1572"/>
      </w:tblGrid>
      <w:tr w:rsidR="00F7044C" w:rsidRPr="00C421E4" w14:paraId="15BC4A8D" w14:textId="77777777" w:rsidTr="00804E6B">
        <w:trPr>
          <w:trHeight w:val="538"/>
        </w:trPr>
        <w:tc>
          <w:tcPr>
            <w:tcW w:w="1155" w:type="pct"/>
            <w:vAlign w:val="center"/>
            <w:hideMark/>
          </w:tcPr>
          <w:p w14:paraId="3A0EA1DD" w14:textId="77777777" w:rsidR="00F7044C" w:rsidRPr="00C421E4" w:rsidRDefault="00F7044C" w:rsidP="00804E6B">
            <w:pPr>
              <w:jc w:val="center"/>
              <w:rPr>
                <w:rFonts w:ascii="Times" w:hAnsi="Times"/>
              </w:rPr>
            </w:pPr>
            <w:r w:rsidRPr="00C421E4">
              <w:rPr>
                <w:rFonts w:ascii="Times" w:hAnsi="Times"/>
              </w:rPr>
              <w:lastRenderedPageBreak/>
              <w:t>Symptom</w:t>
            </w:r>
          </w:p>
        </w:tc>
        <w:tc>
          <w:tcPr>
            <w:tcW w:w="935" w:type="pct"/>
            <w:vAlign w:val="center"/>
            <w:hideMark/>
          </w:tcPr>
          <w:p w14:paraId="5E645BDF" w14:textId="77777777" w:rsidR="00F7044C" w:rsidRPr="00C421E4" w:rsidRDefault="00F7044C" w:rsidP="00804E6B">
            <w:pPr>
              <w:jc w:val="center"/>
              <w:rPr>
                <w:rFonts w:ascii="Times" w:hAnsi="Times"/>
              </w:rPr>
            </w:pPr>
            <w:r w:rsidRPr="00C421E4">
              <w:rPr>
                <w:rFonts w:ascii="Times" w:hAnsi="Times"/>
              </w:rPr>
              <w:t>Non-TBI (%)</w:t>
            </w:r>
          </w:p>
        </w:tc>
        <w:tc>
          <w:tcPr>
            <w:tcW w:w="970" w:type="pct"/>
            <w:vAlign w:val="center"/>
            <w:hideMark/>
          </w:tcPr>
          <w:p w14:paraId="4B2569E1" w14:textId="77777777" w:rsidR="00F7044C" w:rsidRPr="00C421E4" w:rsidRDefault="00F7044C" w:rsidP="00804E6B">
            <w:pPr>
              <w:jc w:val="center"/>
              <w:rPr>
                <w:rFonts w:ascii="Times" w:hAnsi="Times"/>
              </w:rPr>
            </w:pPr>
            <w:r w:rsidRPr="00C421E4">
              <w:rPr>
                <w:rFonts w:ascii="Times" w:hAnsi="Times"/>
              </w:rPr>
              <w:t>mTBI (%)</w:t>
            </w:r>
          </w:p>
        </w:tc>
        <w:tc>
          <w:tcPr>
            <w:tcW w:w="970" w:type="pct"/>
            <w:vAlign w:val="center"/>
            <w:hideMark/>
          </w:tcPr>
          <w:p w14:paraId="755BBDD8" w14:textId="77777777" w:rsidR="00F7044C" w:rsidRPr="00C421E4" w:rsidRDefault="00F7044C" w:rsidP="00804E6B">
            <w:pPr>
              <w:jc w:val="center"/>
              <w:rPr>
                <w:rFonts w:ascii="Times" w:hAnsi="Times"/>
              </w:rPr>
            </w:pPr>
            <w:r w:rsidRPr="00C421E4">
              <w:rPr>
                <w:rFonts w:ascii="Times" w:hAnsi="Times"/>
              </w:rPr>
              <w:t>X-value</w:t>
            </w:r>
          </w:p>
        </w:tc>
        <w:tc>
          <w:tcPr>
            <w:tcW w:w="970" w:type="pct"/>
            <w:vAlign w:val="center"/>
            <w:hideMark/>
          </w:tcPr>
          <w:p w14:paraId="5B8EF0E4" w14:textId="77777777" w:rsidR="00F7044C" w:rsidRPr="00C421E4" w:rsidRDefault="00F7044C" w:rsidP="00804E6B">
            <w:pPr>
              <w:jc w:val="center"/>
              <w:rPr>
                <w:rFonts w:ascii="Times" w:hAnsi="Times"/>
              </w:rPr>
            </w:pPr>
            <w:r w:rsidRPr="00C421E4">
              <w:rPr>
                <w:rFonts w:ascii="Times" w:hAnsi="Times"/>
              </w:rPr>
              <w:t>P-value</w:t>
            </w:r>
          </w:p>
        </w:tc>
      </w:tr>
      <w:tr w:rsidR="00F7044C" w:rsidRPr="00C421E4" w14:paraId="3DCD9A40" w14:textId="77777777" w:rsidTr="00804E6B">
        <w:trPr>
          <w:trHeight w:val="538"/>
        </w:trPr>
        <w:tc>
          <w:tcPr>
            <w:tcW w:w="1155" w:type="pct"/>
            <w:vAlign w:val="center"/>
            <w:hideMark/>
          </w:tcPr>
          <w:p w14:paraId="7384B007" w14:textId="77777777" w:rsidR="00F7044C" w:rsidRPr="00C421E4" w:rsidRDefault="00F7044C" w:rsidP="00804E6B">
            <w:pPr>
              <w:jc w:val="center"/>
              <w:rPr>
                <w:rFonts w:ascii="Times" w:hAnsi="Times"/>
              </w:rPr>
            </w:pPr>
            <w:r w:rsidRPr="00C421E4">
              <w:rPr>
                <w:rFonts w:ascii="Times" w:hAnsi="Times"/>
              </w:rPr>
              <w:t>Headaches</w:t>
            </w:r>
          </w:p>
        </w:tc>
        <w:tc>
          <w:tcPr>
            <w:tcW w:w="935" w:type="pct"/>
            <w:vAlign w:val="center"/>
            <w:hideMark/>
          </w:tcPr>
          <w:p w14:paraId="4461EE36" w14:textId="77777777" w:rsidR="00F7044C" w:rsidRPr="00C421E4" w:rsidRDefault="00F7044C" w:rsidP="00804E6B">
            <w:pPr>
              <w:jc w:val="center"/>
              <w:rPr>
                <w:rFonts w:ascii="Times" w:hAnsi="Times"/>
              </w:rPr>
            </w:pPr>
            <w:r w:rsidRPr="00C421E4">
              <w:rPr>
                <w:rFonts w:ascii="Times" w:hAnsi="Times"/>
              </w:rPr>
              <w:t>64.4</w:t>
            </w:r>
          </w:p>
        </w:tc>
        <w:tc>
          <w:tcPr>
            <w:tcW w:w="970" w:type="pct"/>
            <w:vAlign w:val="center"/>
            <w:hideMark/>
          </w:tcPr>
          <w:p w14:paraId="7BFC5638" w14:textId="77777777" w:rsidR="00F7044C" w:rsidRPr="00C421E4" w:rsidRDefault="00F7044C" w:rsidP="00804E6B">
            <w:pPr>
              <w:jc w:val="center"/>
              <w:rPr>
                <w:rFonts w:ascii="Times" w:hAnsi="Times"/>
              </w:rPr>
            </w:pPr>
            <w:r w:rsidRPr="00C421E4">
              <w:rPr>
                <w:rFonts w:ascii="Times" w:hAnsi="Times"/>
              </w:rPr>
              <w:t>77.8</w:t>
            </w:r>
          </w:p>
        </w:tc>
        <w:tc>
          <w:tcPr>
            <w:tcW w:w="970" w:type="pct"/>
            <w:vAlign w:val="center"/>
            <w:hideMark/>
          </w:tcPr>
          <w:p w14:paraId="1A84A2EC" w14:textId="77777777" w:rsidR="00F7044C" w:rsidRPr="00C421E4" w:rsidRDefault="00F7044C" w:rsidP="00804E6B">
            <w:pPr>
              <w:jc w:val="center"/>
              <w:rPr>
                <w:rFonts w:ascii="Times" w:hAnsi="Times"/>
              </w:rPr>
            </w:pPr>
            <w:r w:rsidRPr="00C421E4">
              <w:rPr>
                <w:rFonts w:ascii="Times" w:hAnsi="Times"/>
              </w:rPr>
              <w:t>1.95</w:t>
            </w:r>
          </w:p>
        </w:tc>
        <w:tc>
          <w:tcPr>
            <w:tcW w:w="970" w:type="pct"/>
            <w:vAlign w:val="center"/>
            <w:hideMark/>
          </w:tcPr>
          <w:p w14:paraId="6D6B05E2" w14:textId="77777777" w:rsidR="00F7044C" w:rsidRPr="00C421E4" w:rsidRDefault="00F7044C" w:rsidP="00804E6B">
            <w:pPr>
              <w:jc w:val="center"/>
              <w:rPr>
                <w:rFonts w:ascii="Times" w:hAnsi="Times"/>
              </w:rPr>
            </w:pPr>
            <w:r w:rsidRPr="00C421E4">
              <w:rPr>
                <w:rFonts w:ascii="Times" w:hAnsi="Times"/>
              </w:rPr>
              <w:t>.16</w:t>
            </w:r>
          </w:p>
        </w:tc>
      </w:tr>
      <w:tr w:rsidR="00F7044C" w:rsidRPr="00C421E4" w14:paraId="742A8B29" w14:textId="77777777" w:rsidTr="00804E6B">
        <w:trPr>
          <w:trHeight w:val="538"/>
        </w:trPr>
        <w:tc>
          <w:tcPr>
            <w:tcW w:w="1155" w:type="pct"/>
            <w:vAlign w:val="center"/>
            <w:hideMark/>
          </w:tcPr>
          <w:p w14:paraId="13A35980" w14:textId="77777777" w:rsidR="00F7044C" w:rsidRPr="00C421E4" w:rsidRDefault="00F7044C" w:rsidP="00804E6B">
            <w:pPr>
              <w:jc w:val="center"/>
              <w:rPr>
                <w:rFonts w:ascii="Times" w:hAnsi="Times"/>
                <w:b/>
              </w:rPr>
            </w:pPr>
            <w:r w:rsidRPr="00C421E4">
              <w:rPr>
                <w:rFonts w:ascii="Times" w:hAnsi="Times"/>
                <w:b/>
              </w:rPr>
              <w:t>Dizziness</w:t>
            </w:r>
          </w:p>
        </w:tc>
        <w:tc>
          <w:tcPr>
            <w:tcW w:w="935" w:type="pct"/>
            <w:vAlign w:val="center"/>
            <w:hideMark/>
          </w:tcPr>
          <w:p w14:paraId="7CAD4B94" w14:textId="77777777" w:rsidR="00F7044C" w:rsidRPr="00C421E4" w:rsidRDefault="00F7044C" w:rsidP="00804E6B">
            <w:pPr>
              <w:jc w:val="center"/>
              <w:rPr>
                <w:rFonts w:ascii="Times" w:hAnsi="Times"/>
                <w:b/>
              </w:rPr>
            </w:pPr>
            <w:r w:rsidRPr="00C421E4">
              <w:rPr>
                <w:rFonts w:ascii="Times" w:hAnsi="Times"/>
                <w:b/>
              </w:rPr>
              <w:t>17.8</w:t>
            </w:r>
          </w:p>
        </w:tc>
        <w:tc>
          <w:tcPr>
            <w:tcW w:w="970" w:type="pct"/>
            <w:vAlign w:val="center"/>
            <w:hideMark/>
          </w:tcPr>
          <w:p w14:paraId="1F3962EE" w14:textId="77777777" w:rsidR="00F7044C" w:rsidRPr="00C421E4" w:rsidRDefault="00F7044C" w:rsidP="00804E6B">
            <w:pPr>
              <w:jc w:val="center"/>
              <w:rPr>
                <w:rFonts w:ascii="Times" w:hAnsi="Times"/>
                <w:b/>
              </w:rPr>
            </w:pPr>
            <w:r w:rsidRPr="00C421E4">
              <w:rPr>
                <w:rFonts w:ascii="Times" w:hAnsi="Times"/>
                <w:b/>
              </w:rPr>
              <w:t>42.2</w:t>
            </w:r>
          </w:p>
        </w:tc>
        <w:tc>
          <w:tcPr>
            <w:tcW w:w="970" w:type="pct"/>
            <w:vAlign w:val="center"/>
            <w:hideMark/>
          </w:tcPr>
          <w:p w14:paraId="7795092B" w14:textId="77777777" w:rsidR="00F7044C" w:rsidRPr="00C421E4" w:rsidRDefault="00F7044C" w:rsidP="00804E6B">
            <w:pPr>
              <w:jc w:val="center"/>
              <w:rPr>
                <w:rFonts w:ascii="Times" w:hAnsi="Times"/>
                <w:b/>
              </w:rPr>
            </w:pPr>
            <w:r w:rsidRPr="00C421E4">
              <w:rPr>
                <w:rFonts w:ascii="Times" w:hAnsi="Times"/>
                <w:b/>
              </w:rPr>
              <w:t>6.40</w:t>
            </w:r>
          </w:p>
        </w:tc>
        <w:tc>
          <w:tcPr>
            <w:tcW w:w="970" w:type="pct"/>
            <w:vAlign w:val="center"/>
            <w:hideMark/>
          </w:tcPr>
          <w:p w14:paraId="2B8DA61E" w14:textId="77777777" w:rsidR="00F7044C" w:rsidRPr="00C421E4" w:rsidRDefault="00F7044C" w:rsidP="00804E6B">
            <w:pPr>
              <w:jc w:val="center"/>
              <w:rPr>
                <w:rFonts w:ascii="Times" w:hAnsi="Times"/>
                <w:b/>
              </w:rPr>
            </w:pPr>
            <w:r w:rsidRPr="00C421E4">
              <w:rPr>
                <w:rFonts w:ascii="Times" w:hAnsi="Times"/>
                <w:b/>
              </w:rPr>
              <w:t>.01</w:t>
            </w:r>
          </w:p>
        </w:tc>
      </w:tr>
      <w:tr w:rsidR="00F7044C" w:rsidRPr="00C421E4" w14:paraId="0718367A" w14:textId="77777777" w:rsidTr="00804E6B">
        <w:trPr>
          <w:trHeight w:val="538"/>
        </w:trPr>
        <w:tc>
          <w:tcPr>
            <w:tcW w:w="1155" w:type="pct"/>
            <w:vAlign w:val="center"/>
            <w:hideMark/>
          </w:tcPr>
          <w:p w14:paraId="1F29A1ED" w14:textId="77777777" w:rsidR="00F7044C" w:rsidRPr="00C421E4" w:rsidRDefault="00F7044C" w:rsidP="00804E6B">
            <w:pPr>
              <w:jc w:val="center"/>
              <w:rPr>
                <w:rFonts w:ascii="Times" w:hAnsi="Times"/>
              </w:rPr>
            </w:pPr>
            <w:r w:rsidRPr="00C421E4">
              <w:rPr>
                <w:rFonts w:ascii="Times" w:hAnsi="Times"/>
              </w:rPr>
              <w:t>Nausea/vomiting</w:t>
            </w:r>
          </w:p>
        </w:tc>
        <w:tc>
          <w:tcPr>
            <w:tcW w:w="935" w:type="pct"/>
            <w:vAlign w:val="center"/>
            <w:hideMark/>
          </w:tcPr>
          <w:p w14:paraId="1B35C8A8" w14:textId="77777777" w:rsidR="00F7044C" w:rsidRPr="00C421E4" w:rsidRDefault="00F7044C" w:rsidP="00804E6B">
            <w:pPr>
              <w:jc w:val="center"/>
              <w:rPr>
                <w:rFonts w:ascii="Times" w:hAnsi="Times"/>
              </w:rPr>
            </w:pPr>
            <w:r w:rsidRPr="00C421E4">
              <w:rPr>
                <w:rFonts w:ascii="Times" w:hAnsi="Times"/>
              </w:rPr>
              <w:t>24.4</w:t>
            </w:r>
          </w:p>
        </w:tc>
        <w:tc>
          <w:tcPr>
            <w:tcW w:w="970" w:type="pct"/>
            <w:vAlign w:val="center"/>
            <w:hideMark/>
          </w:tcPr>
          <w:p w14:paraId="795F9A69" w14:textId="77777777" w:rsidR="00F7044C" w:rsidRPr="00C421E4" w:rsidRDefault="00F7044C" w:rsidP="00804E6B">
            <w:pPr>
              <w:jc w:val="center"/>
              <w:rPr>
                <w:rFonts w:ascii="Times" w:hAnsi="Times"/>
              </w:rPr>
            </w:pPr>
            <w:r w:rsidRPr="00C421E4">
              <w:rPr>
                <w:rFonts w:ascii="Times" w:hAnsi="Times"/>
              </w:rPr>
              <w:t>24.4</w:t>
            </w:r>
          </w:p>
        </w:tc>
        <w:tc>
          <w:tcPr>
            <w:tcW w:w="970" w:type="pct"/>
            <w:vAlign w:val="center"/>
            <w:hideMark/>
          </w:tcPr>
          <w:p w14:paraId="63B3B5FD" w14:textId="77777777" w:rsidR="00F7044C" w:rsidRPr="00C421E4" w:rsidRDefault="00F7044C" w:rsidP="00804E6B">
            <w:pPr>
              <w:jc w:val="center"/>
              <w:rPr>
                <w:rFonts w:ascii="Times" w:hAnsi="Times"/>
              </w:rPr>
            </w:pPr>
            <w:r w:rsidRPr="00C421E4">
              <w:rPr>
                <w:rFonts w:ascii="Times" w:hAnsi="Times"/>
              </w:rPr>
              <w:t>0.00</w:t>
            </w:r>
          </w:p>
        </w:tc>
        <w:tc>
          <w:tcPr>
            <w:tcW w:w="970" w:type="pct"/>
            <w:vAlign w:val="center"/>
            <w:hideMark/>
          </w:tcPr>
          <w:p w14:paraId="005990E4" w14:textId="77777777" w:rsidR="00F7044C" w:rsidRPr="00C421E4" w:rsidRDefault="00F7044C" w:rsidP="00804E6B">
            <w:pPr>
              <w:jc w:val="center"/>
              <w:rPr>
                <w:rFonts w:ascii="Times" w:hAnsi="Times"/>
              </w:rPr>
            </w:pPr>
            <w:r w:rsidRPr="00C421E4">
              <w:rPr>
                <w:rFonts w:ascii="Times" w:hAnsi="Times"/>
              </w:rPr>
              <w:t>.99</w:t>
            </w:r>
          </w:p>
        </w:tc>
      </w:tr>
      <w:tr w:rsidR="00F7044C" w:rsidRPr="00C421E4" w14:paraId="47BB8C8C" w14:textId="77777777" w:rsidTr="00804E6B">
        <w:trPr>
          <w:trHeight w:val="538"/>
        </w:trPr>
        <w:tc>
          <w:tcPr>
            <w:tcW w:w="1155" w:type="pct"/>
            <w:vAlign w:val="center"/>
            <w:hideMark/>
          </w:tcPr>
          <w:p w14:paraId="46EE89EA" w14:textId="77777777" w:rsidR="00F7044C" w:rsidRPr="00C421E4" w:rsidRDefault="00F7044C" w:rsidP="00804E6B">
            <w:pPr>
              <w:jc w:val="center"/>
              <w:rPr>
                <w:rFonts w:ascii="Times" w:hAnsi="Times"/>
              </w:rPr>
            </w:pPr>
            <w:r w:rsidRPr="00C421E4">
              <w:rPr>
                <w:rFonts w:ascii="Times" w:hAnsi="Times"/>
              </w:rPr>
              <w:t>Noise sensitivity</w:t>
            </w:r>
          </w:p>
        </w:tc>
        <w:tc>
          <w:tcPr>
            <w:tcW w:w="935" w:type="pct"/>
            <w:vAlign w:val="center"/>
            <w:hideMark/>
          </w:tcPr>
          <w:p w14:paraId="482DA293" w14:textId="77777777" w:rsidR="00F7044C" w:rsidRPr="00C421E4" w:rsidRDefault="00F7044C" w:rsidP="00804E6B">
            <w:pPr>
              <w:jc w:val="center"/>
              <w:rPr>
                <w:rFonts w:ascii="Times" w:hAnsi="Times"/>
              </w:rPr>
            </w:pPr>
            <w:r w:rsidRPr="00C421E4">
              <w:rPr>
                <w:rFonts w:ascii="Times" w:hAnsi="Times"/>
              </w:rPr>
              <w:t>15.6</w:t>
            </w:r>
          </w:p>
        </w:tc>
        <w:tc>
          <w:tcPr>
            <w:tcW w:w="970" w:type="pct"/>
            <w:vAlign w:val="center"/>
            <w:hideMark/>
          </w:tcPr>
          <w:p w14:paraId="19C2C463" w14:textId="77777777" w:rsidR="00F7044C" w:rsidRPr="00C421E4" w:rsidRDefault="00F7044C" w:rsidP="00804E6B">
            <w:pPr>
              <w:jc w:val="center"/>
              <w:rPr>
                <w:rFonts w:ascii="Times" w:hAnsi="Times"/>
              </w:rPr>
            </w:pPr>
            <w:r w:rsidRPr="00C421E4">
              <w:rPr>
                <w:rFonts w:ascii="Times" w:hAnsi="Times"/>
              </w:rPr>
              <w:t>28.9</w:t>
            </w:r>
          </w:p>
        </w:tc>
        <w:tc>
          <w:tcPr>
            <w:tcW w:w="970" w:type="pct"/>
            <w:vAlign w:val="center"/>
            <w:hideMark/>
          </w:tcPr>
          <w:p w14:paraId="5FF4BB6A" w14:textId="77777777" w:rsidR="00F7044C" w:rsidRPr="00C421E4" w:rsidRDefault="00F7044C" w:rsidP="00804E6B">
            <w:pPr>
              <w:jc w:val="center"/>
              <w:rPr>
                <w:rFonts w:ascii="Times" w:hAnsi="Times"/>
              </w:rPr>
            </w:pPr>
            <w:r w:rsidRPr="00C421E4">
              <w:rPr>
                <w:rFonts w:ascii="Times" w:hAnsi="Times"/>
              </w:rPr>
              <w:t>2.31</w:t>
            </w:r>
          </w:p>
        </w:tc>
        <w:tc>
          <w:tcPr>
            <w:tcW w:w="970" w:type="pct"/>
            <w:vAlign w:val="center"/>
            <w:hideMark/>
          </w:tcPr>
          <w:p w14:paraId="4AC6CD37" w14:textId="77777777" w:rsidR="00F7044C" w:rsidRPr="00C421E4" w:rsidRDefault="00F7044C" w:rsidP="00804E6B">
            <w:pPr>
              <w:jc w:val="center"/>
              <w:rPr>
                <w:rFonts w:ascii="Times" w:hAnsi="Times"/>
              </w:rPr>
            </w:pPr>
            <w:r w:rsidRPr="00C421E4">
              <w:rPr>
                <w:rFonts w:ascii="Times" w:hAnsi="Times"/>
              </w:rPr>
              <w:t>.13</w:t>
            </w:r>
          </w:p>
        </w:tc>
      </w:tr>
      <w:tr w:rsidR="00F7044C" w:rsidRPr="00C421E4" w14:paraId="285F4D39" w14:textId="77777777" w:rsidTr="00804E6B">
        <w:trPr>
          <w:trHeight w:val="538"/>
        </w:trPr>
        <w:tc>
          <w:tcPr>
            <w:tcW w:w="1155" w:type="pct"/>
            <w:vAlign w:val="center"/>
            <w:hideMark/>
          </w:tcPr>
          <w:p w14:paraId="010BC156" w14:textId="77777777" w:rsidR="00F7044C" w:rsidRPr="00C421E4" w:rsidRDefault="00F7044C" w:rsidP="00804E6B">
            <w:pPr>
              <w:jc w:val="center"/>
              <w:rPr>
                <w:rFonts w:ascii="Times" w:hAnsi="Times"/>
              </w:rPr>
            </w:pPr>
            <w:r w:rsidRPr="00C421E4">
              <w:rPr>
                <w:rFonts w:ascii="Times" w:hAnsi="Times"/>
              </w:rPr>
              <w:t>Sleep issues</w:t>
            </w:r>
          </w:p>
        </w:tc>
        <w:tc>
          <w:tcPr>
            <w:tcW w:w="935" w:type="pct"/>
            <w:vAlign w:val="center"/>
            <w:hideMark/>
          </w:tcPr>
          <w:p w14:paraId="3B04B7FD" w14:textId="77777777" w:rsidR="00F7044C" w:rsidRPr="00C421E4" w:rsidRDefault="00F7044C" w:rsidP="00804E6B">
            <w:pPr>
              <w:jc w:val="center"/>
              <w:rPr>
                <w:rFonts w:ascii="Times" w:hAnsi="Times"/>
              </w:rPr>
            </w:pPr>
            <w:r w:rsidRPr="00C421E4">
              <w:rPr>
                <w:rFonts w:ascii="Times" w:hAnsi="Times"/>
              </w:rPr>
              <w:t>31.1</w:t>
            </w:r>
          </w:p>
        </w:tc>
        <w:tc>
          <w:tcPr>
            <w:tcW w:w="970" w:type="pct"/>
            <w:vAlign w:val="center"/>
            <w:hideMark/>
          </w:tcPr>
          <w:p w14:paraId="3F134425" w14:textId="77777777" w:rsidR="00F7044C" w:rsidRPr="00C421E4" w:rsidRDefault="00F7044C" w:rsidP="00804E6B">
            <w:pPr>
              <w:jc w:val="center"/>
              <w:rPr>
                <w:rFonts w:ascii="Times" w:hAnsi="Times"/>
              </w:rPr>
            </w:pPr>
            <w:r w:rsidRPr="00C421E4">
              <w:rPr>
                <w:rFonts w:ascii="Times" w:hAnsi="Times"/>
              </w:rPr>
              <w:t>51.1</w:t>
            </w:r>
          </w:p>
        </w:tc>
        <w:tc>
          <w:tcPr>
            <w:tcW w:w="970" w:type="pct"/>
            <w:vAlign w:val="center"/>
            <w:hideMark/>
          </w:tcPr>
          <w:p w14:paraId="612A1F93" w14:textId="77777777" w:rsidR="00F7044C" w:rsidRPr="00C421E4" w:rsidRDefault="00F7044C" w:rsidP="00804E6B">
            <w:pPr>
              <w:jc w:val="center"/>
              <w:rPr>
                <w:rFonts w:ascii="Times" w:hAnsi="Times"/>
              </w:rPr>
            </w:pPr>
            <w:r w:rsidRPr="00C421E4">
              <w:rPr>
                <w:rFonts w:ascii="Times" w:hAnsi="Times"/>
              </w:rPr>
              <w:t>3.72</w:t>
            </w:r>
          </w:p>
        </w:tc>
        <w:tc>
          <w:tcPr>
            <w:tcW w:w="970" w:type="pct"/>
            <w:vAlign w:val="center"/>
            <w:hideMark/>
          </w:tcPr>
          <w:p w14:paraId="280A25F7" w14:textId="77777777" w:rsidR="00F7044C" w:rsidRPr="00C421E4" w:rsidRDefault="00F7044C" w:rsidP="00804E6B">
            <w:pPr>
              <w:jc w:val="center"/>
              <w:rPr>
                <w:rFonts w:ascii="Times" w:hAnsi="Times"/>
              </w:rPr>
            </w:pPr>
            <w:r w:rsidRPr="00C421E4">
              <w:rPr>
                <w:rFonts w:ascii="Times" w:hAnsi="Times"/>
              </w:rPr>
              <w:t>.054</w:t>
            </w:r>
          </w:p>
        </w:tc>
      </w:tr>
      <w:tr w:rsidR="00F7044C" w:rsidRPr="00C421E4" w14:paraId="12AEE1AC" w14:textId="77777777" w:rsidTr="00804E6B">
        <w:trPr>
          <w:trHeight w:val="538"/>
        </w:trPr>
        <w:tc>
          <w:tcPr>
            <w:tcW w:w="1155" w:type="pct"/>
            <w:vAlign w:val="center"/>
            <w:hideMark/>
          </w:tcPr>
          <w:p w14:paraId="6B224B09" w14:textId="77777777" w:rsidR="00F7044C" w:rsidRPr="00C421E4" w:rsidRDefault="00F7044C" w:rsidP="00804E6B">
            <w:pPr>
              <w:jc w:val="center"/>
              <w:rPr>
                <w:rFonts w:ascii="Times" w:hAnsi="Times"/>
              </w:rPr>
            </w:pPr>
            <w:r w:rsidRPr="00C421E4">
              <w:rPr>
                <w:rFonts w:ascii="Times" w:hAnsi="Times"/>
              </w:rPr>
              <w:t>Fatigue</w:t>
            </w:r>
          </w:p>
        </w:tc>
        <w:tc>
          <w:tcPr>
            <w:tcW w:w="935" w:type="pct"/>
            <w:vAlign w:val="center"/>
            <w:hideMark/>
          </w:tcPr>
          <w:p w14:paraId="1DA5957A" w14:textId="77777777" w:rsidR="00F7044C" w:rsidRPr="00C421E4" w:rsidRDefault="00F7044C" w:rsidP="00804E6B">
            <w:pPr>
              <w:jc w:val="center"/>
              <w:rPr>
                <w:rFonts w:ascii="Times" w:hAnsi="Times"/>
              </w:rPr>
            </w:pPr>
            <w:r w:rsidRPr="00C421E4">
              <w:rPr>
                <w:rFonts w:ascii="Times" w:hAnsi="Times"/>
              </w:rPr>
              <w:t>68.9</w:t>
            </w:r>
          </w:p>
        </w:tc>
        <w:tc>
          <w:tcPr>
            <w:tcW w:w="970" w:type="pct"/>
            <w:vAlign w:val="center"/>
            <w:hideMark/>
          </w:tcPr>
          <w:p w14:paraId="746430E0" w14:textId="77777777" w:rsidR="00F7044C" w:rsidRPr="00C421E4" w:rsidRDefault="00F7044C" w:rsidP="00804E6B">
            <w:pPr>
              <w:jc w:val="center"/>
              <w:rPr>
                <w:rFonts w:ascii="Times" w:hAnsi="Times"/>
              </w:rPr>
            </w:pPr>
            <w:r w:rsidRPr="00C421E4">
              <w:rPr>
                <w:rFonts w:ascii="Times" w:hAnsi="Times"/>
              </w:rPr>
              <w:t>68.9</w:t>
            </w:r>
          </w:p>
        </w:tc>
        <w:tc>
          <w:tcPr>
            <w:tcW w:w="970" w:type="pct"/>
            <w:vAlign w:val="center"/>
            <w:hideMark/>
          </w:tcPr>
          <w:p w14:paraId="42B3ED1F" w14:textId="77777777" w:rsidR="00F7044C" w:rsidRPr="00C421E4" w:rsidRDefault="00F7044C" w:rsidP="00804E6B">
            <w:pPr>
              <w:jc w:val="center"/>
              <w:rPr>
                <w:rFonts w:ascii="Times" w:hAnsi="Times"/>
              </w:rPr>
            </w:pPr>
            <w:r w:rsidRPr="00C421E4">
              <w:rPr>
                <w:rFonts w:ascii="Times" w:hAnsi="Times"/>
              </w:rPr>
              <w:t>0.00</w:t>
            </w:r>
          </w:p>
        </w:tc>
        <w:tc>
          <w:tcPr>
            <w:tcW w:w="970" w:type="pct"/>
            <w:vAlign w:val="center"/>
            <w:hideMark/>
          </w:tcPr>
          <w:p w14:paraId="0B9C9FE6" w14:textId="77777777" w:rsidR="00F7044C" w:rsidRPr="00C421E4" w:rsidRDefault="00F7044C" w:rsidP="00804E6B">
            <w:pPr>
              <w:jc w:val="center"/>
              <w:rPr>
                <w:rFonts w:ascii="Times" w:hAnsi="Times"/>
              </w:rPr>
            </w:pPr>
            <w:r w:rsidRPr="00C421E4">
              <w:rPr>
                <w:rFonts w:ascii="Times" w:hAnsi="Times"/>
              </w:rPr>
              <w:t>.99</w:t>
            </w:r>
          </w:p>
        </w:tc>
      </w:tr>
      <w:tr w:rsidR="00F7044C" w:rsidRPr="00C421E4" w14:paraId="5616ED8B" w14:textId="77777777" w:rsidTr="00804E6B">
        <w:trPr>
          <w:trHeight w:val="538"/>
        </w:trPr>
        <w:tc>
          <w:tcPr>
            <w:tcW w:w="1155" w:type="pct"/>
            <w:vAlign w:val="center"/>
            <w:hideMark/>
          </w:tcPr>
          <w:p w14:paraId="5A142FEA" w14:textId="77777777" w:rsidR="00F7044C" w:rsidRPr="00C421E4" w:rsidRDefault="00F7044C" w:rsidP="00804E6B">
            <w:pPr>
              <w:jc w:val="center"/>
              <w:rPr>
                <w:rFonts w:ascii="Times" w:hAnsi="Times"/>
              </w:rPr>
            </w:pPr>
            <w:r w:rsidRPr="00C421E4">
              <w:rPr>
                <w:rFonts w:ascii="Times" w:hAnsi="Times"/>
              </w:rPr>
              <w:t>Irritability</w:t>
            </w:r>
          </w:p>
        </w:tc>
        <w:tc>
          <w:tcPr>
            <w:tcW w:w="935" w:type="pct"/>
            <w:vAlign w:val="center"/>
            <w:hideMark/>
          </w:tcPr>
          <w:p w14:paraId="537F1932" w14:textId="77777777" w:rsidR="00F7044C" w:rsidRPr="00C421E4" w:rsidRDefault="00F7044C" w:rsidP="00804E6B">
            <w:pPr>
              <w:jc w:val="center"/>
              <w:rPr>
                <w:rFonts w:ascii="Times" w:hAnsi="Times"/>
              </w:rPr>
            </w:pPr>
            <w:r w:rsidRPr="00C421E4">
              <w:rPr>
                <w:rFonts w:ascii="Times" w:hAnsi="Times"/>
              </w:rPr>
              <w:t>37.8</w:t>
            </w:r>
          </w:p>
        </w:tc>
        <w:tc>
          <w:tcPr>
            <w:tcW w:w="970" w:type="pct"/>
            <w:vAlign w:val="center"/>
            <w:hideMark/>
          </w:tcPr>
          <w:p w14:paraId="4DF6704D" w14:textId="77777777" w:rsidR="00F7044C" w:rsidRPr="00C421E4" w:rsidRDefault="00F7044C" w:rsidP="00804E6B">
            <w:pPr>
              <w:jc w:val="center"/>
              <w:rPr>
                <w:rFonts w:ascii="Times" w:hAnsi="Times"/>
              </w:rPr>
            </w:pPr>
            <w:r w:rsidRPr="00C421E4">
              <w:rPr>
                <w:rFonts w:ascii="Times" w:hAnsi="Times"/>
              </w:rPr>
              <w:t>44.4</w:t>
            </w:r>
          </w:p>
        </w:tc>
        <w:tc>
          <w:tcPr>
            <w:tcW w:w="970" w:type="pct"/>
            <w:vAlign w:val="center"/>
            <w:hideMark/>
          </w:tcPr>
          <w:p w14:paraId="023F0B59" w14:textId="77777777" w:rsidR="00F7044C" w:rsidRPr="00C421E4" w:rsidRDefault="00F7044C" w:rsidP="00804E6B">
            <w:pPr>
              <w:jc w:val="center"/>
              <w:rPr>
                <w:rFonts w:ascii="Times" w:hAnsi="Times"/>
              </w:rPr>
            </w:pPr>
            <w:r w:rsidRPr="00C421E4">
              <w:rPr>
                <w:rFonts w:ascii="Times" w:hAnsi="Times"/>
              </w:rPr>
              <w:t>0.41</w:t>
            </w:r>
          </w:p>
        </w:tc>
        <w:tc>
          <w:tcPr>
            <w:tcW w:w="970" w:type="pct"/>
            <w:vAlign w:val="center"/>
            <w:hideMark/>
          </w:tcPr>
          <w:p w14:paraId="47A312D9" w14:textId="77777777" w:rsidR="00F7044C" w:rsidRPr="00C421E4" w:rsidRDefault="00F7044C" w:rsidP="00804E6B">
            <w:pPr>
              <w:jc w:val="center"/>
              <w:rPr>
                <w:rFonts w:ascii="Times" w:hAnsi="Times"/>
              </w:rPr>
            </w:pPr>
            <w:r w:rsidRPr="00C421E4">
              <w:rPr>
                <w:rFonts w:ascii="Times" w:hAnsi="Times"/>
              </w:rPr>
              <w:t>.52</w:t>
            </w:r>
          </w:p>
        </w:tc>
      </w:tr>
      <w:tr w:rsidR="00F7044C" w:rsidRPr="00C421E4" w14:paraId="355E875C" w14:textId="77777777" w:rsidTr="00804E6B">
        <w:trPr>
          <w:trHeight w:val="538"/>
        </w:trPr>
        <w:tc>
          <w:tcPr>
            <w:tcW w:w="1155" w:type="pct"/>
            <w:vAlign w:val="center"/>
            <w:hideMark/>
          </w:tcPr>
          <w:p w14:paraId="48A3CEC1" w14:textId="77777777" w:rsidR="00F7044C" w:rsidRPr="00C421E4" w:rsidRDefault="00F7044C" w:rsidP="00804E6B">
            <w:pPr>
              <w:jc w:val="center"/>
              <w:rPr>
                <w:rFonts w:ascii="Times" w:hAnsi="Times"/>
              </w:rPr>
            </w:pPr>
            <w:r w:rsidRPr="00C421E4">
              <w:rPr>
                <w:rFonts w:ascii="Times" w:hAnsi="Times"/>
              </w:rPr>
              <w:t>Depression/tearfulness</w:t>
            </w:r>
          </w:p>
        </w:tc>
        <w:tc>
          <w:tcPr>
            <w:tcW w:w="935" w:type="pct"/>
            <w:vAlign w:val="center"/>
            <w:hideMark/>
          </w:tcPr>
          <w:p w14:paraId="4F3F931C" w14:textId="77777777" w:rsidR="00F7044C" w:rsidRPr="00C421E4" w:rsidRDefault="00F7044C" w:rsidP="00804E6B">
            <w:pPr>
              <w:jc w:val="center"/>
              <w:rPr>
                <w:rFonts w:ascii="Times" w:hAnsi="Times"/>
              </w:rPr>
            </w:pPr>
            <w:r w:rsidRPr="00C421E4">
              <w:rPr>
                <w:rFonts w:ascii="Times" w:hAnsi="Times"/>
              </w:rPr>
              <w:t>35.6</w:t>
            </w:r>
          </w:p>
        </w:tc>
        <w:tc>
          <w:tcPr>
            <w:tcW w:w="970" w:type="pct"/>
            <w:vAlign w:val="center"/>
            <w:hideMark/>
          </w:tcPr>
          <w:p w14:paraId="54FB8092" w14:textId="77777777" w:rsidR="00F7044C" w:rsidRPr="00C421E4" w:rsidRDefault="00F7044C" w:rsidP="00804E6B">
            <w:pPr>
              <w:jc w:val="center"/>
              <w:rPr>
                <w:rFonts w:ascii="Times" w:hAnsi="Times"/>
              </w:rPr>
            </w:pPr>
            <w:r w:rsidRPr="00C421E4">
              <w:rPr>
                <w:rFonts w:ascii="Times" w:hAnsi="Times"/>
              </w:rPr>
              <w:t>46.7</w:t>
            </w:r>
          </w:p>
        </w:tc>
        <w:tc>
          <w:tcPr>
            <w:tcW w:w="970" w:type="pct"/>
            <w:vAlign w:val="center"/>
            <w:hideMark/>
          </w:tcPr>
          <w:p w14:paraId="4F80545A" w14:textId="77777777" w:rsidR="00F7044C" w:rsidRPr="00C421E4" w:rsidRDefault="00F7044C" w:rsidP="00804E6B">
            <w:pPr>
              <w:jc w:val="center"/>
              <w:rPr>
                <w:rFonts w:ascii="Times" w:hAnsi="Times"/>
              </w:rPr>
            </w:pPr>
            <w:r w:rsidRPr="00C421E4">
              <w:rPr>
                <w:rFonts w:ascii="Times" w:hAnsi="Times"/>
              </w:rPr>
              <w:t>1.15</w:t>
            </w:r>
          </w:p>
        </w:tc>
        <w:tc>
          <w:tcPr>
            <w:tcW w:w="970" w:type="pct"/>
            <w:vAlign w:val="center"/>
            <w:hideMark/>
          </w:tcPr>
          <w:p w14:paraId="0930EF71" w14:textId="77777777" w:rsidR="00F7044C" w:rsidRPr="00C421E4" w:rsidRDefault="00F7044C" w:rsidP="00804E6B">
            <w:pPr>
              <w:jc w:val="center"/>
              <w:rPr>
                <w:rFonts w:ascii="Times" w:hAnsi="Times"/>
              </w:rPr>
            </w:pPr>
            <w:r w:rsidRPr="00C421E4">
              <w:rPr>
                <w:rFonts w:ascii="Times" w:hAnsi="Times"/>
              </w:rPr>
              <w:t>.28</w:t>
            </w:r>
          </w:p>
        </w:tc>
      </w:tr>
      <w:tr w:rsidR="00F7044C" w:rsidRPr="00C421E4" w14:paraId="31FAB723" w14:textId="77777777" w:rsidTr="00804E6B">
        <w:trPr>
          <w:trHeight w:val="538"/>
        </w:trPr>
        <w:tc>
          <w:tcPr>
            <w:tcW w:w="1155" w:type="pct"/>
            <w:vAlign w:val="center"/>
            <w:hideMark/>
          </w:tcPr>
          <w:p w14:paraId="067BAEF0" w14:textId="77777777" w:rsidR="00F7044C" w:rsidRPr="00C421E4" w:rsidRDefault="00F7044C" w:rsidP="00804E6B">
            <w:pPr>
              <w:jc w:val="center"/>
              <w:rPr>
                <w:rFonts w:ascii="Times" w:hAnsi="Times"/>
              </w:rPr>
            </w:pPr>
            <w:r w:rsidRPr="00C421E4">
              <w:rPr>
                <w:rFonts w:ascii="Times" w:hAnsi="Times"/>
              </w:rPr>
              <w:t>Frustration/impatience</w:t>
            </w:r>
          </w:p>
        </w:tc>
        <w:tc>
          <w:tcPr>
            <w:tcW w:w="935" w:type="pct"/>
            <w:vAlign w:val="center"/>
            <w:hideMark/>
          </w:tcPr>
          <w:p w14:paraId="51F2F0D9" w14:textId="77777777" w:rsidR="00F7044C" w:rsidRPr="00C421E4" w:rsidRDefault="00F7044C" w:rsidP="00804E6B">
            <w:pPr>
              <w:jc w:val="center"/>
              <w:rPr>
                <w:rFonts w:ascii="Times" w:hAnsi="Times"/>
              </w:rPr>
            </w:pPr>
            <w:r w:rsidRPr="00C421E4">
              <w:rPr>
                <w:rFonts w:ascii="Times" w:hAnsi="Times"/>
              </w:rPr>
              <w:t>42.2</w:t>
            </w:r>
          </w:p>
        </w:tc>
        <w:tc>
          <w:tcPr>
            <w:tcW w:w="970" w:type="pct"/>
            <w:vAlign w:val="center"/>
            <w:hideMark/>
          </w:tcPr>
          <w:p w14:paraId="700E8F7E" w14:textId="77777777" w:rsidR="00F7044C" w:rsidRPr="00C421E4" w:rsidRDefault="00F7044C" w:rsidP="00804E6B">
            <w:pPr>
              <w:jc w:val="center"/>
              <w:rPr>
                <w:rFonts w:ascii="Times" w:hAnsi="Times"/>
              </w:rPr>
            </w:pPr>
            <w:r w:rsidRPr="00C421E4">
              <w:rPr>
                <w:rFonts w:ascii="Times" w:hAnsi="Times"/>
              </w:rPr>
              <w:t>55.6</w:t>
            </w:r>
          </w:p>
        </w:tc>
        <w:tc>
          <w:tcPr>
            <w:tcW w:w="970" w:type="pct"/>
            <w:vAlign w:val="center"/>
            <w:hideMark/>
          </w:tcPr>
          <w:p w14:paraId="79A3CCBB" w14:textId="77777777" w:rsidR="00F7044C" w:rsidRPr="00C421E4" w:rsidRDefault="00F7044C" w:rsidP="00804E6B">
            <w:pPr>
              <w:jc w:val="center"/>
              <w:rPr>
                <w:rFonts w:ascii="Times" w:hAnsi="Times"/>
              </w:rPr>
            </w:pPr>
            <w:r w:rsidRPr="00C421E4">
              <w:rPr>
                <w:rFonts w:ascii="Times" w:hAnsi="Times"/>
              </w:rPr>
              <w:t>1.60</w:t>
            </w:r>
          </w:p>
        </w:tc>
        <w:tc>
          <w:tcPr>
            <w:tcW w:w="970" w:type="pct"/>
            <w:vAlign w:val="center"/>
            <w:hideMark/>
          </w:tcPr>
          <w:p w14:paraId="1BF21ACC" w14:textId="77777777" w:rsidR="00F7044C" w:rsidRPr="00C421E4" w:rsidRDefault="00F7044C" w:rsidP="00804E6B">
            <w:pPr>
              <w:jc w:val="center"/>
              <w:rPr>
                <w:rFonts w:ascii="Times" w:hAnsi="Times"/>
              </w:rPr>
            </w:pPr>
            <w:r w:rsidRPr="00C421E4">
              <w:rPr>
                <w:rFonts w:ascii="Times" w:hAnsi="Times"/>
              </w:rPr>
              <w:t>.21</w:t>
            </w:r>
          </w:p>
        </w:tc>
      </w:tr>
      <w:tr w:rsidR="00F7044C" w:rsidRPr="00C421E4" w14:paraId="3A7FEF02" w14:textId="77777777" w:rsidTr="00804E6B">
        <w:trPr>
          <w:trHeight w:val="538"/>
        </w:trPr>
        <w:tc>
          <w:tcPr>
            <w:tcW w:w="1155" w:type="pct"/>
            <w:vAlign w:val="center"/>
            <w:hideMark/>
          </w:tcPr>
          <w:p w14:paraId="7A5087F0" w14:textId="77777777" w:rsidR="00F7044C" w:rsidRPr="00C421E4" w:rsidRDefault="00F7044C" w:rsidP="00804E6B">
            <w:pPr>
              <w:jc w:val="center"/>
              <w:rPr>
                <w:rFonts w:ascii="Times" w:hAnsi="Times"/>
              </w:rPr>
            </w:pPr>
            <w:r w:rsidRPr="00C421E4">
              <w:rPr>
                <w:rFonts w:ascii="Times" w:hAnsi="Times"/>
              </w:rPr>
              <w:t>Forgetfulness/poor memory</w:t>
            </w:r>
          </w:p>
        </w:tc>
        <w:tc>
          <w:tcPr>
            <w:tcW w:w="935" w:type="pct"/>
            <w:vAlign w:val="center"/>
            <w:hideMark/>
          </w:tcPr>
          <w:p w14:paraId="7E7BF44D" w14:textId="77777777" w:rsidR="00F7044C" w:rsidRPr="00C421E4" w:rsidRDefault="00F7044C" w:rsidP="00804E6B">
            <w:pPr>
              <w:jc w:val="center"/>
              <w:rPr>
                <w:rFonts w:ascii="Times" w:hAnsi="Times"/>
              </w:rPr>
            </w:pPr>
            <w:r w:rsidRPr="00C421E4">
              <w:rPr>
                <w:rFonts w:ascii="Times" w:hAnsi="Times"/>
              </w:rPr>
              <w:t>26.7</w:t>
            </w:r>
          </w:p>
        </w:tc>
        <w:tc>
          <w:tcPr>
            <w:tcW w:w="970" w:type="pct"/>
            <w:vAlign w:val="center"/>
            <w:hideMark/>
          </w:tcPr>
          <w:p w14:paraId="74582063" w14:textId="77777777" w:rsidR="00F7044C" w:rsidRPr="00C421E4" w:rsidRDefault="00F7044C" w:rsidP="00804E6B">
            <w:pPr>
              <w:jc w:val="center"/>
              <w:rPr>
                <w:rFonts w:ascii="Times" w:hAnsi="Times"/>
              </w:rPr>
            </w:pPr>
            <w:r w:rsidRPr="00C421E4">
              <w:rPr>
                <w:rFonts w:ascii="Times" w:hAnsi="Times"/>
              </w:rPr>
              <w:t>31.1</w:t>
            </w:r>
          </w:p>
        </w:tc>
        <w:tc>
          <w:tcPr>
            <w:tcW w:w="970" w:type="pct"/>
            <w:vAlign w:val="center"/>
            <w:hideMark/>
          </w:tcPr>
          <w:p w14:paraId="73DF5DE3" w14:textId="77777777" w:rsidR="00F7044C" w:rsidRPr="00C421E4" w:rsidRDefault="00F7044C" w:rsidP="00804E6B">
            <w:pPr>
              <w:jc w:val="center"/>
              <w:rPr>
                <w:rFonts w:ascii="Times" w:hAnsi="Times"/>
              </w:rPr>
            </w:pPr>
            <w:r w:rsidRPr="00C421E4">
              <w:rPr>
                <w:rFonts w:ascii="Times" w:hAnsi="Times"/>
              </w:rPr>
              <w:t>0.22</w:t>
            </w:r>
          </w:p>
        </w:tc>
        <w:tc>
          <w:tcPr>
            <w:tcW w:w="970" w:type="pct"/>
            <w:vAlign w:val="center"/>
            <w:hideMark/>
          </w:tcPr>
          <w:p w14:paraId="5B21CB45" w14:textId="77777777" w:rsidR="00F7044C" w:rsidRPr="00C421E4" w:rsidRDefault="00F7044C" w:rsidP="00804E6B">
            <w:pPr>
              <w:jc w:val="center"/>
              <w:rPr>
                <w:rFonts w:ascii="Times" w:hAnsi="Times"/>
              </w:rPr>
            </w:pPr>
            <w:r w:rsidRPr="00C421E4">
              <w:rPr>
                <w:rFonts w:ascii="Times" w:hAnsi="Times"/>
              </w:rPr>
              <w:t>.64</w:t>
            </w:r>
          </w:p>
        </w:tc>
      </w:tr>
      <w:tr w:rsidR="00F7044C" w:rsidRPr="00C421E4" w14:paraId="13CCF40D" w14:textId="77777777" w:rsidTr="00804E6B">
        <w:trPr>
          <w:trHeight w:val="538"/>
        </w:trPr>
        <w:tc>
          <w:tcPr>
            <w:tcW w:w="1155" w:type="pct"/>
            <w:vAlign w:val="center"/>
            <w:hideMark/>
          </w:tcPr>
          <w:p w14:paraId="5900EA81" w14:textId="77777777" w:rsidR="00F7044C" w:rsidRPr="00C421E4" w:rsidRDefault="00F7044C" w:rsidP="00804E6B">
            <w:pPr>
              <w:jc w:val="center"/>
              <w:rPr>
                <w:rFonts w:ascii="Times" w:hAnsi="Times"/>
              </w:rPr>
            </w:pPr>
            <w:r w:rsidRPr="00C421E4">
              <w:rPr>
                <w:rFonts w:ascii="Times" w:hAnsi="Times"/>
              </w:rPr>
              <w:t>Taking longer to think</w:t>
            </w:r>
          </w:p>
        </w:tc>
        <w:tc>
          <w:tcPr>
            <w:tcW w:w="935" w:type="pct"/>
            <w:vAlign w:val="center"/>
            <w:hideMark/>
          </w:tcPr>
          <w:p w14:paraId="13313B58" w14:textId="77777777" w:rsidR="00F7044C" w:rsidRPr="00C421E4" w:rsidRDefault="00F7044C" w:rsidP="00804E6B">
            <w:pPr>
              <w:jc w:val="center"/>
              <w:rPr>
                <w:rFonts w:ascii="Times" w:hAnsi="Times"/>
              </w:rPr>
            </w:pPr>
            <w:r w:rsidRPr="00C421E4">
              <w:rPr>
                <w:rFonts w:ascii="Times" w:hAnsi="Times"/>
              </w:rPr>
              <w:t>40.0</w:t>
            </w:r>
          </w:p>
        </w:tc>
        <w:tc>
          <w:tcPr>
            <w:tcW w:w="970" w:type="pct"/>
            <w:vAlign w:val="center"/>
            <w:hideMark/>
          </w:tcPr>
          <w:p w14:paraId="62BE68B2" w14:textId="77777777" w:rsidR="00F7044C" w:rsidRPr="00C421E4" w:rsidRDefault="00F7044C" w:rsidP="00804E6B">
            <w:pPr>
              <w:jc w:val="center"/>
              <w:rPr>
                <w:rFonts w:ascii="Times" w:hAnsi="Times"/>
              </w:rPr>
            </w:pPr>
            <w:r w:rsidRPr="00C421E4">
              <w:rPr>
                <w:rFonts w:ascii="Times" w:hAnsi="Times"/>
              </w:rPr>
              <w:t>51.1</w:t>
            </w:r>
          </w:p>
        </w:tc>
        <w:tc>
          <w:tcPr>
            <w:tcW w:w="970" w:type="pct"/>
            <w:vAlign w:val="center"/>
            <w:hideMark/>
          </w:tcPr>
          <w:p w14:paraId="3DC36AAD" w14:textId="77777777" w:rsidR="00F7044C" w:rsidRPr="00C421E4" w:rsidRDefault="00F7044C" w:rsidP="00804E6B">
            <w:pPr>
              <w:jc w:val="center"/>
              <w:rPr>
                <w:rFonts w:ascii="Times" w:hAnsi="Times"/>
              </w:rPr>
            </w:pPr>
            <w:r w:rsidRPr="00C421E4">
              <w:rPr>
                <w:rFonts w:ascii="Times" w:hAnsi="Times"/>
              </w:rPr>
              <w:t>1.12</w:t>
            </w:r>
          </w:p>
        </w:tc>
        <w:tc>
          <w:tcPr>
            <w:tcW w:w="970" w:type="pct"/>
            <w:vAlign w:val="center"/>
            <w:hideMark/>
          </w:tcPr>
          <w:p w14:paraId="0CE04BE9" w14:textId="77777777" w:rsidR="00F7044C" w:rsidRPr="00C421E4" w:rsidRDefault="00F7044C" w:rsidP="00804E6B">
            <w:pPr>
              <w:jc w:val="center"/>
              <w:rPr>
                <w:rFonts w:ascii="Times" w:hAnsi="Times"/>
              </w:rPr>
            </w:pPr>
            <w:r w:rsidRPr="00C421E4">
              <w:rPr>
                <w:rFonts w:ascii="Times" w:hAnsi="Times"/>
              </w:rPr>
              <w:t>.29</w:t>
            </w:r>
          </w:p>
        </w:tc>
      </w:tr>
      <w:tr w:rsidR="00F7044C" w:rsidRPr="00C421E4" w14:paraId="42695F68" w14:textId="77777777" w:rsidTr="00804E6B">
        <w:trPr>
          <w:trHeight w:val="538"/>
        </w:trPr>
        <w:tc>
          <w:tcPr>
            <w:tcW w:w="1155" w:type="pct"/>
            <w:vAlign w:val="center"/>
            <w:hideMark/>
          </w:tcPr>
          <w:p w14:paraId="38BB585C" w14:textId="77777777" w:rsidR="00F7044C" w:rsidRPr="00C421E4" w:rsidRDefault="00F7044C" w:rsidP="00804E6B">
            <w:pPr>
              <w:jc w:val="center"/>
              <w:rPr>
                <w:rFonts w:ascii="Times" w:hAnsi="Times"/>
              </w:rPr>
            </w:pPr>
            <w:r w:rsidRPr="00C421E4">
              <w:rPr>
                <w:rFonts w:ascii="Times" w:hAnsi="Times"/>
              </w:rPr>
              <w:t>Blurred vision</w:t>
            </w:r>
          </w:p>
        </w:tc>
        <w:tc>
          <w:tcPr>
            <w:tcW w:w="935" w:type="pct"/>
            <w:vAlign w:val="center"/>
            <w:hideMark/>
          </w:tcPr>
          <w:p w14:paraId="06399FC3" w14:textId="77777777" w:rsidR="00F7044C" w:rsidRPr="00C421E4" w:rsidRDefault="00F7044C" w:rsidP="00804E6B">
            <w:pPr>
              <w:jc w:val="center"/>
              <w:rPr>
                <w:rFonts w:ascii="Times" w:hAnsi="Times"/>
              </w:rPr>
            </w:pPr>
            <w:r w:rsidRPr="00C421E4">
              <w:rPr>
                <w:rFonts w:ascii="Times" w:hAnsi="Times"/>
              </w:rPr>
              <w:t>6.7</w:t>
            </w:r>
          </w:p>
        </w:tc>
        <w:tc>
          <w:tcPr>
            <w:tcW w:w="970" w:type="pct"/>
            <w:vAlign w:val="center"/>
            <w:hideMark/>
          </w:tcPr>
          <w:p w14:paraId="6BB2A340" w14:textId="77777777" w:rsidR="00F7044C" w:rsidRPr="00C421E4" w:rsidRDefault="00F7044C" w:rsidP="00804E6B">
            <w:pPr>
              <w:jc w:val="center"/>
              <w:rPr>
                <w:rFonts w:ascii="Times" w:hAnsi="Times"/>
              </w:rPr>
            </w:pPr>
            <w:r w:rsidRPr="00C421E4">
              <w:rPr>
                <w:rFonts w:ascii="Times" w:hAnsi="Times"/>
              </w:rPr>
              <w:t>6.7</w:t>
            </w:r>
          </w:p>
        </w:tc>
        <w:tc>
          <w:tcPr>
            <w:tcW w:w="970" w:type="pct"/>
            <w:vAlign w:val="center"/>
            <w:hideMark/>
          </w:tcPr>
          <w:p w14:paraId="3F2DBCEB" w14:textId="77777777" w:rsidR="00F7044C" w:rsidRPr="00C421E4" w:rsidRDefault="00F7044C" w:rsidP="00804E6B">
            <w:pPr>
              <w:jc w:val="center"/>
              <w:rPr>
                <w:rFonts w:ascii="Times" w:hAnsi="Times"/>
              </w:rPr>
            </w:pPr>
            <w:r w:rsidRPr="00C421E4">
              <w:rPr>
                <w:rFonts w:ascii="Times" w:hAnsi="Times"/>
              </w:rPr>
              <w:t>0.00</w:t>
            </w:r>
          </w:p>
        </w:tc>
        <w:tc>
          <w:tcPr>
            <w:tcW w:w="970" w:type="pct"/>
            <w:vAlign w:val="center"/>
            <w:hideMark/>
          </w:tcPr>
          <w:p w14:paraId="58B56826" w14:textId="77777777" w:rsidR="00F7044C" w:rsidRPr="00C421E4" w:rsidRDefault="00F7044C" w:rsidP="00804E6B">
            <w:pPr>
              <w:jc w:val="center"/>
              <w:rPr>
                <w:rFonts w:ascii="Times" w:hAnsi="Times"/>
              </w:rPr>
            </w:pPr>
            <w:r w:rsidRPr="00C421E4">
              <w:rPr>
                <w:rFonts w:ascii="Times" w:hAnsi="Times"/>
              </w:rPr>
              <w:t>.99</w:t>
            </w:r>
          </w:p>
        </w:tc>
      </w:tr>
      <w:tr w:rsidR="00F7044C" w:rsidRPr="00C421E4" w14:paraId="16CB8581" w14:textId="77777777" w:rsidTr="00804E6B">
        <w:trPr>
          <w:trHeight w:val="538"/>
        </w:trPr>
        <w:tc>
          <w:tcPr>
            <w:tcW w:w="1155" w:type="pct"/>
            <w:vAlign w:val="center"/>
            <w:hideMark/>
          </w:tcPr>
          <w:p w14:paraId="5F7DFE4F" w14:textId="77777777" w:rsidR="00F7044C" w:rsidRPr="00C421E4" w:rsidRDefault="00F7044C" w:rsidP="00804E6B">
            <w:pPr>
              <w:jc w:val="center"/>
              <w:rPr>
                <w:rFonts w:ascii="Times" w:hAnsi="Times"/>
              </w:rPr>
            </w:pPr>
            <w:r w:rsidRPr="00C421E4">
              <w:rPr>
                <w:rFonts w:ascii="Times" w:hAnsi="Times"/>
              </w:rPr>
              <w:t>Light sensitivity</w:t>
            </w:r>
          </w:p>
        </w:tc>
        <w:tc>
          <w:tcPr>
            <w:tcW w:w="935" w:type="pct"/>
            <w:vAlign w:val="center"/>
            <w:hideMark/>
          </w:tcPr>
          <w:p w14:paraId="7F91FB41" w14:textId="77777777" w:rsidR="00F7044C" w:rsidRPr="00C421E4" w:rsidRDefault="00F7044C" w:rsidP="00804E6B">
            <w:pPr>
              <w:jc w:val="center"/>
              <w:rPr>
                <w:rFonts w:ascii="Times" w:hAnsi="Times"/>
              </w:rPr>
            </w:pPr>
            <w:r w:rsidRPr="00C421E4">
              <w:rPr>
                <w:rFonts w:ascii="Times" w:hAnsi="Times"/>
              </w:rPr>
              <w:t>8.9</w:t>
            </w:r>
          </w:p>
        </w:tc>
        <w:tc>
          <w:tcPr>
            <w:tcW w:w="970" w:type="pct"/>
            <w:vAlign w:val="center"/>
            <w:hideMark/>
          </w:tcPr>
          <w:p w14:paraId="1E60F5A9" w14:textId="77777777" w:rsidR="00F7044C" w:rsidRPr="00C421E4" w:rsidRDefault="00F7044C" w:rsidP="00804E6B">
            <w:pPr>
              <w:jc w:val="center"/>
              <w:rPr>
                <w:rFonts w:ascii="Times" w:hAnsi="Times"/>
              </w:rPr>
            </w:pPr>
            <w:r w:rsidRPr="00C421E4">
              <w:rPr>
                <w:rFonts w:ascii="Times" w:hAnsi="Times"/>
              </w:rPr>
              <w:t>26.7</w:t>
            </w:r>
          </w:p>
        </w:tc>
        <w:tc>
          <w:tcPr>
            <w:tcW w:w="970" w:type="pct"/>
            <w:vAlign w:val="center"/>
            <w:hideMark/>
          </w:tcPr>
          <w:p w14:paraId="08BD106A" w14:textId="77777777" w:rsidR="00F7044C" w:rsidRPr="00C421E4" w:rsidRDefault="00F7044C" w:rsidP="00804E6B">
            <w:pPr>
              <w:jc w:val="center"/>
              <w:rPr>
                <w:rFonts w:ascii="Times" w:hAnsi="Times"/>
              </w:rPr>
            </w:pPr>
            <w:r w:rsidRPr="00C421E4">
              <w:rPr>
                <w:rFonts w:ascii="Times" w:hAnsi="Times"/>
              </w:rPr>
              <w:t>3.55</w:t>
            </w:r>
          </w:p>
        </w:tc>
        <w:tc>
          <w:tcPr>
            <w:tcW w:w="970" w:type="pct"/>
            <w:vAlign w:val="center"/>
            <w:hideMark/>
          </w:tcPr>
          <w:p w14:paraId="582B78F0" w14:textId="77777777" w:rsidR="00F7044C" w:rsidRPr="00C421E4" w:rsidRDefault="00F7044C" w:rsidP="00804E6B">
            <w:pPr>
              <w:jc w:val="center"/>
              <w:rPr>
                <w:rFonts w:ascii="Times" w:hAnsi="Times"/>
              </w:rPr>
            </w:pPr>
            <w:r w:rsidRPr="00C421E4">
              <w:rPr>
                <w:rFonts w:ascii="Times" w:hAnsi="Times"/>
              </w:rPr>
              <w:t>.06</w:t>
            </w:r>
          </w:p>
        </w:tc>
      </w:tr>
      <w:tr w:rsidR="00F7044C" w:rsidRPr="00C421E4" w14:paraId="0279147F" w14:textId="77777777" w:rsidTr="00804E6B">
        <w:trPr>
          <w:trHeight w:val="538"/>
        </w:trPr>
        <w:tc>
          <w:tcPr>
            <w:tcW w:w="1155" w:type="pct"/>
            <w:vAlign w:val="center"/>
            <w:hideMark/>
          </w:tcPr>
          <w:p w14:paraId="18CD5213" w14:textId="77777777" w:rsidR="00F7044C" w:rsidRPr="00C421E4" w:rsidRDefault="00F7044C" w:rsidP="00804E6B">
            <w:pPr>
              <w:jc w:val="center"/>
              <w:rPr>
                <w:rFonts w:ascii="Times" w:hAnsi="Times"/>
              </w:rPr>
            </w:pPr>
            <w:r w:rsidRPr="00C421E4">
              <w:rPr>
                <w:rFonts w:ascii="Times" w:hAnsi="Times"/>
              </w:rPr>
              <w:t>Double vision</w:t>
            </w:r>
          </w:p>
        </w:tc>
        <w:tc>
          <w:tcPr>
            <w:tcW w:w="935" w:type="pct"/>
            <w:vAlign w:val="center"/>
            <w:hideMark/>
          </w:tcPr>
          <w:p w14:paraId="17D25CD3" w14:textId="77777777" w:rsidR="00F7044C" w:rsidRPr="00C421E4" w:rsidRDefault="00F7044C" w:rsidP="00804E6B">
            <w:pPr>
              <w:jc w:val="center"/>
              <w:rPr>
                <w:rFonts w:ascii="Times" w:hAnsi="Times"/>
              </w:rPr>
            </w:pPr>
            <w:r w:rsidRPr="00C421E4">
              <w:rPr>
                <w:rFonts w:ascii="Times" w:hAnsi="Times"/>
              </w:rPr>
              <w:t>0.0</w:t>
            </w:r>
          </w:p>
        </w:tc>
        <w:tc>
          <w:tcPr>
            <w:tcW w:w="970" w:type="pct"/>
            <w:vAlign w:val="center"/>
            <w:hideMark/>
          </w:tcPr>
          <w:p w14:paraId="7C3FCDC9" w14:textId="77777777" w:rsidR="00F7044C" w:rsidRPr="00C421E4" w:rsidRDefault="00F7044C" w:rsidP="00804E6B">
            <w:pPr>
              <w:jc w:val="center"/>
              <w:rPr>
                <w:rFonts w:ascii="Times" w:hAnsi="Times"/>
              </w:rPr>
            </w:pPr>
            <w:r w:rsidRPr="00C421E4">
              <w:rPr>
                <w:rFonts w:ascii="Times" w:hAnsi="Times"/>
              </w:rPr>
              <w:t>6.7</w:t>
            </w:r>
          </w:p>
        </w:tc>
        <w:tc>
          <w:tcPr>
            <w:tcW w:w="970" w:type="pct"/>
            <w:vAlign w:val="center"/>
            <w:hideMark/>
          </w:tcPr>
          <w:p w14:paraId="36C68EA2" w14:textId="77777777" w:rsidR="00F7044C" w:rsidRPr="00C421E4" w:rsidRDefault="00F7044C" w:rsidP="00804E6B">
            <w:pPr>
              <w:jc w:val="center"/>
              <w:rPr>
                <w:rFonts w:ascii="Times" w:hAnsi="Times"/>
              </w:rPr>
            </w:pPr>
            <w:r w:rsidRPr="00C421E4">
              <w:rPr>
                <w:rFonts w:ascii="Times" w:hAnsi="Times"/>
              </w:rPr>
              <w:t>3.10</w:t>
            </w:r>
          </w:p>
        </w:tc>
        <w:tc>
          <w:tcPr>
            <w:tcW w:w="970" w:type="pct"/>
            <w:vAlign w:val="center"/>
            <w:hideMark/>
          </w:tcPr>
          <w:p w14:paraId="7A5AA501" w14:textId="77777777" w:rsidR="00F7044C" w:rsidRPr="00C421E4" w:rsidRDefault="00F7044C" w:rsidP="00804E6B">
            <w:pPr>
              <w:jc w:val="center"/>
              <w:rPr>
                <w:rFonts w:ascii="Times" w:hAnsi="Times"/>
              </w:rPr>
            </w:pPr>
            <w:r w:rsidRPr="00C421E4">
              <w:rPr>
                <w:rFonts w:ascii="Times" w:hAnsi="Times"/>
              </w:rPr>
              <w:t>.08</w:t>
            </w:r>
          </w:p>
        </w:tc>
      </w:tr>
      <w:tr w:rsidR="00F7044C" w:rsidRPr="00C421E4" w14:paraId="57B1CD3A" w14:textId="77777777" w:rsidTr="00804E6B">
        <w:trPr>
          <w:trHeight w:val="538"/>
        </w:trPr>
        <w:tc>
          <w:tcPr>
            <w:tcW w:w="1155" w:type="pct"/>
            <w:vAlign w:val="center"/>
            <w:hideMark/>
          </w:tcPr>
          <w:p w14:paraId="7A140CCC" w14:textId="77777777" w:rsidR="00F7044C" w:rsidRPr="00C421E4" w:rsidRDefault="00F7044C" w:rsidP="00804E6B">
            <w:pPr>
              <w:jc w:val="center"/>
              <w:rPr>
                <w:rFonts w:ascii="Times" w:hAnsi="Times"/>
              </w:rPr>
            </w:pPr>
            <w:r w:rsidRPr="00C421E4">
              <w:rPr>
                <w:rFonts w:ascii="Times" w:hAnsi="Times"/>
              </w:rPr>
              <w:t>Restlessness</w:t>
            </w:r>
          </w:p>
        </w:tc>
        <w:tc>
          <w:tcPr>
            <w:tcW w:w="935" w:type="pct"/>
            <w:vAlign w:val="center"/>
            <w:hideMark/>
          </w:tcPr>
          <w:p w14:paraId="6E3BE4F2" w14:textId="77777777" w:rsidR="00F7044C" w:rsidRPr="00C421E4" w:rsidRDefault="00F7044C" w:rsidP="00804E6B">
            <w:pPr>
              <w:jc w:val="center"/>
              <w:rPr>
                <w:rFonts w:ascii="Times" w:hAnsi="Times"/>
              </w:rPr>
            </w:pPr>
            <w:r w:rsidRPr="00C421E4">
              <w:rPr>
                <w:rFonts w:ascii="Times" w:hAnsi="Times"/>
              </w:rPr>
              <w:t>48.9</w:t>
            </w:r>
          </w:p>
        </w:tc>
        <w:tc>
          <w:tcPr>
            <w:tcW w:w="970" w:type="pct"/>
            <w:vAlign w:val="center"/>
            <w:hideMark/>
          </w:tcPr>
          <w:p w14:paraId="0ACB0BFB" w14:textId="77777777" w:rsidR="00F7044C" w:rsidRPr="00C421E4" w:rsidRDefault="00F7044C" w:rsidP="00804E6B">
            <w:pPr>
              <w:jc w:val="center"/>
              <w:rPr>
                <w:rFonts w:ascii="Times" w:hAnsi="Times"/>
              </w:rPr>
            </w:pPr>
            <w:r w:rsidRPr="00C421E4">
              <w:rPr>
                <w:rFonts w:ascii="Times" w:hAnsi="Times"/>
              </w:rPr>
              <w:t>37.7</w:t>
            </w:r>
          </w:p>
        </w:tc>
        <w:tc>
          <w:tcPr>
            <w:tcW w:w="970" w:type="pct"/>
            <w:vAlign w:val="center"/>
            <w:hideMark/>
          </w:tcPr>
          <w:p w14:paraId="2A975D99" w14:textId="77777777" w:rsidR="00F7044C" w:rsidRPr="00C421E4" w:rsidRDefault="00F7044C" w:rsidP="00804E6B">
            <w:pPr>
              <w:jc w:val="center"/>
              <w:rPr>
                <w:rFonts w:ascii="Times" w:hAnsi="Times"/>
              </w:rPr>
            </w:pPr>
            <w:r w:rsidRPr="00C421E4">
              <w:rPr>
                <w:rFonts w:ascii="Times" w:hAnsi="Times"/>
              </w:rPr>
              <w:t>1.13</w:t>
            </w:r>
          </w:p>
        </w:tc>
        <w:tc>
          <w:tcPr>
            <w:tcW w:w="970" w:type="pct"/>
            <w:vAlign w:val="center"/>
            <w:hideMark/>
          </w:tcPr>
          <w:p w14:paraId="0BEE8004" w14:textId="77777777" w:rsidR="00F7044C" w:rsidRPr="00C421E4" w:rsidRDefault="00F7044C" w:rsidP="00804E6B">
            <w:pPr>
              <w:jc w:val="center"/>
              <w:rPr>
                <w:rFonts w:ascii="Times" w:hAnsi="Times"/>
              </w:rPr>
            </w:pPr>
            <w:r w:rsidRPr="00C421E4">
              <w:rPr>
                <w:rFonts w:ascii="Times" w:hAnsi="Times"/>
              </w:rPr>
              <w:t>.29</w:t>
            </w:r>
          </w:p>
        </w:tc>
      </w:tr>
    </w:tbl>
    <w:p w14:paraId="5B1B179D" w14:textId="77777777" w:rsidR="00F7044C" w:rsidRPr="00C421E4" w:rsidRDefault="00F7044C" w:rsidP="00F7044C">
      <w:pPr>
        <w:jc w:val="center"/>
        <w:rPr>
          <w:rFonts w:ascii="Times" w:hAnsi="Times"/>
        </w:rPr>
      </w:pPr>
    </w:p>
    <w:p w14:paraId="3965D14E" w14:textId="77777777" w:rsidR="00F7044C" w:rsidRPr="00C421E4" w:rsidRDefault="00F7044C" w:rsidP="00F7044C">
      <w:pPr>
        <w:spacing w:line="480" w:lineRule="auto"/>
        <w:rPr>
          <w:rFonts w:ascii="Times" w:hAnsi="Times"/>
        </w:rPr>
      </w:pPr>
      <w:r>
        <w:rPr>
          <w:rFonts w:ascii="Times" w:hAnsi="Times"/>
        </w:rPr>
        <w:t>Table 4</w:t>
      </w:r>
      <w:r w:rsidRPr="00C421E4">
        <w:rPr>
          <w:rFonts w:ascii="Times" w:hAnsi="Times"/>
        </w:rPr>
        <w:t xml:space="preserve">: Physical complaints of mTBI participants reported on the Rivermead scale (statistical analyses via chi-squared). Bold indicates statistical significance. </w:t>
      </w:r>
    </w:p>
    <w:p w14:paraId="121B6D10" w14:textId="77777777" w:rsidR="00F7044C" w:rsidRPr="00C421E4" w:rsidRDefault="00F7044C" w:rsidP="00F7044C">
      <w:pPr>
        <w:rPr>
          <w:rFonts w:ascii="Times" w:hAnsi="Times"/>
        </w:rPr>
      </w:pPr>
      <w:r w:rsidRPr="00C421E4">
        <w:rPr>
          <w:rFonts w:ascii="Times" w:hAnsi="Times"/>
        </w:rPr>
        <w:br w:type="page"/>
      </w:r>
    </w:p>
    <w:tbl>
      <w:tblPr>
        <w:tblW w:w="13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896"/>
        <w:gridCol w:w="1909"/>
      </w:tblGrid>
      <w:tr w:rsidR="00F7044C" w:rsidRPr="00C421E4" w14:paraId="2B0222B3" w14:textId="77777777" w:rsidTr="00804E6B">
        <w:trPr>
          <w:trHeight w:val="320"/>
        </w:trPr>
        <w:tc>
          <w:tcPr>
            <w:tcW w:w="1752" w:type="pct"/>
            <w:shd w:val="clear" w:color="auto" w:fill="auto"/>
            <w:noWrap/>
            <w:vAlign w:val="center"/>
            <w:hideMark/>
          </w:tcPr>
          <w:p w14:paraId="4133BC7B" w14:textId="77777777" w:rsidR="00F7044C" w:rsidRPr="00C421E4" w:rsidRDefault="00F7044C" w:rsidP="00804E6B">
            <w:pPr>
              <w:jc w:val="center"/>
              <w:rPr>
                <w:rFonts w:ascii="Times" w:hAnsi="Times"/>
              </w:rPr>
            </w:pPr>
          </w:p>
        </w:tc>
        <w:tc>
          <w:tcPr>
            <w:tcW w:w="1620" w:type="pct"/>
            <w:shd w:val="clear" w:color="auto" w:fill="auto"/>
            <w:noWrap/>
            <w:vAlign w:val="center"/>
            <w:hideMark/>
          </w:tcPr>
          <w:p w14:paraId="78D280F7" w14:textId="77777777" w:rsidR="00F7044C" w:rsidRPr="00C421E4" w:rsidRDefault="00F7044C" w:rsidP="00804E6B">
            <w:pPr>
              <w:jc w:val="center"/>
              <w:rPr>
                <w:rFonts w:ascii="Times" w:hAnsi="Times"/>
              </w:rPr>
            </w:pPr>
            <w:r w:rsidRPr="00C421E4">
              <w:rPr>
                <w:rFonts w:ascii="Times" w:hAnsi="Times"/>
              </w:rPr>
              <w:t>Number of mTBI</w:t>
            </w:r>
          </w:p>
        </w:tc>
        <w:tc>
          <w:tcPr>
            <w:tcW w:w="1629" w:type="pct"/>
            <w:shd w:val="clear" w:color="auto" w:fill="auto"/>
            <w:noWrap/>
            <w:vAlign w:val="center"/>
            <w:hideMark/>
          </w:tcPr>
          <w:p w14:paraId="3EAA6C1B" w14:textId="77777777" w:rsidR="00F7044C" w:rsidRPr="00C421E4" w:rsidRDefault="00F7044C" w:rsidP="00804E6B">
            <w:pPr>
              <w:jc w:val="center"/>
              <w:rPr>
                <w:rFonts w:ascii="Times" w:hAnsi="Times"/>
              </w:rPr>
            </w:pPr>
            <w:r w:rsidRPr="00C421E4">
              <w:rPr>
                <w:rFonts w:ascii="Times" w:hAnsi="Times"/>
              </w:rPr>
              <w:t>Time since mTBI</w:t>
            </w:r>
          </w:p>
        </w:tc>
      </w:tr>
      <w:tr w:rsidR="00F7044C" w:rsidRPr="00C421E4" w14:paraId="0D275864" w14:textId="77777777" w:rsidTr="00804E6B">
        <w:trPr>
          <w:trHeight w:val="320"/>
        </w:trPr>
        <w:tc>
          <w:tcPr>
            <w:tcW w:w="1752" w:type="pct"/>
            <w:shd w:val="clear" w:color="auto" w:fill="auto"/>
            <w:noWrap/>
            <w:vAlign w:val="center"/>
            <w:hideMark/>
          </w:tcPr>
          <w:p w14:paraId="0BF9ED2B" w14:textId="77777777" w:rsidR="00F7044C" w:rsidRPr="00C421E4" w:rsidRDefault="00F7044C" w:rsidP="00804E6B">
            <w:pPr>
              <w:jc w:val="center"/>
              <w:rPr>
                <w:rFonts w:ascii="Times" w:hAnsi="Times"/>
              </w:rPr>
            </w:pPr>
            <w:r w:rsidRPr="00C421E4">
              <w:rPr>
                <w:rFonts w:ascii="Times" w:hAnsi="Times"/>
              </w:rPr>
              <w:t>Number of mTBI</w:t>
            </w:r>
          </w:p>
        </w:tc>
        <w:tc>
          <w:tcPr>
            <w:tcW w:w="1620" w:type="pct"/>
            <w:shd w:val="clear" w:color="auto" w:fill="auto"/>
            <w:noWrap/>
            <w:vAlign w:val="center"/>
            <w:hideMark/>
          </w:tcPr>
          <w:p w14:paraId="0E0C50AF" w14:textId="77777777" w:rsidR="00F7044C" w:rsidRPr="00C421E4" w:rsidRDefault="00F7044C" w:rsidP="00804E6B">
            <w:pPr>
              <w:jc w:val="center"/>
              <w:rPr>
                <w:rFonts w:ascii="Times" w:hAnsi="Times"/>
              </w:rPr>
            </w:pPr>
            <w:r w:rsidRPr="00C421E4">
              <w:rPr>
                <w:rFonts w:ascii="Times" w:hAnsi="Times"/>
              </w:rPr>
              <w:t>1</w:t>
            </w:r>
          </w:p>
        </w:tc>
        <w:tc>
          <w:tcPr>
            <w:tcW w:w="1629" w:type="pct"/>
            <w:shd w:val="clear" w:color="auto" w:fill="auto"/>
            <w:noWrap/>
            <w:vAlign w:val="center"/>
            <w:hideMark/>
          </w:tcPr>
          <w:p w14:paraId="097FF6AF" w14:textId="77777777" w:rsidR="00F7044C" w:rsidRPr="00C421E4" w:rsidRDefault="00F7044C" w:rsidP="00804E6B">
            <w:pPr>
              <w:jc w:val="center"/>
              <w:rPr>
                <w:rFonts w:ascii="Times" w:hAnsi="Times"/>
              </w:rPr>
            </w:pPr>
          </w:p>
        </w:tc>
      </w:tr>
      <w:tr w:rsidR="00F7044C" w:rsidRPr="00C421E4" w14:paraId="68908EFD" w14:textId="77777777" w:rsidTr="00804E6B">
        <w:trPr>
          <w:trHeight w:val="320"/>
        </w:trPr>
        <w:tc>
          <w:tcPr>
            <w:tcW w:w="1752" w:type="pct"/>
            <w:shd w:val="clear" w:color="auto" w:fill="auto"/>
            <w:noWrap/>
            <w:vAlign w:val="center"/>
            <w:hideMark/>
          </w:tcPr>
          <w:p w14:paraId="3976AC60" w14:textId="77777777" w:rsidR="00F7044C" w:rsidRPr="00C421E4" w:rsidRDefault="00F7044C" w:rsidP="00804E6B">
            <w:pPr>
              <w:jc w:val="center"/>
              <w:rPr>
                <w:rFonts w:ascii="Times" w:hAnsi="Times"/>
              </w:rPr>
            </w:pPr>
            <w:r w:rsidRPr="00C421E4">
              <w:rPr>
                <w:rFonts w:ascii="Times" w:hAnsi="Times"/>
              </w:rPr>
              <w:t>Time since mTBI</w:t>
            </w:r>
          </w:p>
        </w:tc>
        <w:tc>
          <w:tcPr>
            <w:tcW w:w="1620" w:type="pct"/>
            <w:shd w:val="clear" w:color="auto" w:fill="auto"/>
            <w:noWrap/>
            <w:vAlign w:val="center"/>
            <w:hideMark/>
          </w:tcPr>
          <w:p w14:paraId="18BFB39F" w14:textId="77777777" w:rsidR="00F7044C" w:rsidRPr="00C421E4" w:rsidRDefault="00F7044C" w:rsidP="00804E6B">
            <w:pPr>
              <w:jc w:val="center"/>
              <w:rPr>
                <w:rFonts w:ascii="Times" w:hAnsi="Times"/>
              </w:rPr>
            </w:pPr>
            <w:r w:rsidRPr="00C421E4">
              <w:rPr>
                <w:rFonts w:ascii="Times" w:hAnsi="Times"/>
              </w:rPr>
              <w:t>-0.24</w:t>
            </w:r>
          </w:p>
        </w:tc>
        <w:tc>
          <w:tcPr>
            <w:tcW w:w="1629" w:type="pct"/>
            <w:shd w:val="clear" w:color="auto" w:fill="auto"/>
            <w:noWrap/>
            <w:vAlign w:val="center"/>
            <w:hideMark/>
          </w:tcPr>
          <w:p w14:paraId="0D5A9EF3" w14:textId="77777777" w:rsidR="00F7044C" w:rsidRPr="00C421E4" w:rsidRDefault="00F7044C" w:rsidP="00804E6B">
            <w:pPr>
              <w:jc w:val="center"/>
              <w:rPr>
                <w:rFonts w:ascii="Times" w:hAnsi="Times"/>
              </w:rPr>
            </w:pPr>
            <w:r w:rsidRPr="00C421E4">
              <w:rPr>
                <w:rFonts w:ascii="Times" w:hAnsi="Times"/>
              </w:rPr>
              <w:t>1</w:t>
            </w:r>
          </w:p>
        </w:tc>
      </w:tr>
      <w:tr w:rsidR="00F7044C" w:rsidRPr="00C421E4" w14:paraId="7630B79C" w14:textId="77777777" w:rsidTr="00804E6B">
        <w:trPr>
          <w:trHeight w:val="320"/>
        </w:trPr>
        <w:tc>
          <w:tcPr>
            <w:tcW w:w="1752" w:type="pct"/>
            <w:shd w:val="clear" w:color="auto" w:fill="auto"/>
            <w:noWrap/>
            <w:vAlign w:val="center"/>
            <w:hideMark/>
          </w:tcPr>
          <w:p w14:paraId="0CCA8164" w14:textId="77777777" w:rsidR="00F7044C" w:rsidRPr="00C421E4" w:rsidRDefault="00F7044C" w:rsidP="00804E6B">
            <w:pPr>
              <w:jc w:val="center"/>
              <w:rPr>
                <w:rFonts w:ascii="Times" w:hAnsi="Times"/>
              </w:rPr>
            </w:pPr>
            <w:r w:rsidRPr="00C421E4">
              <w:rPr>
                <w:rFonts w:ascii="Times" w:hAnsi="Times"/>
              </w:rPr>
              <w:t>Neg. valence (reac)</w:t>
            </w:r>
          </w:p>
        </w:tc>
        <w:tc>
          <w:tcPr>
            <w:tcW w:w="1620" w:type="pct"/>
            <w:shd w:val="clear" w:color="auto" w:fill="auto"/>
            <w:noWrap/>
            <w:vAlign w:val="center"/>
            <w:hideMark/>
          </w:tcPr>
          <w:p w14:paraId="4FD28802" w14:textId="77777777" w:rsidR="00F7044C" w:rsidRPr="00C421E4" w:rsidRDefault="00F7044C" w:rsidP="00804E6B">
            <w:pPr>
              <w:jc w:val="center"/>
              <w:rPr>
                <w:rFonts w:ascii="Times" w:hAnsi="Times"/>
              </w:rPr>
            </w:pPr>
            <w:r w:rsidRPr="00C421E4">
              <w:rPr>
                <w:rFonts w:ascii="Times" w:hAnsi="Times"/>
              </w:rPr>
              <w:t>0.08</w:t>
            </w:r>
          </w:p>
        </w:tc>
        <w:tc>
          <w:tcPr>
            <w:tcW w:w="1629" w:type="pct"/>
            <w:shd w:val="clear" w:color="auto" w:fill="auto"/>
            <w:noWrap/>
            <w:vAlign w:val="center"/>
            <w:hideMark/>
          </w:tcPr>
          <w:p w14:paraId="5AB894C9" w14:textId="77777777" w:rsidR="00F7044C" w:rsidRPr="00C421E4" w:rsidRDefault="00F7044C" w:rsidP="00804E6B">
            <w:pPr>
              <w:jc w:val="center"/>
              <w:rPr>
                <w:rFonts w:ascii="Times" w:hAnsi="Times"/>
              </w:rPr>
            </w:pPr>
            <w:r w:rsidRPr="00C421E4">
              <w:rPr>
                <w:rFonts w:ascii="Times" w:hAnsi="Times"/>
              </w:rPr>
              <w:t>-0.05</w:t>
            </w:r>
          </w:p>
        </w:tc>
      </w:tr>
      <w:tr w:rsidR="00F7044C" w:rsidRPr="00C421E4" w14:paraId="13A01E7B" w14:textId="77777777" w:rsidTr="00804E6B">
        <w:trPr>
          <w:trHeight w:val="320"/>
        </w:trPr>
        <w:tc>
          <w:tcPr>
            <w:tcW w:w="1752" w:type="pct"/>
            <w:shd w:val="clear" w:color="auto" w:fill="auto"/>
            <w:noWrap/>
            <w:vAlign w:val="center"/>
            <w:hideMark/>
          </w:tcPr>
          <w:p w14:paraId="4600DEA5" w14:textId="77777777" w:rsidR="00F7044C" w:rsidRPr="00C421E4" w:rsidRDefault="00F7044C" w:rsidP="00804E6B">
            <w:pPr>
              <w:jc w:val="center"/>
              <w:rPr>
                <w:rFonts w:ascii="Times" w:hAnsi="Times"/>
              </w:rPr>
            </w:pPr>
            <w:r w:rsidRPr="00C421E4">
              <w:rPr>
                <w:rFonts w:ascii="Times" w:hAnsi="Times"/>
              </w:rPr>
              <w:t>Pos. valence (reac)</w:t>
            </w:r>
          </w:p>
        </w:tc>
        <w:tc>
          <w:tcPr>
            <w:tcW w:w="1620" w:type="pct"/>
            <w:shd w:val="clear" w:color="auto" w:fill="auto"/>
            <w:noWrap/>
            <w:vAlign w:val="center"/>
            <w:hideMark/>
          </w:tcPr>
          <w:p w14:paraId="2A6A4D43" w14:textId="77777777" w:rsidR="00F7044C" w:rsidRPr="00C421E4" w:rsidRDefault="00F7044C" w:rsidP="00804E6B">
            <w:pPr>
              <w:jc w:val="center"/>
              <w:rPr>
                <w:rFonts w:ascii="Times" w:hAnsi="Times"/>
              </w:rPr>
            </w:pPr>
            <w:r w:rsidRPr="00C421E4">
              <w:rPr>
                <w:rFonts w:ascii="Times" w:hAnsi="Times"/>
              </w:rPr>
              <w:t>-0.11</w:t>
            </w:r>
          </w:p>
        </w:tc>
        <w:tc>
          <w:tcPr>
            <w:tcW w:w="1629" w:type="pct"/>
            <w:shd w:val="clear" w:color="auto" w:fill="auto"/>
            <w:noWrap/>
            <w:vAlign w:val="center"/>
            <w:hideMark/>
          </w:tcPr>
          <w:p w14:paraId="4B22DDB4" w14:textId="77777777" w:rsidR="00F7044C" w:rsidRPr="00C421E4" w:rsidRDefault="00F7044C" w:rsidP="00804E6B">
            <w:pPr>
              <w:jc w:val="center"/>
              <w:rPr>
                <w:rFonts w:ascii="Times" w:hAnsi="Times"/>
              </w:rPr>
            </w:pPr>
            <w:r w:rsidRPr="00C421E4">
              <w:rPr>
                <w:rFonts w:ascii="Times" w:hAnsi="Times"/>
              </w:rPr>
              <w:t>0.20</w:t>
            </w:r>
          </w:p>
        </w:tc>
      </w:tr>
      <w:tr w:rsidR="00F7044C" w:rsidRPr="00C421E4" w14:paraId="05206071" w14:textId="77777777" w:rsidTr="00804E6B">
        <w:trPr>
          <w:trHeight w:val="320"/>
        </w:trPr>
        <w:tc>
          <w:tcPr>
            <w:tcW w:w="1752" w:type="pct"/>
            <w:shd w:val="clear" w:color="auto" w:fill="auto"/>
            <w:noWrap/>
            <w:vAlign w:val="center"/>
            <w:hideMark/>
          </w:tcPr>
          <w:p w14:paraId="00BE113B" w14:textId="77777777" w:rsidR="00F7044C" w:rsidRPr="00C421E4" w:rsidRDefault="00F7044C" w:rsidP="00804E6B">
            <w:pPr>
              <w:jc w:val="center"/>
              <w:rPr>
                <w:rFonts w:ascii="Times" w:hAnsi="Times"/>
              </w:rPr>
            </w:pPr>
            <w:r w:rsidRPr="00C421E4">
              <w:rPr>
                <w:rFonts w:ascii="Times" w:hAnsi="Times"/>
              </w:rPr>
              <w:t>Neg. arousal (reac)</w:t>
            </w:r>
          </w:p>
        </w:tc>
        <w:tc>
          <w:tcPr>
            <w:tcW w:w="1620" w:type="pct"/>
            <w:shd w:val="clear" w:color="auto" w:fill="auto"/>
            <w:noWrap/>
            <w:vAlign w:val="center"/>
            <w:hideMark/>
          </w:tcPr>
          <w:p w14:paraId="16A7AEEC" w14:textId="77777777" w:rsidR="00F7044C" w:rsidRPr="00C421E4" w:rsidRDefault="00F7044C" w:rsidP="00804E6B">
            <w:pPr>
              <w:jc w:val="center"/>
              <w:rPr>
                <w:rFonts w:ascii="Times" w:hAnsi="Times"/>
              </w:rPr>
            </w:pPr>
            <w:r w:rsidRPr="00C421E4">
              <w:rPr>
                <w:rFonts w:ascii="Times" w:hAnsi="Times"/>
              </w:rPr>
              <w:t>0.08</w:t>
            </w:r>
          </w:p>
        </w:tc>
        <w:tc>
          <w:tcPr>
            <w:tcW w:w="1629" w:type="pct"/>
            <w:shd w:val="clear" w:color="auto" w:fill="auto"/>
            <w:noWrap/>
            <w:vAlign w:val="center"/>
            <w:hideMark/>
          </w:tcPr>
          <w:p w14:paraId="39EE46D6" w14:textId="77777777" w:rsidR="00F7044C" w:rsidRPr="00C421E4" w:rsidRDefault="00F7044C" w:rsidP="00804E6B">
            <w:pPr>
              <w:jc w:val="center"/>
              <w:rPr>
                <w:rFonts w:ascii="Times" w:hAnsi="Times"/>
              </w:rPr>
            </w:pPr>
            <w:r w:rsidRPr="00C421E4">
              <w:rPr>
                <w:rFonts w:ascii="Times" w:hAnsi="Times"/>
              </w:rPr>
              <w:t>-0.09</w:t>
            </w:r>
          </w:p>
        </w:tc>
      </w:tr>
      <w:tr w:rsidR="00F7044C" w:rsidRPr="00C421E4" w14:paraId="690B86B4" w14:textId="77777777" w:rsidTr="00804E6B">
        <w:trPr>
          <w:trHeight w:val="320"/>
        </w:trPr>
        <w:tc>
          <w:tcPr>
            <w:tcW w:w="1752" w:type="pct"/>
            <w:shd w:val="clear" w:color="auto" w:fill="auto"/>
            <w:noWrap/>
            <w:vAlign w:val="center"/>
            <w:hideMark/>
          </w:tcPr>
          <w:p w14:paraId="46207F01" w14:textId="77777777" w:rsidR="00F7044C" w:rsidRPr="00C421E4" w:rsidRDefault="00F7044C" w:rsidP="00804E6B">
            <w:pPr>
              <w:jc w:val="center"/>
              <w:rPr>
                <w:rFonts w:ascii="Times" w:hAnsi="Times"/>
              </w:rPr>
            </w:pPr>
            <w:r w:rsidRPr="00C421E4">
              <w:rPr>
                <w:rFonts w:ascii="Times" w:hAnsi="Times"/>
              </w:rPr>
              <w:t>Pos. arousal (reac)</w:t>
            </w:r>
          </w:p>
        </w:tc>
        <w:tc>
          <w:tcPr>
            <w:tcW w:w="1620" w:type="pct"/>
            <w:shd w:val="clear" w:color="auto" w:fill="auto"/>
            <w:noWrap/>
            <w:vAlign w:val="center"/>
            <w:hideMark/>
          </w:tcPr>
          <w:p w14:paraId="67B52CCB" w14:textId="77777777" w:rsidR="00F7044C" w:rsidRPr="00C421E4" w:rsidRDefault="00F7044C" w:rsidP="00804E6B">
            <w:pPr>
              <w:jc w:val="center"/>
              <w:rPr>
                <w:rFonts w:ascii="Times" w:hAnsi="Times"/>
              </w:rPr>
            </w:pPr>
            <w:r w:rsidRPr="00C421E4">
              <w:rPr>
                <w:rFonts w:ascii="Times" w:hAnsi="Times"/>
              </w:rPr>
              <w:t>-0.04</w:t>
            </w:r>
          </w:p>
        </w:tc>
        <w:tc>
          <w:tcPr>
            <w:tcW w:w="1629" w:type="pct"/>
            <w:shd w:val="clear" w:color="auto" w:fill="auto"/>
            <w:noWrap/>
            <w:vAlign w:val="center"/>
            <w:hideMark/>
          </w:tcPr>
          <w:p w14:paraId="2C844303" w14:textId="77777777" w:rsidR="00F7044C" w:rsidRPr="00C421E4" w:rsidRDefault="00F7044C" w:rsidP="00804E6B">
            <w:pPr>
              <w:jc w:val="center"/>
              <w:rPr>
                <w:rFonts w:ascii="Times" w:hAnsi="Times"/>
              </w:rPr>
            </w:pPr>
            <w:r w:rsidRPr="00C421E4">
              <w:rPr>
                <w:rFonts w:ascii="Times" w:hAnsi="Times"/>
              </w:rPr>
              <w:t>-0.05</w:t>
            </w:r>
          </w:p>
        </w:tc>
      </w:tr>
      <w:tr w:rsidR="00F7044C" w:rsidRPr="00C421E4" w14:paraId="3D84ABF7" w14:textId="77777777" w:rsidTr="00804E6B">
        <w:trPr>
          <w:trHeight w:val="320"/>
        </w:trPr>
        <w:tc>
          <w:tcPr>
            <w:tcW w:w="1752" w:type="pct"/>
            <w:shd w:val="clear" w:color="auto" w:fill="auto"/>
            <w:noWrap/>
            <w:vAlign w:val="center"/>
            <w:hideMark/>
          </w:tcPr>
          <w:p w14:paraId="7A3BA591" w14:textId="77777777" w:rsidR="00F7044C" w:rsidRPr="00C421E4" w:rsidRDefault="00F7044C" w:rsidP="00804E6B">
            <w:pPr>
              <w:jc w:val="center"/>
              <w:rPr>
                <w:rFonts w:ascii="Times" w:hAnsi="Times"/>
              </w:rPr>
            </w:pPr>
            <w:r w:rsidRPr="00C421E4">
              <w:rPr>
                <w:rFonts w:ascii="Times" w:hAnsi="Times"/>
              </w:rPr>
              <w:t>Neg. valence (hab)</w:t>
            </w:r>
          </w:p>
        </w:tc>
        <w:tc>
          <w:tcPr>
            <w:tcW w:w="1620" w:type="pct"/>
            <w:shd w:val="clear" w:color="auto" w:fill="auto"/>
            <w:noWrap/>
            <w:vAlign w:val="center"/>
            <w:hideMark/>
          </w:tcPr>
          <w:p w14:paraId="5D4BA762" w14:textId="77777777" w:rsidR="00F7044C" w:rsidRPr="00C421E4" w:rsidRDefault="00F7044C" w:rsidP="00804E6B">
            <w:pPr>
              <w:jc w:val="center"/>
              <w:rPr>
                <w:rFonts w:ascii="Times" w:hAnsi="Times"/>
              </w:rPr>
            </w:pPr>
            <w:r w:rsidRPr="00C421E4">
              <w:rPr>
                <w:rFonts w:ascii="Times" w:hAnsi="Times"/>
              </w:rPr>
              <w:t>0.01</w:t>
            </w:r>
          </w:p>
        </w:tc>
        <w:tc>
          <w:tcPr>
            <w:tcW w:w="1629" w:type="pct"/>
            <w:shd w:val="clear" w:color="auto" w:fill="auto"/>
            <w:noWrap/>
            <w:vAlign w:val="center"/>
            <w:hideMark/>
          </w:tcPr>
          <w:p w14:paraId="3A61303F" w14:textId="77777777" w:rsidR="00F7044C" w:rsidRPr="00C421E4" w:rsidRDefault="00F7044C" w:rsidP="00804E6B">
            <w:pPr>
              <w:jc w:val="center"/>
              <w:rPr>
                <w:rFonts w:ascii="Times" w:hAnsi="Times"/>
              </w:rPr>
            </w:pPr>
            <w:r w:rsidRPr="00C421E4">
              <w:rPr>
                <w:rFonts w:ascii="Times" w:hAnsi="Times"/>
              </w:rPr>
              <w:t>0.14</w:t>
            </w:r>
          </w:p>
        </w:tc>
      </w:tr>
      <w:tr w:rsidR="00F7044C" w:rsidRPr="00C421E4" w14:paraId="4B4BDADB" w14:textId="77777777" w:rsidTr="00804E6B">
        <w:trPr>
          <w:trHeight w:val="320"/>
        </w:trPr>
        <w:tc>
          <w:tcPr>
            <w:tcW w:w="1752" w:type="pct"/>
            <w:shd w:val="clear" w:color="auto" w:fill="auto"/>
            <w:noWrap/>
            <w:vAlign w:val="center"/>
            <w:hideMark/>
          </w:tcPr>
          <w:p w14:paraId="25C5FCB9" w14:textId="77777777" w:rsidR="00F7044C" w:rsidRPr="00C421E4" w:rsidRDefault="00F7044C" w:rsidP="00804E6B">
            <w:pPr>
              <w:jc w:val="center"/>
              <w:rPr>
                <w:rFonts w:ascii="Times" w:hAnsi="Times"/>
              </w:rPr>
            </w:pPr>
            <w:r w:rsidRPr="00C421E4">
              <w:rPr>
                <w:rFonts w:ascii="Times" w:hAnsi="Times"/>
              </w:rPr>
              <w:t>Pos. valence (hab)</w:t>
            </w:r>
          </w:p>
        </w:tc>
        <w:tc>
          <w:tcPr>
            <w:tcW w:w="1620" w:type="pct"/>
            <w:shd w:val="clear" w:color="auto" w:fill="auto"/>
            <w:noWrap/>
            <w:vAlign w:val="center"/>
            <w:hideMark/>
          </w:tcPr>
          <w:p w14:paraId="377CFE74" w14:textId="77777777" w:rsidR="00F7044C" w:rsidRPr="00C421E4" w:rsidRDefault="00F7044C" w:rsidP="00804E6B">
            <w:pPr>
              <w:jc w:val="center"/>
              <w:rPr>
                <w:rFonts w:ascii="Times" w:hAnsi="Times"/>
              </w:rPr>
            </w:pPr>
            <w:r w:rsidRPr="00C421E4">
              <w:rPr>
                <w:rFonts w:ascii="Times" w:hAnsi="Times"/>
              </w:rPr>
              <w:t>0.11</w:t>
            </w:r>
          </w:p>
        </w:tc>
        <w:tc>
          <w:tcPr>
            <w:tcW w:w="1629" w:type="pct"/>
            <w:shd w:val="clear" w:color="auto" w:fill="auto"/>
            <w:noWrap/>
            <w:vAlign w:val="center"/>
            <w:hideMark/>
          </w:tcPr>
          <w:p w14:paraId="513A794A" w14:textId="77777777" w:rsidR="00F7044C" w:rsidRPr="00C421E4" w:rsidRDefault="00F7044C" w:rsidP="00804E6B">
            <w:pPr>
              <w:jc w:val="center"/>
              <w:rPr>
                <w:rFonts w:ascii="Times" w:hAnsi="Times"/>
              </w:rPr>
            </w:pPr>
            <w:r w:rsidRPr="00C421E4">
              <w:rPr>
                <w:rFonts w:ascii="Times" w:hAnsi="Times"/>
              </w:rPr>
              <w:t>-0.02</w:t>
            </w:r>
          </w:p>
        </w:tc>
      </w:tr>
      <w:tr w:rsidR="00F7044C" w:rsidRPr="00C421E4" w14:paraId="4D3E4D3A" w14:textId="77777777" w:rsidTr="00804E6B">
        <w:trPr>
          <w:trHeight w:val="320"/>
        </w:trPr>
        <w:tc>
          <w:tcPr>
            <w:tcW w:w="1752" w:type="pct"/>
            <w:shd w:val="clear" w:color="auto" w:fill="auto"/>
            <w:noWrap/>
            <w:vAlign w:val="center"/>
            <w:hideMark/>
          </w:tcPr>
          <w:p w14:paraId="3817EEA2" w14:textId="77777777" w:rsidR="00F7044C" w:rsidRPr="00C421E4" w:rsidRDefault="00F7044C" w:rsidP="00804E6B">
            <w:pPr>
              <w:jc w:val="center"/>
              <w:rPr>
                <w:rFonts w:ascii="Times" w:hAnsi="Times"/>
              </w:rPr>
            </w:pPr>
            <w:r w:rsidRPr="00C421E4">
              <w:rPr>
                <w:rFonts w:ascii="Times" w:hAnsi="Times"/>
              </w:rPr>
              <w:t>Neg. arousal (hab)</w:t>
            </w:r>
          </w:p>
        </w:tc>
        <w:tc>
          <w:tcPr>
            <w:tcW w:w="1620" w:type="pct"/>
            <w:shd w:val="clear" w:color="auto" w:fill="auto"/>
            <w:noWrap/>
            <w:vAlign w:val="center"/>
            <w:hideMark/>
          </w:tcPr>
          <w:p w14:paraId="092A85FC" w14:textId="77777777" w:rsidR="00F7044C" w:rsidRPr="00C421E4" w:rsidRDefault="00F7044C" w:rsidP="00804E6B">
            <w:pPr>
              <w:jc w:val="center"/>
              <w:rPr>
                <w:rFonts w:ascii="Times" w:hAnsi="Times"/>
              </w:rPr>
            </w:pPr>
            <w:r w:rsidRPr="00C421E4">
              <w:rPr>
                <w:rFonts w:ascii="Times" w:hAnsi="Times"/>
              </w:rPr>
              <w:t>-0.11</w:t>
            </w:r>
          </w:p>
        </w:tc>
        <w:tc>
          <w:tcPr>
            <w:tcW w:w="1629" w:type="pct"/>
            <w:shd w:val="clear" w:color="auto" w:fill="auto"/>
            <w:noWrap/>
            <w:vAlign w:val="center"/>
            <w:hideMark/>
          </w:tcPr>
          <w:p w14:paraId="3F62D2D0" w14:textId="77777777" w:rsidR="00F7044C" w:rsidRPr="00C421E4" w:rsidRDefault="00F7044C" w:rsidP="00804E6B">
            <w:pPr>
              <w:jc w:val="center"/>
              <w:rPr>
                <w:rFonts w:ascii="Times" w:hAnsi="Times"/>
              </w:rPr>
            </w:pPr>
            <w:r w:rsidRPr="00C421E4">
              <w:rPr>
                <w:rFonts w:ascii="Times" w:hAnsi="Times"/>
              </w:rPr>
              <w:t>-0.19</w:t>
            </w:r>
          </w:p>
        </w:tc>
      </w:tr>
      <w:tr w:rsidR="00F7044C" w:rsidRPr="00C421E4" w14:paraId="4A4D2D16" w14:textId="77777777" w:rsidTr="00804E6B">
        <w:trPr>
          <w:trHeight w:val="320"/>
        </w:trPr>
        <w:tc>
          <w:tcPr>
            <w:tcW w:w="1752" w:type="pct"/>
            <w:shd w:val="clear" w:color="auto" w:fill="auto"/>
            <w:noWrap/>
            <w:vAlign w:val="center"/>
            <w:hideMark/>
          </w:tcPr>
          <w:p w14:paraId="6A2597D7" w14:textId="77777777" w:rsidR="00F7044C" w:rsidRPr="00C421E4" w:rsidRDefault="00F7044C" w:rsidP="00804E6B">
            <w:pPr>
              <w:jc w:val="center"/>
              <w:rPr>
                <w:rFonts w:ascii="Times" w:hAnsi="Times"/>
              </w:rPr>
            </w:pPr>
            <w:r w:rsidRPr="00C421E4">
              <w:rPr>
                <w:rFonts w:ascii="Times" w:hAnsi="Times"/>
              </w:rPr>
              <w:t>Pos. arousal (hab)</w:t>
            </w:r>
          </w:p>
        </w:tc>
        <w:tc>
          <w:tcPr>
            <w:tcW w:w="1620" w:type="pct"/>
            <w:shd w:val="clear" w:color="auto" w:fill="auto"/>
            <w:noWrap/>
            <w:vAlign w:val="center"/>
            <w:hideMark/>
          </w:tcPr>
          <w:p w14:paraId="3F3EF0EB" w14:textId="77777777" w:rsidR="00F7044C" w:rsidRPr="00C421E4" w:rsidRDefault="00F7044C" w:rsidP="00804E6B">
            <w:pPr>
              <w:jc w:val="center"/>
              <w:rPr>
                <w:rFonts w:ascii="Times" w:hAnsi="Times"/>
              </w:rPr>
            </w:pPr>
            <w:r w:rsidRPr="00C421E4">
              <w:rPr>
                <w:rFonts w:ascii="Times" w:hAnsi="Times"/>
              </w:rPr>
              <w:t>-0.12</w:t>
            </w:r>
          </w:p>
        </w:tc>
        <w:tc>
          <w:tcPr>
            <w:tcW w:w="1629" w:type="pct"/>
            <w:shd w:val="clear" w:color="auto" w:fill="auto"/>
            <w:noWrap/>
            <w:vAlign w:val="center"/>
            <w:hideMark/>
          </w:tcPr>
          <w:p w14:paraId="6CAD2ABB" w14:textId="77777777" w:rsidR="00F7044C" w:rsidRPr="00C421E4" w:rsidRDefault="00F7044C" w:rsidP="00804E6B">
            <w:pPr>
              <w:jc w:val="center"/>
              <w:rPr>
                <w:rFonts w:ascii="Times" w:hAnsi="Times"/>
              </w:rPr>
            </w:pPr>
            <w:r w:rsidRPr="00C421E4">
              <w:rPr>
                <w:rFonts w:ascii="Times" w:hAnsi="Times"/>
              </w:rPr>
              <w:t>-0.08</w:t>
            </w:r>
          </w:p>
        </w:tc>
      </w:tr>
    </w:tbl>
    <w:p w14:paraId="0DC7873A" w14:textId="77777777" w:rsidR="00F7044C" w:rsidRPr="00C421E4" w:rsidRDefault="00F7044C" w:rsidP="00F7044C">
      <w:pPr>
        <w:rPr>
          <w:rFonts w:ascii="Times" w:hAnsi="Times"/>
        </w:rPr>
      </w:pPr>
    </w:p>
    <w:p w14:paraId="3A9B7491" w14:textId="77777777" w:rsidR="00F7044C" w:rsidRPr="00C421E4" w:rsidRDefault="00F7044C" w:rsidP="00F7044C">
      <w:pPr>
        <w:spacing w:line="480" w:lineRule="auto"/>
        <w:rPr>
          <w:rFonts w:ascii="Times" w:hAnsi="Times"/>
        </w:rPr>
      </w:pPr>
      <w:r>
        <w:rPr>
          <w:rFonts w:ascii="Times" w:hAnsi="Times"/>
        </w:rPr>
        <w:t>Table 5</w:t>
      </w:r>
      <w:r w:rsidRPr="00C421E4">
        <w:rPr>
          <w:rFonts w:ascii="Times" w:hAnsi="Times"/>
        </w:rPr>
        <w:t xml:space="preserve">: Correlations between mTBI characteristics and behavioral ratings. Statistics represent r-values. Reac = reactivity; hab = habituation. </w:t>
      </w:r>
    </w:p>
    <w:p w14:paraId="78D3B6DD" w14:textId="77777777" w:rsidR="00F7044C" w:rsidRPr="00C421E4" w:rsidRDefault="00F7044C" w:rsidP="00F7044C">
      <w:pPr>
        <w:rPr>
          <w:rFonts w:ascii="Times" w:hAnsi="Times"/>
        </w:rPr>
      </w:pPr>
      <w:r w:rsidRPr="00C421E4">
        <w:rPr>
          <w:rFonts w:ascii="Times" w:hAnsi="Times"/>
        </w:rPr>
        <w:br w:type="page"/>
      </w:r>
    </w:p>
    <w:tbl>
      <w:tblPr>
        <w:tblW w:w="7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35"/>
        <w:gridCol w:w="1890"/>
        <w:gridCol w:w="1980"/>
      </w:tblGrid>
      <w:tr w:rsidR="00F7044C" w:rsidRPr="00C421E4" w14:paraId="151B6C38" w14:textId="77777777" w:rsidTr="00804E6B">
        <w:trPr>
          <w:trHeight w:val="320"/>
        </w:trPr>
        <w:tc>
          <w:tcPr>
            <w:tcW w:w="3235" w:type="dxa"/>
            <w:shd w:val="clear" w:color="auto" w:fill="auto"/>
            <w:noWrap/>
            <w:vAlign w:val="center"/>
            <w:hideMark/>
          </w:tcPr>
          <w:p w14:paraId="6D1B3478" w14:textId="77777777" w:rsidR="00F7044C" w:rsidRPr="00C421E4" w:rsidRDefault="00F7044C" w:rsidP="00804E6B">
            <w:pPr>
              <w:jc w:val="center"/>
              <w:rPr>
                <w:rFonts w:ascii="Times" w:hAnsi="Times"/>
                <w:sz w:val="20"/>
                <w:szCs w:val="20"/>
              </w:rPr>
            </w:pPr>
          </w:p>
        </w:tc>
        <w:tc>
          <w:tcPr>
            <w:tcW w:w="1890" w:type="dxa"/>
            <w:shd w:val="clear" w:color="auto" w:fill="auto"/>
            <w:noWrap/>
            <w:vAlign w:val="center"/>
            <w:hideMark/>
          </w:tcPr>
          <w:p w14:paraId="47B8C6EB" w14:textId="77777777" w:rsidR="00F7044C" w:rsidRPr="00C421E4" w:rsidRDefault="00F7044C" w:rsidP="00804E6B">
            <w:pPr>
              <w:jc w:val="center"/>
              <w:rPr>
                <w:rFonts w:ascii="Times" w:hAnsi="Times"/>
              </w:rPr>
            </w:pPr>
            <w:r w:rsidRPr="00C421E4">
              <w:rPr>
                <w:rFonts w:ascii="Times" w:hAnsi="Times"/>
              </w:rPr>
              <w:t>Number of mTBI</w:t>
            </w:r>
          </w:p>
        </w:tc>
        <w:tc>
          <w:tcPr>
            <w:tcW w:w="1980" w:type="dxa"/>
            <w:shd w:val="clear" w:color="auto" w:fill="auto"/>
            <w:noWrap/>
            <w:vAlign w:val="center"/>
            <w:hideMark/>
          </w:tcPr>
          <w:p w14:paraId="16B411CC" w14:textId="77777777" w:rsidR="00F7044C" w:rsidRPr="00C421E4" w:rsidRDefault="00F7044C" w:rsidP="00804E6B">
            <w:pPr>
              <w:jc w:val="center"/>
              <w:rPr>
                <w:rFonts w:ascii="Times" w:hAnsi="Times"/>
              </w:rPr>
            </w:pPr>
            <w:r w:rsidRPr="00C421E4">
              <w:rPr>
                <w:rFonts w:ascii="Times" w:hAnsi="Times"/>
              </w:rPr>
              <w:t>Time since mTBI</w:t>
            </w:r>
          </w:p>
        </w:tc>
      </w:tr>
      <w:tr w:rsidR="00F7044C" w:rsidRPr="00C421E4" w14:paraId="612FB2DE" w14:textId="77777777" w:rsidTr="00804E6B">
        <w:trPr>
          <w:trHeight w:val="320"/>
        </w:trPr>
        <w:tc>
          <w:tcPr>
            <w:tcW w:w="3235" w:type="dxa"/>
            <w:shd w:val="clear" w:color="auto" w:fill="auto"/>
            <w:noWrap/>
            <w:vAlign w:val="center"/>
            <w:hideMark/>
          </w:tcPr>
          <w:p w14:paraId="58136128" w14:textId="77777777" w:rsidR="00F7044C" w:rsidRPr="00C421E4" w:rsidRDefault="00F7044C" w:rsidP="00804E6B">
            <w:pPr>
              <w:jc w:val="center"/>
              <w:rPr>
                <w:rFonts w:ascii="Times" w:hAnsi="Times"/>
              </w:rPr>
            </w:pPr>
            <w:r w:rsidRPr="00C421E4">
              <w:rPr>
                <w:rFonts w:ascii="Times" w:hAnsi="Times"/>
              </w:rPr>
              <w:t>Number of mTBI</w:t>
            </w:r>
          </w:p>
        </w:tc>
        <w:tc>
          <w:tcPr>
            <w:tcW w:w="1890" w:type="dxa"/>
            <w:shd w:val="clear" w:color="auto" w:fill="auto"/>
            <w:noWrap/>
            <w:vAlign w:val="center"/>
            <w:hideMark/>
          </w:tcPr>
          <w:p w14:paraId="7A8319F0" w14:textId="77777777" w:rsidR="00F7044C" w:rsidRPr="00C421E4" w:rsidRDefault="00F7044C" w:rsidP="00804E6B">
            <w:pPr>
              <w:jc w:val="center"/>
              <w:rPr>
                <w:rFonts w:ascii="Times" w:hAnsi="Times"/>
              </w:rPr>
            </w:pPr>
            <w:r w:rsidRPr="00C421E4">
              <w:rPr>
                <w:rFonts w:ascii="Times" w:hAnsi="Times"/>
              </w:rPr>
              <w:t>1</w:t>
            </w:r>
          </w:p>
        </w:tc>
        <w:tc>
          <w:tcPr>
            <w:tcW w:w="1980" w:type="dxa"/>
            <w:shd w:val="clear" w:color="auto" w:fill="auto"/>
            <w:noWrap/>
            <w:vAlign w:val="center"/>
            <w:hideMark/>
          </w:tcPr>
          <w:p w14:paraId="1287074C" w14:textId="77777777" w:rsidR="00F7044C" w:rsidRPr="00C421E4" w:rsidRDefault="00F7044C" w:rsidP="00804E6B">
            <w:pPr>
              <w:jc w:val="center"/>
              <w:rPr>
                <w:rFonts w:ascii="Times" w:hAnsi="Times"/>
              </w:rPr>
            </w:pPr>
          </w:p>
        </w:tc>
      </w:tr>
      <w:tr w:rsidR="00F7044C" w:rsidRPr="00C421E4" w14:paraId="4CEDCF2F" w14:textId="77777777" w:rsidTr="00804E6B">
        <w:trPr>
          <w:trHeight w:val="320"/>
        </w:trPr>
        <w:tc>
          <w:tcPr>
            <w:tcW w:w="3235" w:type="dxa"/>
            <w:shd w:val="clear" w:color="auto" w:fill="auto"/>
            <w:noWrap/>
            <w:vAlign w:val="center"/>
            <w:hideMark/>
          </w:tcPr>
          <w:p w14:paraId="7DEDDAB1" w14:textId="77777777" w:rsidR="00F7044C" w:rsidRPr="00C421E4" w:rsidRDefault="00F7044C" w:rsidP="00804E6B">
            <w:pPr>
              <w:jc w:val="center"/>
              <w:rPr>
                <w:rFonts w:ascii="Times" w:hAnsi="Times"/>
              </w:rPr>
            </w:pPr>
            <w:r w:rsidRPr="00C421E4">
              <w:rPr>
                <w:rFonts w:ascii="Times" w:hAnsi="Times"/>
              </w:rPr>
              <w:t>Time since mTBI</w:t>
            </w:r>
          </w:p>
        </w:tc>
        <w:tc>
          <w:tcPr>
            <w:tcW w:w="1890" w:type="dxa"/>
            <w:shd w:val="clear" w:color="auto" w:fill="auto"/>
            <w:noWrap/>
            <w:vAlign w:val="center"/>
            <w:hideMark/>
          </w:tcPr>
          <w:p w14:paraId="28EBB5A8" w14:textId="77777777" w:rsidR="00F7044C" w:rsidRPr="00C421E4" w:rsidRDefault="00F7044C" w:rsidP="00804E6B">
            <w:pPr>
              <w:jc w:val="center"/>
              <w:rPr>
                <w:rFonts w:ascii="Times" w:hAnsi="Times"/>
              </w:rPr>
            </w:pPr>
            <w:r w:rsidRPr="00C421E4">
              <w:rPr>
                <w:rFonts w:ascii="Times" w:hAnsi="Times"/>
              </w:rPr>
              <w:t>-0.246</w:t>
            </w:r>
          </w:p>
        </w:tc>
        <w:tc>
          <w:tcPr>
            <w:tcW w:w="1980" w:type="dxa"/>
            <w:shd w:val="clear" w:color="auto" w:fill="auto"/>
            <w:noWrap/>
            <w:vAlign w:val="center"/>
            <w:hideMark/>
          </w:tcPr>
          <w:p w14:paraId="75A4C385" w14:textId="77777777" w:rsidR="00F7044C" w:rsidRPr="00C421E4" w:rsidRDefault="00F7044C" w:rsidP="00804E6B">
            <w:pPr>
              <w:jc w:val="center"/>
              <w:rPr>
                <w:rFonts w:ascii="Times" w:hAnsi="Times"/>
              </w:rPr>
            </w:pPr>
            <w:r w:rsidRPr="00C421E4">
              <w:rPr>
                <w:rFonts w:ascii="Times" w:hAnsi="Times"/>
              </w:rPr>
              <w:t>1</w:t>
            </w:r>
          </w:p>
        </w:tc>
      </w:tr>
      <w:tr w:rsidR="00F7044C" w:rsidRPr="00C421E4" w14:paraId="5B1799E1" w14:textId="77777777" w:rsidTr="00804E6B">
        <w:trPr>
          <w:trHeight w:val="320"/>
        </w:trPr>
        <w:tc>
          <w:tcPr>
            <w:tcW w:w="3235" w:type="dxa"/>
            <w:shd w:val="clear" w:color="auto" w:fill="auto"/>
            <w:noWrap/>
            <w:vAlign w:val="center"/>
            <w:hideMark/>
          </w:tcPr>
          <w:p w14:paraId="5A32204E" w14:textId="77777777" w:rsidR="00F7044C" w:rsidRPr="00C421E4" w:rsidRDefault="00F7044C" w:rsidP="00804E6B">
            <w:pPr>
              <w:jc w:val="center"/>
              <w:rPr>
                <w:rFonts w:ascii="Times" w:hAnsi="Times"/>
              </w:rPr>
            </w:pPr>
            <w:r w:rsidRPr="00C421E4">
              <w:rPr>
                <w:rFonts w:ascii="Times" w:hAnsi="Times"/>
              </w:rPr>
              <w:t>Pos. skin conductance (reac)</w:t>
            </w:r>
          </w:p>
        </w:tc>
        <w:tc>
          <w:tcPr>
            <w:tcW w:w="1890" w:type="dxa"/>
            <w:shd w:val="clear" w:color="auto" w:fill="auto"/>
            <w:noWrap/>
            <w:vAlign w:val="center"/>
            <w:hideMark/>
          </w:tcPr>
          <w:p w14:paraId="500E2F32" w14:textId="77777777" w:rsidR="00F7044C" w:rsidRPr="00C421E4" w:rsidRDefault="00F7044C" w:rsidP="00804E6B">
            <w:pPr>
              <w:jc w:val="center"/>
              <w:rPr>
                <w:rFonts w:ascii="Times" w:hAnsi="Times"/>
              </w:rPr>
            </w:pPr>
            <w:r w:rsidRPr="00C421E4">
              <w:rPr>
                <w:rFonts w:ascii="Times" w:hAnsi="Times"/>
              </w:rPr>
              <w:t>-0.025</w:t>
            </w:r>
          </w:p>
        </w:tc>
        <w:tc>
          <w:tcPr>
            <w:tcW w:w="1980" w:type="dxa"/>
            <w:shd w:val="clear" w:color="auto" w:fill="auto"/>
            <w:noWrap/>
            <w:vAlign w:val="center"/>
            <w:hideMark/>
          </w:tcPr>
          <w:p w14:paraId="4B35695B" w14:textId="77777777" w:rsidR="00F7044C" w:rsidRPr="00C421E4" w:rsidRDefault="00F7044C" w:rsidP="00804E6B">
            <w:pPr>
              <w:jc w:val="center"/>
              <w:rPr>
                <w:rFonts w:ascii="Times" w:hAnsi="Times"/>
              </w:rPr>
            </w:pPr>
            <w:r w:rsidRPr="00C421E4">
              <w:rPr>
                <w:rFonts w:ascii="Times" w:hAnsi="Times"/>
              </w:rPr>
              <w:t>0.201</w:t>
            </w:r>
          </w:p>
        </w:tc>
      </w:tr>
      <w:tr w:rsidR="00F7044C" w:rsidRPr="00C421E4" w14:paraId="7B49010F" w14:textId="77777777" w:rsidTr="00804E6B">
        <w:trPr>
          <w:trHeight w:val="320"/>
        </w:trPr>
        <w:tc>
          <w:tcPr>
            <w:tcW w:w="3235" w:type="dxa"/>
            <w:shd w:val="clear" w:color="auto" w:fill="auto"/>
            <w:noWrap/>
            <w:vAlign w:val="center"/>
            <w:hideMark/>
          </w:tcPr>
          <w:p w14:paraId="33773411" w14:textId="77777777" w:rsidR="00F7044C" w:rsidRPr="00C421E4" w:rsidRDefault="00F7044C" w:rsidP="00804E6B">
            <w:pPr>
              <w:jc w:val="center"/>
              <w:rPr>
                <w:rFonts w:ascii="Times" w:hAnsi="Times"/>
              </w:rPr>
            </w:pPr>
            <w:r w:rsidRPr="00C421E4">
              <w:rPr>
                <w:rFonts w:ascii="Times" w:hAnsi="Times"/>
              </w:rPr>
              <w:t>Neg. skin conductance (reac)</w:t>
            </w:r>
          </w:p>
        </w:tc>
        <w:tc>
          <w:tcPr>
            <w:tcW w:w="1890" w:type="dxa"/>
            <w:shd w:val="clear" w:color="auto" w:fill="auto"/>
            <w:noWrap/>
            <w:vAlign w:val="center"/>
            <w:hideMark/>
          </w:tcPr>
          <w:p w14:paraId="7F153628" w14:textId="77777777" w:rsidR="00F7044C" w:rsidRPr="00C421E4" w:rsidRDefault="00F7044C" w:rsidP="00804E6B">
            <w:pPr>
              <w:jc w:val="center"/>
              <w:rPr>
                <w:rFonts w:ascii="Times" w:hAnsi="Times"/>
              </w:rPr>
            </w:pPr>
            <w:r w:rsidRPr="00C421E4">
              <w:rPr>
                <w:rFonts w:ascii="Times" w:hAnsi="Times"/>
              </w:rPr>
              <w:t>-0.072</w:t>
            </w:r>
          </w:p>
        </w:tc>
        <w:tc>
          <w:tcPr>
            <w:tcW w:w="1980" w:type="dxa"/>
            <w:shd w:val="clear" w:color="auto" w:fill="auto"/>
            <w:noWrap/>
            <w:vAlign w:val="center"/>
            <w:hideMark/>
          </w:tcPr>
          <w:p w14:paraId="6BCB8F65" w14:textId="77777777" w:rsidR="00F7044C" w:rsidRPr="00C421E4" w:rsidRDefault="00F7044C" w:rsidP="00804E6B">
            <w:pPr>
              <w:jc w:val="center"/>
              <w:rPr>
                <w:rFonts w:ascii="Times" w:hAnsi="Times"/>
              </w:rPr>
            </w:pPr>
            <w:r w:rsidRPr="00C421E4">
              <w:rPr>
                <w:rFonts w:ascii="Times" w:hAnsi="Times"/>
              </w:rPr>
              <w:t>-0.120</w:t>
            </w:r>
          </w:p>
        </w:tc>
      </w:tr>
      <w:tr w:rsidR="00F7044C" w:rsidRPr="00C421E4" w14:paraId="14D72B2C" w14:textId="77777777" w:rsidTr="00804E6B">
        <w:trPr>
          <w:trHeight w:val="320"/>
        </w:trPr>
        <w:tc>
          <w:tcPr>
            <w:tcW w:w="3235" w:type="dxa"/>
            <w:shd w:val="clear" w:color="auto" w:fill="auto"/>
            <w:noWrap/>
            <w:vAlign w:val="center"/>
            <w:hideMark/>
          </w:tcPr>
          <w:p w14:paraId="3ABAA7E4" w14:textId="77777777" w:rsidR="00F7044C" w:rsidRPr="00C421E4" w:rsidRDefault="00F7044C" w:rsidP="00804E6B">
            <w:pPr>
              <w:jc w:val="center"/>
              <w:rPr>
                <w:rFonts w:ascii="Times" w:hAnsi="Times"/>
              </w:rPr>
            </w:pPr>
            <w:r w:rsidRPr="00C421E4">
              <w:rPr>
                <w:rFonts w:ascii="Times" w:hAnsi="Times"/>
              </w:rPr>
              <w:t>Corrugator tone (reac)</w:t>
            </w:r>
          </w:p>
        </w:tc>
        <w:tc>
          <w:tcPr>
            <w:tcW w:w="1890" w:type="dxa"/>
            <w:shd w:val="clear" w:color="auto" w:fill="auto"/>
            <w:noWrap/>
            <w:vAlign w:val="center"/>
            <w:hideMark/>
          </w:tcPr>
          <w:p w14:paraId="25C7B105" w14:textId="77777777" w:rsidR="00F7044C" w:rsidRPr="00C421E4" w:rsidRDefault="00F7044C" w:rsidP="00804E6B">
            <w:pPr>
              <w:jc w:val="center"/>
              <w:rPr>
                <w:rFonts w:ascii="Times" w:hAnsi="Times"/>
              </w:rPr>
            </w:pPr>
            <w:r w:rsidRPr="00C421E4">
              <w:rPr>
                <w:rFonts w:ascii="Times" w:hAnsi="Times"/>
              </w:rPr>
              <w:t>-0.005</w:t>
            </w:r>
          </w:p>
        </w:tc>
        <w:tc>
          <w:tcPr>
            <w:tcW w:w="1980" w:type="dxa"/>
            <w:shd w:val="clear" w:color="auto" w:fill="auto"/>
            <w:noWrap/>
            <w:vAlign w:val="center"/>
            <w:hideMark/>
          </w:tcPr>
          <w:p w14:paraId="78DEC276" w14:textId="77777777" w:rsidR="00F7044C" w:rsidRPr="00C421E4" w:rsidRDefault="00F7044C" w:rsidP="00804E6B">
            <w:pPr>
              <w:jc w:val="center"/>
              <w:rPr>
                <w:rFonts w:ascii="Times" w:hAnsi="Times"/>
              </w:rPr>
            </w:pPr>
            <w:r w:rsidRPr="00C421E4">
              <w:rPr>
                <w:rFonts w:ascii="Times" w:hAnsi="Times"/>
              </w:rPr>
              <w:t>0.100</w:t>
            </w:r>
          </w:p>
        </w:tc>
      </w:tr>
      <w:tr w:rsidR="00F7044C" w:rsidRPr="00C421E4" w14:paraId="4DA6F2ED" w14:textId="77777777" w:rsidTr="00804E6B">
        <w:trPr>
          <w:trHeight w:val="320"/>
        </w:trPr>
        <w:tc>
          <w:tcPr>
            <w:tcW w:w="3235" w:type="dxa"/>
            <w:shd w:val="clear" w:color="auto" w:fill="auto"/>
            <w:noWrap/>
            <w:vAlign w:val="center"/>
            <w:hideMark/>
          </w:tcPr>
          <w:p w14:paraId="1D9FE5AB" w14:textId="77777777" w:rsidR="00F7044C" w:rsidRPr="00C421E4" w:rsidRDefault="00F7044C" w:rsidP="00804E6B">
            <w:pPr>
              <w:jc w:val="center"/>
              <w:rPr>
                <w:rFonts w:ascii="Times" w:hAnsi="Times"/>
              </w:rPr>
            </w:pPr>
            <w:r w:rsidRPr="00C421E4">
              <w:rPr>
                <w:rFonts w:ascii="Times" w:hAnsi="Times"/>
              </w:rPr>
              <w:t>Zygomaticus tone (reac)</w:t>
            </w:r>
          </w:p>
        </w:tc>
        <w:tc>
          <w:tcPr>
            <w:tcW w:w="1890" w:type="dxa"/>
            <w:shd w:val="clear" w:color="auto" w:fill="auto"/>
            <w:noWrap/>
            <w:vAlign w:val="center"/>
            <w:hideMark/>
          </w:tcPr>
          <w:p w14:paraId="1A3A8AD2" w14:textId="77777777" w:rsidR="00F7044C" w:rsidRPr="00C421E4" w:rsidRDefault="00F7044C" w:rsidP="00804E6B">
            <w:pPr>
              <w:jc w:val="center"/>
              <w:rPr>
                <w:rFonts w:ascii="Times" w:hAnsi="Times"/>
              </w:rPr>
            </w:pPr>
            <w:r w:rsidRPr="00C421E4">
              <w:rPr>
                <w:rFonts w:ascii="Times" w:hAnsi="Times"/>
              </w:rPr>
              <w:t>-0.181</w:t>
            </w:r>
          </w:p>
        </w:tc>
        <w:tc>
          <w:tcPr>
            <w:tcW w:w="1980" w:type="dxa"/>
            <w:shd w:val="clear" w:color="auto" w:fill="auto"/>
            <w:noWrap/>
            <w:vAlign w:val="center"/>
            <w:hideMark/>
          </w:tcPr>
          <w:p w14:paraId="52EC4885" w14:textId="77777777" w:rsidR="00F7044C" w:rsidRPr="00C421E4" w:rsidRDefault="00F7044C" w:rsidP="00804E6B">
            <w:pPr>
              <w:jc w:val="center"/>
              <w:rPr>
                <w:rFonts w:ascii="Times" w:hAnsi="Times"/>
              </w:rPr>
            </w:pPr>
            <w:r w:rsidRPr="00C421E4">
              <w:rPr>
                <w:rFonts w:ascii="Times" w:hAnsi="Times"/>
              </w:rPr>
              <w:t>0.053</w:t>
            </w:r>
          </w:p>
        </w:tc>
      </w:tr>
      <w:tr w:rsidR="00F7044C" w:rsidRPr="00C421E4" w14:paraId="7E7D9814" w14:textId="77777777" w:rsidTr="00804E6B">
        <w:trPr>
          <w:trHeight w:val="320"/>
        </w:trPr>
        <w:tc>
          <w:tcPr>
            <w:tcW w:w="3235" w:type="dxa"/>
            <w:shd w:val="clear" w:color="auto" w:fill="auto"/>
            <w:noWrap/>
            <w:vAlign w:val="center"/>
            <w:hideMark/>
          </w:tcPr>
          <w:p w14:paraId="18C25B6C" w14:textId="77777777" w:rsidR="00F7044C" w:rsidRPr="00C421E4" w:rsidRDefault="00F7044C" w:rsidP="00804E6B">
            <w:pPr>
              <w:jc w:val="center"/>
              <w:rPr>
                <w:rFonts w:ascii="Times" w:hAnsi="Times"/>
              </w:rPr>
            </w:pPr>
            <w:r w:rsidRPr="00C421E4">
              <w:rPr>
                <w:rFonts w:ascii="Times" w:hAnsi="Times"/>
              </w:rPr>
              <w:t>Neg. heart rate (reac)</w:t>
            </w:r>
          </w:p>
        </w:tc>
        <w:tc>
          <w:tcPr>
            <w:tcW w:w="1890" w:type="dxa"/>
            <w:shd w:val="clear" w:color="auto" w:fill="auto"/>
            <w:noWrap/>
            <w:vAlign w:val="center"/>
            <w:hideMark/>
          </w:tcPr>
          <w:p w14:paraId="7339F23B" w14:textId="77777777" w:rsidR="00F7044C" w:rsidRPr="00C421E4" w:rsidRDefault="00F7044C" w:rsidP="00804E6B">
            <w:pPr>
              <w:jc w:val="center"/>
              <w:rPr>
                <w:rFonts w:ascii="Times" w:hAnsi="Times"/>
              </w:rPr>
            </w:pPr>
            <w:r w:rsidRPr="00C421E4">
              <w:rPr>
                <w:rFonts w:ascii="Times" w:hAnsi="Times"/>
              </w:rPr>
              <w:t>0.077</w:t>
            </w:r>
          </w:p>
        </w:tc>
        <w:tc>
          <w:tcPr>
            <w:tcW w:w="1980" w:type="dxa"/>
            <w:shd w:val="clear" w:color="auto" w:fill="auto"/>
            <w:noWrap/>
            <w:vAlign w:val="center"/>
            <w:hideMark/>
          </w:tcPr>
          <w:p w14:paraId="110EC3E3" w14:textId="77777777" w:rsidR="00F7044C" w:rsidRPr="00C421E4" w:rsidRDefault="00F7044C" w:rsidP="00804E6B">
            <w:pPr>
              <w:jc w:val="center"/>
              <w:rPr>
                <w:rFonts w:ascii="Times" w:hAnsi="Times"/>
              </w:rPr>
            </w:pPr>
            <w:r w:rsidRPr="00C421E4">
              <w:rPr>
                <w:rFonts w:ascii="Times" w:hAnsi="Times"/>
              </w:rPr>
              <w:t>0.043</w:t>
            </w:r>
          </w:p>
        </w:tc>
      </w:tr>
      <w:tr w:rsidR="00F7044C" w:rsidRPr="00C421E4" w14:paraId="009F9B79" w14:textId="77777777" w:rsidTr="00804E6B">
        <w:trPr>
          <w:trHeight w:val="320"/>
        </w:trPr>
        <w:tc>
          <w:tcPr>
            <w:tcW w:w="3235" w:type="dxa"/>
            <w:shd w:val="clear" w:color="auto" w:fill="auto"/>
            <w:noWrap/>
            <w:vAlign w:val="center"/>
            <w:hideMark/>
          </w:tcPr>
          <w:p w14:paraId="33403572" w14:textId="77777777" w:rsidR="00F7044C" w:rsidRPr="00C421E4" w:rsidRDefault="00F7044C" w:rsidP="00804E6B">
            <w:pPr>
              <w:jc w:val="center"/>
              <w:rPr>
                <w:rFonts w:ascii="Times" w:hAnsi="Times"/>
              </w:rPr>
            </w:pPr>
            <w:r w:rsidRPr="00C421E4">
              <w:rPr>
                <w:rFonts w:ascii="Times" w:hAnsi="Times"/>
              </w:rPr>
              <w:t>Pos heart rate (reac)</w:t>
            </w:r>
          </w:p>
        </w:tc>
        <w:tc>
          <w:tcPr>
            <w:tcW w:w="1890" w:type="dxa"/>
            <w:shd w:val="clear" w:color="auto" w:fill="auto"/>
            <w:noWrap/>
            <w:vAlign w:val="center"/>
            <w:hideMark/>
          </w:tcPr>
          <w:p w14:paraId="414F2BC2" w14:textId="77777777" w:rsidR="00F7044C" w:rsidRPr="00C421E4" w:rsidRDefault="00F7044C" w:rsidP="00804E6B">
            <w:pPr>
              <w:jc w:val="center"/>
              <w:rPr>
                <w:rFonts w:ascii="Times" w:hAnsi="Times"/>
              </w:rPr>
            </w:pPr>
            <w:r w:rsidRPr="00C421E4">
              <w:rPr>
                <w:rFonts w:ascii="Times" w:hAnsi="Times"/>
              </w:rPr>
              <w:t>-0.108</w:t>
            </w:r>
          </w:p>
        </w:tc>
        <w:tc>
          <w:tcPr>
            <w:tcW w:w="1980" w:type="dxa"/>
            <w:shd w:val="clear" w:color="auto" w:fill="auto"/>
            <w:noWrap/>
            <w:vAlign w:val="center"/>
            <w:hideMark/>
          </w:tcPr>
          <w:p w14:paraId="154E870C" w14:textId="77777777" w:rsidR="00F7044C" w:rsidRPr="00C421E4" w:rsidRDefault="00F7044C" w:rsidP="00804E6B">
            <w:pPr>
              <w:jc w:val="center"/>
              <w:rPr>
                <w:rFonts w:ascii="Times" w:hAnsi="Times"/>
              </w:rPr>
            </w:pPr>
            <w:r w:rsidRPr="00C421E4">
              <w:rPr>
                <w:rFonts w:ascii="Times" w:hAnsi="Times"/>
              </w:rPr>
              <w:t>-0.019</w:t>
            </w:r>
          </w:p>
        </w:tc>
      </w:tr>
      <w:tr w:rsidR="00F7044C" w:rsidRPr="00C421E4" w14:paraId="6A64937B" w14:textId="77777777" w:rsidTr="00804E6B">
        <w:trPr>
          <w:trHeight w:val="320"/>
        </w:trPr>
        <w:tc>
          <w:tcPr>
            <w:tcW w:w="3235" w:type="dxa"/>
            <w:shd w:val="clear" w:color="auto" w:fill="auto"/>
            <w:noWrap/>
            <w:vAlign w:val="center"/>
            <w:hideMark/>
          </w:tcPr>
          <w:p w14:paraId="061C28B5" w14:textId="77777777" w:rsidR="00F7044C" w:rsidRPr="00C421E4" w:rsidRDefault="00F7044C" w:rsidP="00804E6B">
            <w:pPr>
              <w:jc w:val="center"/>
              <w:rPr>
                <w:rFonts w:ascii="Times" w:hAnsi="Times"/>
              </w:rPr>
            </w:pPr>
            <w:r w:rsidRPr="00C421E4">
              <w:rPr>
                <w:rFonts w:ascii="Times" w:hAnsi="Times"/>
              </w:rPr>
              <w:t>Pos. skin conductance (hab)</w:t>
            </w:r>
          </w:p>
        </w:tc>
        <w:tc>
          <w:tcPr>
            <w:tcW w:w="1890" w:type="dxa"/>
            <w:shd w:val="clear" w:color="auto" w:fill="auto"/>
            <w:noWrap/>
            <w:vAlign w:val="center"/>
            <w:hideMark/>
          </w:tcPr>
          <w:p w14:paraId="015260A1" w14:textId="77777777" w:rsidR="00F7044C" w:rsidRPr="00C421E4" w:rsidRDefault="00F7044C" w:rsidP="00804E6B">
            <w:pPr>
              <w:jc w:val="center"/>
              <w:rPr>
                <w:rFonts w:ascii="Times" w:hAnsi="Times"/>
              </w:rPr>
            </w:pPr>
            <w:r w:rsidRPr="00C421E4">
              <w:rPr>
                <w:rFonts w:ascii="Times" w:hAnsi="Times"/>
              </w:rPr>
              <w:t>0.103</w:t>
            </w:r>
          </w:p>
        </w:tc>
        <w:tc>
          <w:tcPr>
            <w:tcW w:w="1980" w:type="dxa"/>
            <w:shd w:val="clear" w:color="auto" w:fill="auto"/>
            <w:noWrap/>
            <w:vAlign w:val="center"/>
            <w:hideMark/>
          </w:tcPr>
          <w:p w14:paraId="5051BA4A" w14:textId="77777777" w:rsidR="00F7044C" w:rsidRPr="00C421E4" w:rsidRDefault="00F7044C" w:rsidP="00804E6B">
            <w:pPr>
              <w:jc w:val="center"/>
              <w:rPr>
                <w:rFonts w:ascii="Times" w:hAnsi="Times"/>
              </w:rPr>
            </w:pPr>
            <w:r w:rsidRPr="00C421E4">
              <w:rPr>
                <w:rFonts w:ascii="Times" w:hAnsi="Times"/>
              </w:rPr>
              <w:t>-0.161</w:t>
            </w:r>
          </w:p>
        </w:tc>
      </w:tr>
      <w:tr w:rsidR="00F7044C" w:rsidRPr="00C421E4" w14:paraId="34165A1F" w14:textId="77777777" w:rsidTr="00804E6B">
        <w:trPr>
          <w:trHeight w:val="320"/>
        </w:trPr>
        <w:tc>
          <w:tcPr>
            <w:tcW w:w="3235" w:type="dxa"/>
            <w:shd w:val="clear" w:color="auto" w:fill="auto"/>
            <w:noWrap/>
            <w:vAlign w:val="center"/>
            <w:hideMark/>
          </w:tcPr>
          <w:p w14:paraId="2F7ACD6C" w14:textId="77777777" w:rsidR="00F7044C" w:rsidRPr="00C421E4" w:rsidRDefault="00F7044C" w:rsidP="00804E6B">
            <w:pPr>
              <w:jc w:val="center"/>
              <w:rPr>
                <w:rFonts w:ascii="Times" w:hAnsi="Times"/>
              </w:rPr>
            </w:pPr>
            <w:r w:rsidRPr="00C421E4">
              <w:rPr>
                <w:rFonts w:ascii="Times" w:hAnsi="Times"/>
              </w:rPr>
              <w:t>Neg. skin conductance (hab)</w:t>
            </w:r>
          </w:p>
        </w:tc>
        <w:tc>
          <w:tcPr>
            <w:tcW w:w="1890" w:type="dxa"/>
            <w:shd w:val="clear" w:color="auto" w:fill="auto"/>
            <w:noWrap/>
            <w:vAlign w:val="center"/>
            <w:hideMark/>
          </w:tcPr>
          <w:p w14:paraId="152765C1" w14:textId="77777777" w:rsidR="00F7044C" w:rsidRPr="00C421E4" w:rsidRDefault="00F7044C" w:rsidP="00804E6B">
            <w:pPr>
              <w:jc w:val="center"/>
              <w:rPr>
                <w:rFonts w:ascii="Times" w:hAnsi="Times"/>
              </w:rPr>
            </w:pPr>
            <w:r w:rsidRPr="00C421E4">
              <w:rPr>
                <w:rFonts w:ascii="Times" w:hAnsi="Times"/>
              </w:rPr>
              <w:t>0.077</w:t>
            </w:r>
          </w:p>
        </w:tc>
        <w:tc>
          <w:tcPr>
            <w:tcW w:w="1980" w:type="dxa"/>
            <w:shd w:val="clear" w:color="auto" w:fill="auto"/>
            <w:noWrap/>
            <w:vAlign w:val="center"/>
            <w:hideMark/>
          </w:tcPr>
          <w:p w14:paraId="23775576" w14:textId="77777777" w:rsidR="00F7044C" w:rsidRPr="00C421E4" w:rsidRDefault="00F7044C" w:rsidP="00804E6B">
            <w:pPr>
              <w:jc w:val="center"/>
              <w:rPr>
                <w:rFonts w:ascii="Times" w:hAnsi="Times"/>
              </w:rPr>
            </w:pPr>
            <w:r w:rsidRPr="00C421E4">
              <w:rPr>
                <w:rFonts w:ascii="Times" w:hAnsi="Times"/>
              </w:rPr>
              <w:t>0.036</w:t>
            </w:r>
          </w:p>
        </w:tc>
      </w:tr>
      <w:tr w:rsidR="00F7044C" w:rsidRPr="00C421E4" w14:paraId="519971B7" w14:textId="77777777" w:rsidTr="00804E6B">
        <w:trPr>
          <w:trHeight w:val="320"/>
        </w:trPr>
        <w:tc>
          <w:tcPr>
            <w:tcW w:w="3235" w:type="dxa"/>
            <w:shd w:val="clear" w:color="auto" w:fill="auto"/>
            <w:noWrap/>
            <w:vAlign w:val="center"/>
            <w:hideMark/>
          </w:tcPr>
          <w:p w14:paraId="588C3153" w14:textId="77777777" w:rsidR="00F7044C" w:rsidRPr="00C421E4" w:rsidRDefault="00F7044C" w:rsidP="00804E6B">
            <w:pPr>
              <w:jc w:val="center"/>
              <w:rPr>
                <w:rFonts w:ascii="Times" w:hAnsi="Times"/>
              </w:rPr>
            </w:pPr>
            <w:r w:rsidRPr="00C421E4">
              <w:rPr>
                <w:rFonts w:ascii="Times" w:hAnsi="Times"/>
              </w:rPr>
              <w:t>Corrugator tone (hab)</w:t>
            </w:r>
          </w:p>
        </w:tc>
        <w:tc>
          <w:tcPr>
            <w:tcW w:w="1890" w:type="dxa"/>
            <w:shd w:val="clear" w:color="auto" w:fill="auto"/>
            <w:noWrap/>
            <w:vAlign w:val="center"/>
            <w:hideMark/>
          </w:tcPr>
          <w:p w14:paraId="154D23BB" w14:textId="77777777" w:rsidR="00F7044C" w:rsidRPr="00C421E4" w:rsidRDefault="00F7044C" w:rsidP="00804E6B">
            <w:pPr>
              <w:jc w:val="center"/>
              <w:rPr>
                <w:rFonts w:ascii="Times" w:hAnsi="Times"/>
              </w:rPr>
            </w:pPr>
            <w:r w:rsidRPr="00C421E4">
              <w:rPr>
                <w:rFonts w:ascii="Times" w:hAnsi="Times"/>
              </w:rPr>
              <w:t>-0.071</w:t>
            </w:r>
          </w:p>
        </w:tc>
        <w:tc>
          <w:tcPr>
            <w:tcW w:w="1980" w:type="dxa"/>
            <w:shd w:val="clear" w:color="auto" w:fill="auto"/>
            <w:noWrap/>
            <w:vAlign w:val="center"/>
            <w:hideMark/>
          </w:tcPr>
          <w:p w14:paraId="4B6089F6" w14:textId="77777777" w:rsidR="00F7044C" w:rsidRPr="00C421E4" w:rsidRDefault="00F7044C" w:rsidP="00804E6B">
            <w:pPr>
              <w:jc w:val="center"/>
              <w:rPr>
                <w:rFonts w:ascii="Times" w:hAnsi="Times"/>
              </w:rPr>
            </w:pPr>
            <w:r w:rsidRPr="00C421E4">
              <w:rPr>
                <w:rFonts w:ascii="Times" w:hAnsi="Times"/>
              </w:rPr>
              <w:t>0.117</w:t>
            </w:r>
          </w:p>
        </w:tc>
      </w:tr>
      <w:tr w:rsidR="00F7044C" w:rsidRPr="00C421E4" w14:paraId="78C6414E" w14:textId="77777777" w:rsidTr="00804E6B">
        <w:trPr>
          <w:trHeight w:val="320"/>
        </w:trPr>
        <w:tc>
          <w:tcPr>
            <w:tcW w:w="3235" w:type="dxa"/>
            <w:shd w:val="clear" w:color="auto" w:fill="auto"/>
            <w:noWrap/>
            <w:vAlign w:val="center"/>
            <w:hideMark/>
          </w:tcPr>
          <w:p w14:paraId="06AC6109" w14:textId="77777777" w:rsidR="00F7044C" w:rsidRPr="00C421E4" w:rsidRDefault="00F7044C" w:rsidP="00804E6B">
            <w:pPr>
              <w:jc w:val="center"/>
              <w:rPr>
                <w:rFonts w:ascii="Times" w:hAnsi="Times"/>
              </w:rPr>
            </w:pPr>
            <w:r w:rsidRPr="00C421E4">
              <w:rPr>
                <w:rFonts w:ascii="Times" w:hAnsi="Times"/>
              </w:rPr>
              <w:t>Zygomaticus tone (hab)</w:t>
            </w:r>
          </w:p>
        </w:tc>
        <w:tc>
          <w:tcPr>
            <w:tcW w:w="1890" w:type="dxa"/>
            <w:shd w:val="clear" w:color="auto" w:fill="auto"/>
            <w:noWrap/>
            <w:vAlign w:val="center"/>
            <w:hideMark/>
          </w:tcPr>
          <w:p w14:paraId="1E134ACC" w14:textId="77777777" w:rsidR="00F7044C" w:rsidRPr="00C421E4" w:rsidRDefault="00F7044C" w:rsidP="00804E6B">
            <w:pPr>
              <w:jc w:val="center"/>
              <w:rPr>
                <w:rFonts w:ascii="Times" w:hAnsi="Times"/>
              </w:rPr>
            </w:pPr>
            <w:r w:rsidRPr="00C421E4">
              <w:rPr>
                <w:rFonts w:ascii="Times" w:hAnsi="Times"/>
              </w:rPr>
              <w:t>0.272</w:t>
            </w:r>
          </w:p>
        </w:tc>
        <w:tc>
          <w:tcPr>
            <w:tcW w:w="1980" w:type="dxa"/>
            <w:shd w:val="clear" w:color="auto" w:fill="auto"/>
            <w:noWrap/>
            <w:vAlign w:val="center"/>
            <w:hideMark/>
          </w:tcPr>
          <w:p w14:paraId="6529343F" w14:textId="77777777" w:rsidR="00F7044C" w:rsidRPr="00C421E4" w:rsidRDefault="00F7044C" w:rsidP="00804E6B">
            <w:pPr>
              <w:jc w:val="center"/>
              <w:rPr>
                <w:rFonts w:ascii="Times" w:hAnsi="Times"/>
              </w:rPr>
            </w:pPr>
            <w:r w:rsidRPr="00C421E4">
              <w:rPr>
                <w:rFonts w:ascii="Times" w:hAnsi="Times"/>
              </w:rPr>
              <w:t>-0.004</w:t>
            </w:r>
          </w:p>
        </w:tc>
      </w:tr>
      <w:tr w:rsidR="00F7044C" w:rsidRPr="00C421E4" w14:paraId="638AC1D7" w14:textId="77777777" w:rsidTr="00804E6B">
        <w:trPr>
          <w:trHeight w:val="320"/>
        </w:trPr>
        <w:tc>
          <w:tcPr>
            <w:tcW w:w="3235" w:type="dxa"/>
            <w:shd w:val="clear" w:color="auto" w:fill="auto"/>
            <w:noWrap/>
            <w:vAlign w:val="center"/>
            <w:hideMark/>
          </w:tcPr>
          <w:p w14:paraId="68C4472B" w14:textId="77777777" w:rsidR="00F7044C" w:rsidRPr="00C421E4" w:rsidRDefault="00F7044C" w:rsidP="00804E6B">
            <w:pPr>
              <w:jc w:val="center"/>
              <w:rPr>
                <w:rFonts w:ascii="Times" w:hAnsi="Times"/>
              </w:rPr>
            </w:pPr>
            <w:r w:rsidRPr="00C421E4">
              <w:rPr>
                <w:rFonts w:ascii="Times" w:hAnsi="Times"/>
              </w:rPr>
              <w:t>Neg. heart rate (hab)</w:t>
            </w:r>
          </w:p>
        </w:tc>
        <w:tc>
          <w:tcPr>
            <w:tcW w:w="1890" w:type="dxa"/>
            <w:shd w:val="clear" w:color="auto" w:fill="auto"/>
            <w:noWrap/>
            <w:vAlign w:val="center"/>
            <w:hideMark/>
          </w:tcPr>
          <w:p w14:paraId="4CEB23F2" w14:textId="77777777" w:rsidR="00F7044C" w:rsidRPr="00C421E4" w:rsidRDefault="00F7044C" w:rsidP="00804E6B">
            <w:pPr>
              <w:jc w:val="center"/>
              <w:rPr>
                <w:rFonts w:ascii="Times" w:hAnsi="Times"/>
              </w:rPr>
            </w:pPr>
            <w:r w:rsidRPr="00C421E4">
              <w:rPr>
                <w:rFonts w:ascii="Times" w:hAnsi="Times"/>
              </w:rPr>
              <w:t>0.159</w:t>
            </w:r>
          </w:p>
        </w:tc>
        <w:tc>
          <w:tcPr>
            <w:tcW w:w="1980" w:type="dxa"/>
            <w:shd w:val="clear" w:color="auto" w:fill="auto"/>
            <w:noWrap/>
            <w:vAlign w:val="center"/>
            <w:hideMark/>
          </w:tcPr>
          <w:p w14:paraId="73CEE742" w14:textId="77777777" w:rsidR="00F7044C" w:rsidRPr="00C421E4" w:rsidRDefault="00F7044C" w:rsidP="00804E6B">
            <w:pPr>
              <w:jc w:val="center"/>
              <w:rPr>
                <w:rFonts w:ascii="Times" w:hAnsi="Times"/>
              </w:rPr>
            </w:pPr>
            <w:r w:rsidRPr="00C421E4">
              <w:rPr>
                <w:rFonts w:ascii="Times" w:hAnsi="Times"/>
              </w:rPr>
              <w:t>-0.087</w:t>
            </w:r>
          </w:p>
        </w:tc>
      </w:tr>
      <w:tr w:rsidR="00F7044C" w:rsidRPr="00C421E4" w14:paraId="723985C5" w14:textId="77777777" w:rsidTr="00804E6B">
        <w:trPr>
          <w:trHeight w:val="320"/>
        </w:trPr>
        <w:tc>
          <w:tcPr>
            <w:tcW w:w="3235" w:type="dxa"/>
            <w:shd w:val="clear" w:color="auto" w:fill="auto"/>
            <w:noWrap/>
            <w:vAlign w:val="center"/>
            <w:hideMark/>
          </w:tcPr>
          <w:p w14:paraId="5D3B407A" w14:textId="77777777" w:rsidR="00F7044C" w:rsidRPr="00C421E4" w:rsidRDefault="00F7044C" w:rsidP="00804E6B">
            <w:pPr>
              <w:jc w:val="center"/>
              <w:rPr>
                <w:rFonts w:ascii="Times" w:hAnsi="Times"/>
              </w:rPr>
            </w:pPr>
            <w:r w:rsidRPr="00C421E4">
              <w:rPr>
                <w:rFonts w:ascii="Times" w:hAnsi="Times"/>
              </w:rPr>
              <w:t>Pos. heart rate (hab)</w:t>
            </w:r>
          </w:p>
        </w:tc>
        <w:tc>
          <w:tcPr>
            <w:tcW w:w="1890" w:type="dxa"/>
            <w:shd w:val="clear" w:color="auto" w:fill="auto"/>
            <w:noWrap/>
            <w:vAlign w:val="center"/>
            <w:hideMark/>
          </w:tcPr>
          <w:p w14:paraId="45256D53" w14:textId="77777777" w:rsidR="00F7044C" w:rsidRPr="00C421E4" w:rsidRDefault="00F7044C" w:rsidP="00804E6B">
            <w:pPr>
              <w:jc w:val="center"/>
              <w:rPr>
                <w:rFonts w:ascii="Times" w:hAnsi="Times"/>
              </w:rPr>
            </w:pPr>
            <w:r w:rsidRPr="00C421E4">
              <w:rPr>
                <w:rFonts w:ascii="Times" w:hAnsi="Times"/>
              </w:rPr>
              <w:t>-0.041</w:t>
            </w:r>
          </w:p>
        </w:tc>
        <w:tc>
          <w:tcPr>
            <w:tcW w:w="1980" w:type="dxa"/>
            <w:shd w:val="clear" w:color="auto" w:fill="auto"/>
            <w:noWrap/>
            <w:vAlign w:val="center"/>
            <w:hideMark/>
          </w:tcPr>
          <w:p w14:paraId="47DFDD4C" w14:textId="77777777" w:rsidR="00F7044C" w:rsidRPr="00C421E4" w:rsidRDefault="00F7044C" w:rsidP="00804E6B">
            <w:pPr>
              <w:jc w:val="center"/>
              <w:rPr>
                <w:rFonts w:ascii="Times" w:hAnsi="Times"/>
              </w:rPr>
            </w:pPr>
            <w:r w:rsidRPr="00C421E4">
              <w:rPr>
                <w:rFonts w:ascii="Times" w:hAnsi="Times"/>
              </w:rPr>
              <w:t>-0.025</w:t>
            </w:r>
          </w:p>
        </w:tc>
      </w:tr>
    </w:tbl>
    <w:p w14:paraId="23CDDC9D" w14:textId="77777777" w:rsidR="00F7044C" w:rsidRPr="00C421E4" w:rsidRDefault="00F7044C" w:rsidP="00F7044C">
      <w:pPr>
        <w:rPr>
          <w:rFonts w:ascii="Times" w:hAnsi="Times"/>
        </w:rPr>
      </w:pPr>
    </w:p>
    <w:p w14:paraId="2B954B3A" w14:textId="77777777" w:rsidR="00F7044C" w:rsidRPr="00C421E4" w:rsidRDefault="00F7044C" w:rsidP="00F7044C">
      <w:pPr>
        <w:spacing w:line="480" w:lineRule="auto"/>
        <w:rPr>
          <w:rFonts w:ascii="Times" w:hAnsi="Times"/>
        </w:rPr>
      </w:pPr>
      <w:r>
        <w:rPr>
          <w:rFonts w:ascii="Times" w:hAnsi="Times"/>
        </w:rPr>
        <w:t>Table 6</w:t>
      </w:r>
      <w:r w:rsidRPr="00C421E4">
        <w:rPr>
          <w:rFonts w:ascii="Times" w:hAnsi="Times"/>
        </w:rPr>
        <w:t xml:space="preserve">: Correlations between mTBI characteristics and physiological measures. Statistics represent r-values. Reac = reactivity; hab = habituation. </w:t>
      </w:r>
    </w:p>
    <w:p w14:paraId="1973C1E5" w14:textId="77777777" w:rsidR="00F7044C" w:rsidRPr="00C421E4" w:rsidRDefault="00F7044C" w:rsidP="00F7044C">
      <w:pPr>
        <w:rPr>
          <w:rFonts w:ascii="Times" w:hAnsi="Times"/>
        </w:rPr>
      </w:pPr>
      <w:r w:rsidRPr="00C421E4">
        <w:rPr>
          <w:rFonts w:ascii="Times" w:hAnsi="Times"/>
        </w:rPr>
        <w:br w:type="page"/>
      </w:r>
    </w:p>
    <w:tbl>
      <w:tblPr>
        <w:tblW w:w="8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300"/>
        <w:gridCol w:w="1300"/>
        <w:gridCol w:w="1300"/>
        <w:gridCol w:w="1300"/>
        <w:gridCol w:w="1300"/>
      </w:tblGrid>
      <w:tr w:rsidR="00F7044C" w:rsidRPr="00C421E4" w14:paraId="11B15DC0" w14:textId="77777777" w:rsidTr="00804E6B">
        <w:trPr>
          <w:trHeight w:val="340"/>
        </w:trPr>
        <w:tc>
          <w:tcPr>
            <w:tcW w:w="1980" w:type="dxa"/>
            <w:shd w:val="clear" w:color="auto" w:fill="auto"/>
            <w:noWrap/>
            <w:vAlign w:val="bottom"/>
            <w:hideMark/>
          </w:tcPr>
          <w:p w14:paraId="08E22F28" w14:textId="77777777" w:rsidR="00F7044C" w:rsidRPr="00C421E4" w:rsidRDefault="00F7044C" w:rsidP="00804E6B">
            <w:pPr>
              <w:rPr>
                <w:rFonts w:ascii="Times" w:hAnsi="Times"/>
              </w:rPr>
            </w:pPr>
            <w:r w:rsidRPr="00C421E4">
              <w:rPr>
                <w:rFonts w:ascii="Times" w:hAnsi="Times"/>
              </w:rPr>
              <w:lastRenderedPageBreak/>
              <w:t> </w:t>
            </w:r>
          </w:p>
        </w:tc>
        <w:tc>
          <w:tcPr>
            <w:tcW w:w="1300" w:type="dxa"/>
            <w:shd w:val="clear" w:color="auto" w:fill="auto"/>
            <w:noWrap/>
            <w:vAlign w:val="center"/>
            <w:hideMark/>
          </w:tcPr>
          <w:p w14:paraId="6837D783" w14:textId="77777777" w:rsidR="00F7044C" w:rsidRPr="00C421E4" w:rsidRDefault="00F7044C" w:rsidP="00804E6B">
            <w:pPr>
              <w:rPr>
                <w:rFonts w:ascii="Times" w:hAnsi="Times"/>
              </w:rPr>
            </w:pPr>
            <w:r w:rsidRPr="00C421E4">
              <w:rPr>
                <w:rFonts w:ascii="Times" w:hAnsi="Times"/>
              </w:rPr>
              <w:t>B</w:t>
            </w:r>
          </w:p>
        </w:tc>
        <w:tc>
          <w:tcPr>
            <w:tcW w:w="1300" w:type="dxa"/>
            <w:shd w:val="clear" w:color="auto" w:fill="auto"/>
            <w:noWrap/>
            <w:vAlign w:val="center"/>
            <w:hideMark/>
          </w:tcPr>
          <w:p w14:paraId="4153AF75" w14:textId="77777777" w:rsidR="00F7044C" w:rsidRPr="00C421E4" w:rsidRDefault="00F7044C" w:rsidP="00804E6B">
            <w:pPr>
              <w:rPr>
                <w:rFonts w:ascii="Times" w:hAnsi="Times"/>
              </w:rPr>
            </w:pPr>
            <w:r w:rsidRPr="00C421E4">
              <w:rPr>
                <w:rFonts w:ascii="Times" w:hAnsi="Times"/>
              </w:rPr>
              <w:t>Std. Error</w:t>
            </w:r>
          </w:p>
        </w:tc>
        <w:tc>
          <w:tcPr>
            <w:tcW w:w="1300" w:type="dxa"/>
            <w:shd w:val="clear" w:color="auto" w:fill="auto"/>
            <w:noWrap/>
            <w:vAlign w:val="center"/>
            <w:hideMark/>
          </w:tcPr>
          <w:p w14:paraId="427EE070" w14:textId="77777777" w:rsidR="00F7044C" w:rsidRPr="00C421E4" w:rsidRDefault="00F7044C" w:rsidP="00804E6B">
            <w:pPr>
              <w:rPr>
                <w:rFonts w:ascii="Times" w:hAnsi="Times"/>
              </w:rPr>
            </w:pPr>
            <w:r w:rsidRPr="00C421E4">
              <w:rPr>
                <w:rFonts w:ascii="Times" w:hAnsi="Times"/>
              </w:rPr>
              <w:t>Beta</w:t>
            </w:r>
          </w:p>
        </w:tc>
        <w:tc>
          <w:tcPr>
            <w:tcW w:w="1300" w:type="dxa"/>
            <w:shd w:val="clear" w:color="auto" w:fill="auto"/>
            <w:noWrap/>
            <w:vAlign w:val="center"/>
            <w:hideMark/>
          </w:tcPr>
          <w:p w14:paraId="187506BA" w14:textId="77777777" w:rsidR="00F7044C" w:rsidRPr="00C421E4" w:rsidRDefault="00F7044C" w:rsidP="00804E6B">
            <w:pPr>
              <w:rPr>
                <w:rFonts w:ascii="Times" w:hAnsi="Times"/>
              </w:rPr>
            </w:pPr>
            <w:r w:rsidRPr="00C421E4">
              <w:rPr>
                <w:rFonts w:ascii="Times" w:hAnsi="Times"/>
              </w:rPr>
              <w:t>T</w:t>
            </w:r>
          </w:p>
        </w:tc>
        <w:tc>
          <w:tcPr>
            <w:tcW w:w="1300" w:type="dxa"/>
            <w:shd w:val="clear" w:color="auto" w:fill="auto"/>
            <w:noWrap/>
            <w:vAlign w:val="center"/>
            <w:hideMark/>
          </w:tcPr>
          <w:p w14:paraId="5C8FBF79" w14:textId="77777777" w:rsidR="00F7044C" w:rsidRPr="00C421E4" w:rsidRDefault="00F7044C" w:rsidP="00804E6B">
            <w:pPr>
              <w:rPr>
                <w:rFonts w:ascii="Times" w:hAnsi="Times"/>
              </w:rPr>
            </w:pPr>
            <w:r w:rsidRPr="00C421E4">
              <w:rPr>
                <w:rFonts w:ascii="Times" w:hAnsi="Times"/>
              </w:rPr>
              <w:t>Sig.</w:t>
            </w:r>
          </w:p>
        </w:tc>
      </w:tr>
      <w:tr w:rsidR="00F7044C" w:rsidRPr="00C421E4" w14:paraId="5B6ECC93" w14:textId="77777777" w:rsidTr="00804E6B">
        <w:trPr>
          <w:trHeight w:val="340"/>
        </w:trPr>
        <w:tc>
          <w:tcPr>
            <w:tcW w:w="8480" w:type="dxa"/>
            <w:gridSpan w:val="6"/>
            <w:shd w:val="clear" w:color="auto" w:fill="auto"/>
            <w:noWrap/>
            <w:vAlign w:val="center"/>
            <w:hideMark/>
          </w:tcPr>
          <w:p w14:paraId="5C664B97"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43C18FA1" w14:textId="77777777" w:rsidTr="00804E6B">
        <w:trPr>
          <w:trHeight w:val="340"/>
        </w:trPr>
        <w:tc>
          <w:tcPr>
            <w:tcW w:w="1980" w:type="dxa"/>
            <w:shd w:val="clear" w:color="auto" w:fill="auto"/>
            <w:noWrap/>
            <w:vAlign w:val="center"/>
            <w:hideMark/>
          </w:tcPr>
          <w:p w14:paraId="44AB12BF"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71FB0013" w14:textId="77777777" w:rsidR="00F7044C" w:rsidRPr="00C421E4" w:rsidRDefault="00F7044C" w:rsidP="00804E6B">
            <w:pPr>
              <w:jc w:val="right"/>
              <w:rPr>
                <w:rFonts w:ascii="Times" w:hAnsi="Times"/>
              </w:rPr>
            </w:pPr>
            <w:r w:rsidRPr="00C421E4">
              <w:rPr>
                <w:rFonts w:ascii="Times" w:hAnsi="Times"/>
              </w:rPr>
              <w:t>0.103</w:t>
            </w:r>
          </w:p>
        </w:tc>
        <w:tc>
          <w:tcPr>
            <w:tcW w:w="1300" w:type="dxa"/>
            <w:shd w:val="clear" w:color="auto" w:fill="auto"/>
            <w:noWrap/>
            <w:vAlign w:val="bottom"/>
            <w:hideMark/>
          </w:tcPr>
          <w:p w14:paraId="453EDF2D" w14:textId="77777777" w:rsidR="00F7044C" w:rsidRPr="00C421E4" w:rsidRDefault="00F7044C" w:rsidP="00804E6B">
            <w:pPr>
              <w:jc w:val="right"/>
              <w:rPr>
                <w:rFonts w:ascii="Times" w:hAnsi="Times"/>
              </w:rPr>
            </w:pPr>
            <w:r w:rsidRPr="00C421E4">
              <w:rPr>
                <w:rFonts w:ascii="Times" w:hAnsi="Times"/>
              </w:rPr>
              <w:t>0.155</w:t>
            </w:r>
          </w:p>
        </w:tc>
        <w:tc>
          <w:tcPr>
            <w:tcW w:w="1300" w:type="dxa"/>
            <w:shd w:val="clear" w:color="auto" w:fill="auto"/>
            <w:noWrap/>
            <w:vAlign w:val="bottom"/>
            <w:hideMark/>
          </w:tcPr>
          <w:p w14:paraId="18048802" w14:textId="77777777" w:rsidR="00F7044C" w:rsidRPr="00C421E4" w:rsidRDefault="00F7044C" w:rsidP="00804E6B">
            <w:pPr>
              <w:jc w:val="right"/>
              <w:rPr>
                <w:rFonts w:ascii="Times" w:hAnsi="Times"/>
              </w:rPr>
            </w:pPr>
            <w:r w:rsidRPr="00C421E4">
              <w:rPr>
                <w:rFonts w:ascii="Times" w:hAnsi="Times"/>
              </w:rPr>
              <w:t>0.071</w:t>
            </w:r>
          </w:p>
        </w:tc>
        <w:tc>
          <w:tcPr>
            <w:tcW w:w="1300" w:type="dxa"/>
            <w:shd w:val="clear" w:color="auto" w:fill="auto"/>
            <w:noWrap/>
            <w:vAlign w:val="bottom"/>
            <w:hideMark/>
          </w:tcPr>
          <w:p w14:paraId="00E27339" w14:textId="77777777" w:rsidR="00F7044C" w:rsidRPr="00C421E4" w:rsidRDefault="00F7044C" w:rsidP="00804E6B">
            <w:pPr>
              <w:jc w:val="right"/>
              <w:rPr>
                <w:rFonts w:ascii="Times" w:hAnsi="Times"/>
              </w:rPr>
            </w:pPr>
            <w:r w:rsidRPr="00C421E4">
              <w:rPr>
                <w:rFonts w:ascii="Times" w:hAnsi="Times"/>
              </w:rPr>
              <w:t>0.666</w:t>
            </w:r>
          </w:p>
        </w:tc>
        <w:tc>
          <w:tcPr>
            <w:tcW w:w="1300" w:type="dxa"/>
            <w:shd w:val="clear" w:color="auto" w:fill="auto"/>
            <w:noWrap/>
            <w:vAlign w:val="bottom"/>
            <w:hideMark/>
          </w:tcPr>
          <w:p w14:paraId="0A6AF18E" w14:textId="77777777" w:rsidR="00F7044C" w:rsidRPr="00C421E4" w:rsidRDefault="00F7044C" w:rsidP="00804E6B">
            <w:pPr>
              <w:jc w:val="right"/>
              <w:rPr>
                <w:rFonts w:ascii="Times" w:hAnsi="Times"/>
              </w:rPr>
            </w:pPr>
            <w:r w:rsidRPr="00C421E4">
              <w:rPr>
                <w:rFonts w:ascii="Times" w:hAnsi="Times"/>
              </w:rPr>
              <w:t>0.507</w:t>
            </w:r>
          </w:p>
        </w:tc>
      </w:tr>
      <w:tr w:rsidR="00F7044C" w:rsidRPr="00C421E4" w14:paraId="556287DA" w14:textId="77777777" w:rsidTr="00804E6B">
        <w:trPr>
          <w:trHeight w:val="340"/>
        </w:trPr>
        <w:tc>
          <w:tcPr>
            <w:tcW w:w="1980" w:type="dxa"/>
            <w:shd w:val="clear" w:color="auto" w:fill="auto"/>
            <w:noWrap/>
            <w:vAlign w:val="center"/>
            <w:hideMark/>
          </w:tcPr>
          <w:p w14:paraId="73AFFDEC"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41AD3494" w14:textId="77777777" w:rsidR="00F7044C" w:rsidRPr="00C421E4" w:rsidRDefault="00F7044C" w:rsidP="00804E6B">
            <w:pPr>
              <w:jc w:val="right"/>
              <w:rPr>
                <w:rFonts w:ascii="Times" w:hAnsi="Times"/>
              </w:rPr>
            </w:pPr>
            <w:r w:rsidRPr="00C421E4">
              <w:rPr>
                <w:rFonts w:ascii="Times" w:hAnsi="Times"/>
              </w:rPr>
              <w:t>-0.091</w:t>
            </w:r>
          </w:p>
        </w:tc>
        <w:tc>
          <w:tcPr>
            <w:tcW w:w="1300" w:type="dxa"/>
            <w:shd w:val="clear" w:color="auto" w:fill="auto"/>
            <w:noWrap/>
            <w:vAlign w:val="bottom"/>
            <w:hideMark/>
          </w:tcPr>
          <w:p w14:paraId="2CC6F6B2" w14:textId="77777777" w:rsidR="00F7044C" w:rsidRPr="00C421E4" w:rsidRDefault="00F7044C" w:rsidP="00804E6B">
            <w:pPr>
              <w:jc w:val="right"/>
              <w:rPr>
                <w:rFonts w:ascii="Times" w:hAnsi="Times"/>
              </w:rPr>
            </w:pPr>
            <w:r w:rsidRPr="00C421E4">
              <w:rPr>
                <w:rFonts w:ascii="Times" w:hAnsi="Times"/>
              </w:rPr>
              <w:t>0.087</w:t>
            </w:r>
          </w:p>
        </w:tc>
        <w:tc>
          <w:tcPr>
            <w:tcW w:w="1300" w:type="dxa"/>
            <w:shd w:val="clear" w:color="auto" w:fill="auto"/>
            <w:noWrap/>
            <w:vAlign w:val="bottom"/>
            <w:hideMark/>
          </w:tcPr>
          <w:p w14:paraId="67F2D7D7" w14:textId="77777777" w:rsidR="00F7044C" w:rsidRPr="00C421E4" w:rsidRDefault="00F7044C" w:rsidP="00804E6B">
            <w:pPr>
              <w:jc w:val="right"/>
              <w:rPr>
                <w:rFonts w:ascii="Times" w:hAnsi="Times"/>
              </w:rPr>
            </w:pPr>
            <w:r w:rsidRPr="00C421E4">
              <w:rPr>
                <w:rFonts w:ascii="Times" w:hAnsi="Times"/>
              </w:rPr>
              <w:t>-0.111</w:t>
            </w:r>
          </w:p>
        </w:tc>
        <w:tc>
          <w:tcPr>
            <w:tcW w:w="1300" w:type="dxa"/>
            <w:shd w:val="clear" w:color="auto" w:fill="auto"/>
            <w:noWrap/>
            <w:vAlign w:val="bottom"/>
            <w:hideMark/>
          </w:tcPr>
          <w:p w14:paraId="6A4F3064" w14:textId="77777777" w:rsidR="00F7044C" w:rsidRPr="00C421E4" w:rsidRDefault="00F7044C" w:rsidP="00804E6B">
            <w:pPr>
              <w:jc w:val="right"/>
              <w:rPr>
                <w:rFonts w:ascii="Times" w:hAnsi="Times"/>
              </w:rPr>
            </w:pPr>
            <w:r w:rsidRPr="00C421E4">
              <w:rPr>
                <w:rFonts w:ascii="Times" w:hAnsi="Times"/>
              </w:rPr>
              <w:t>-1.049</w:t>
            </w:r>
          </w:p>
        </w:tc>
        <w:tc>
          <w:tcPr>
            <w:tcW w:w="1300" w:type="dxa"/>
            <w:shd w:val="clear" w:color="auto" w:fill="auto"/>
            <w:noWrap/>
            <w:vAlign w:val="bottom"/>
            <w:hideMark/>
          </w:tcPr>
          <w:p w14:paraId="7B004BA2" w14:textId="77777777" w:rsidR="00F7044C" w:rsidRPr="00C421E4" w:rsidRDefault="00F7044C" w:rsidP="00804E6B">
            <w:pPr>
              <w:jc w:val="right"/>
              <w:rPr>
                <w:rFonts w:ascii="Times" w:hAnsi="Times"/>
              </w:rPr>
            </w:pPr>
            <w:r w:rsidRPr="00C421E4">
              <w:rPr>
                <w:rFonts w:ascii="Times" w:hAnsi="Times"/>
              </w:rPr>
              <w:t>0.297</w:t>
            </w:r>
          </w:p>
        </w:tc>
      </w:tr>
      <w:tr w:rsidR="00F7044C" w:rsidRPr="00C421E4" w14:paraId="0BF074DE" w14:textId="77777777" w:rsidTr="00804E6B">
        <w:trPr>
          <w:trHeight w:val="340"/>
        </w:trPr>
        <w:tc>
          <w:tcPr>
            <w:tcW w:w="1980" w:type="dxa"/>
            <w:shd w:val="clear" w:color="auto" w:fill="auto"/>
            <w:noWrap/>
            <w:vAlign w:val="center"/>
            <w:hideMark/>
          </w:tcPr>
          <w:p w14:paraId="400295BB"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3E36F11D" w14:textId="77777777" w:rsidR="00F7044C" w:rsidRPr="00C421E4" w:rsidRDefault="00F7044C" w:rsidP="00804E6B">
            <w:pPr>
              <w:jc w:val="right"/>
              <w:rPr>
                <w:rFonts w:ascii="Times" w:hAnsi="Times"/>
              </w:rPr>
            </w:pPr>
            <w:r w:rsidRPr="00C421E4">
              <w:rPr>
                <w:rFonts w:ascii="Times" w:hAnsi="Times"/>
              </w:rPr>
              <w:t>0.045</w:t>
            </w:r>
          </w:p>
        </w:tc>
        <w:tc>
          <w:tcPr>
            <w:tcW w:w="1300" w:type="dxa"/>
            <w:shd w:val="clear" w:color="auto" w:fill="auto"/>
            <w:noWrap/>
            <w:vAlign w:val="bottom"/>
            <w:hideMark/>
          </w:tcPr>
          <w:p w14:paraId="5CCCB8A1" w14:textId="77777777" w:rsidR="00F7044C" w:rsidRPr="00C421E4" w:rsidRDefault="00F7044C" w:rsidP="00804E6B">
            <w:pPr>
              <w:jc w:val="right"/>
              <w:rPr>
                <w:rFonts w:ascii="Times" w:hAnsi="Times"/>
              </w:rPr>
            </w:pPr>
            <w:r w:rsidRPr="00C421E4">
              <w:rPr>
                <w:rFonts w:ascii="Times" w:hAnsi="Times"/>
              </w:rPr>
              <w:t>0.093</w:t>
            </w:r>
          </w:p>
        </w:tc>
        <w:tc>
          <w:tcPr>
            <w:tcW w:w="1300" w:type="dxa"/>
            <w:shd w:val="clear" w:color="auto" w:fill="auto"/>
            <w:noWrap/>
            <w:vAlign w:val="bottom"/>
            <w:hideMark/>
          </w:tcPr>
          <w:p w14:paraId="34D3E330" w14:textId="77777777" w:rsidR="00F7044C" w:rsidRPr="00C421E4" w:rsidRDefault="00F7044C" w:rsidP="00804E6B">
            <w:pPr>
              <w:jc w:val="right"/>
              <w:rPr>
                <w:rFonts w:ascii="Times" w:hAnsi="Times"/>
              </w:rPr>
            </w:pPr>
            <w:r w:rsidRPr="00C421E4">
              <w:rPr>
                <w:rFonts w:ascii="Times" w:hAnsi="Times"/>
              </w:rPr>
              <w:t>0.056</w:t>
            </w:r>
          </w:p>
        </w:tc>
        <w:tc>
          <w:tcPr>
            <w:tcW w:w="1300" w:type="dxa"/>
            <w:shd w:val="clear" w:color="auto" w:fill="auto"/>
            <w:noWrap/>
            <w:vAlign w:val="bottom"/>
            <w:hideMark/>
          </w:tcPr>
          <w:p w14:paraId="3FBF7517" w14:textId="77777777" w:rsidR="00F7044C" w:rsidRPr="00C421E4" w:rsidRDefault="00F7044C" w:rsidP="00804E6B">
            <w:pPr>
              <w:jc w:val="right"/>
              <w:rPr>
                <w:rFonts w:ascii="Times" w:hAnsi="Times"/>
              </w:rPr>
            </w:pPr>
            <w:r w:rsidRPr="00C421E4">
              <w:rPr>
                <w:rFonts w:ascii="Times" w:hAnsi="Times"/>
              </w:rPr>
              <w:t>0.482</w:t>
            </w:r>
          </w:p>
        </w:tc>
        <w:tc>
          <w:tcPr>
            <w:tcW w:w="1300" w:type="dxa"/>
            <w:shd w:val="clear" w:color="auto" w:fill="auto"/>
            <w:noWrap/>
            <w:vAlign w:val="bottom"/>
            <w:hideMark/>
          </w:tcPr>
          <w:p w14:paraId="2EFBC63A" w14:textId="77777777" w:rsidR="00F7044C" w:rsidRPr="00C421E4" w:rsidRDefault="00F7044C" w:rsidP="00804E6B">
            <w:pPr>
              <w:jc w:val="right"/>
              <w:rPr>
                <w:rFonts w:ascii="Times" w:hAnsi="Times"/>
              </w:rPr>
            </w:pPr>
            <w:r w:rsidRPr="00C421E4">
              <w:rPr>
                <w:rFonts w:ascii="Times" w:hAnsi="Times"/>
              </w:rPr>
              <w:t>0.631</w:t>
            </w:r>
          </w:p>
        </w:tc>
      </w:tr>
      <w:tr w:rsidR="00F7044C" w:rsidRPr="00C421E4" w14:paraId="7A2B85AB" w14:textId="77777777" w:rsidTr="00804E6B">
        <w:trPr>
          <w:trHeight w:val="340"/>
        </w:trPr>
        <w:tc>
          <w:tcPr>
            <w:tcW w:w="1980" w:type="dxa"/>
            <w:shd w:val="clear" w:color="auto" w:fill="auto"/>
            <w:noWrap/>
            <w:vAlign w:val="center"/>
            <w:hideMark/>
          </w:tcPr>
          <w:p w14:paraId="22C01B4D"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bottom"/>
            <w:hideMark/>
          </w:tcPr>
          <w:p w14:paraId="3EE42AB8" w14:textId="77777777" w:rsidR="00F7044C" w:rsidRPr="00C421E4" w:rsidRDefault="00F7044C" w:rsidP="00804E6B">
            <w:pPr>
              <w:jc w:val="right"/>
              <w:rPr>
                <w:rFonts w:ascii="Times" w:hAnsi="Times"/>
              </w:rPr>
            </w:pPr>
            <w:r w:rsidRPr="00C421E4">
              <w:rPr>
                <w:rFonts w:ascii="Times" w:hAnsi="Times"/>
              </w:rPr>
              <w:t>0.025</w:t>
            </w:r>
          </w:p>
        </w:tc>
        <w:tc>
          <w:tcPr>
            <w:tcW w:w="1300" w:type="dxa"/>
            <w:shd w:val="clear" w:color="auto" w:fill="auto"/>
            <w:noWrap/>
            <w:vAlign w:val="bottom"/>
            <w:hideMark/>
          </w:tcPr>
          <w:p w14:paraId="5247B533" w14:textId="77777777" w:rsidR="00F7044C" w:rsidRPr="00C421E4" w:rsidRDefault="00F7044C" w:rsidP="00804E6B">
            <w:pPr>
              <w:jc w:val="right"/>
              <w:rPr>
                <w:rFonts w:ascii="Times" w:hAnsi="Times"/>
              </w:rPr>
            </w:pPr>
            <w:r w:rsidRPr="00C421E4">
              <w:rPr>
                <w:rFonts w:ascii="Times" w:hAnsi="Times"/>
              </w:rPr>
              <w:t>0.12</w:t>
            </w:r>
          </w:p>
        </w:tc>
        <w:tc>
          <w:tcPr>
            <w:tcW w:w="1300" w:type="dxa"/>
            <w:shd w:val="clear" w:color="auto" w:fill="auto"/>
            <w:noWrap/>
            <w:vAlign w:val="bottom"/>
            <w:hideMark/>
          </w:tcPr>
          <w:p w14:paraId="23FF55FF" w14:textId="77777777" w:rsidR="00F7044C" w:rsidRPr="00C421E4" w:rsidRDefault="00F7044C" w:rsidP="00804E6B">
            <w:pPr>
              <w:jc w:val="right"/>
              <w:rPr>
                <w:rFonts w:ascii="Times" w:hAnsi="Times"/>
              </w:rPr>
            </w:pPr>
            <w:r w:rsidRPr="00C421E4">
              <w:rPr>
                <w:rFonts w:ascii="Times" w:hAnsi="Times"/>
              </w:rPr>
              <w:t>0.025</w:t>
            </w:r>
          </w:p>
        </w:tc>
        <w:tc>
          <w:tcPr>
            <w:tcW w:w="1300" w:type="dxa"/>
            <w:shd w:val="clear" w:color="auto" w:fill="auto"/>
            <w:noWrap/>
            <w:vAlign w:val="bottom"/>
            <w:hideMark/>
          </w:tcPr>
          <w:p w14:paraId="1592E3C4" w14:textId="77777777" w:rsidR="00F7044C" w:rsidRPr="00C421E4" w:rsidRDefault="00F7044C" w:rsidP="00804E6B">
            <w:pPr>
              <w:jc w:val="right"/>
              <w:rPr>
                <w:rFonts w:ascii="Times" w:hAnsi="Times"/>
              </w:rPr>
            </w:pPr>
            <w:r w:rsidRPr="00C421E4">
              <w:rPr>
                <w:rFonts w:ascii="Times" w:hAnsi="Times"/>
              </w:rPr>
              <w:t>0.213</w:t>
            </w:r>
          </w:p>
        </w:tc>
        <w:tc>
          <w:tcPr>
            <w:tcW w:w="1300" w:type="dxa"/>
            <w:shd w:val="clear" w:color="auto" w:fill="auto"/>
            <w:noWrap/>
            <w:vAlign w:val="bottom"/>
            <w:hideMark/>
          </w:tcPr>
          <w:p w14:paraId="3F389EA9" w14:textId="77777777" w:rsidR="00F7044C" w:rsidRPr="00C421E4" w:rsidRDefault="00F7044C" w:rsidP="00804E6B">
            <w:pPr>
              <w:jc w:val="right"/>
              <w:rPr>
                <w:rFonts w:ascii="Times" w:hAnsi="Times"/>
              </w:rPr>
            </w:pPr>
            <w:r w:rsidRPr="00C421E4">
              <w:rPr>
                <w:rFonts w:ascii="Times" w:hAnsi="Times"/>
              </w:rPr>
              <w:t>0.832</w:t>
            </w:r>
          </w:p>
        </w:tc>
      </w:tr>
      <w:tr w:rsidR="00F7044C" w:rsidRPr="00C421E4" w14:paraId="4C30ECB9" w14:textId="77777777" w:rsidTr="00804E6B">
        <w:trPr>
          <w:trHeight w:val="340"/>
        </w:trPr>
        <w:tc>
          <w:tcPr>
            <w:tcW w:w="1980" w:type="dxa"/>
            <w:shd w:val="clear" w:color="auto" w:fill="auto"/>
            <w:noWrap/>
            <w:vAlign w:val="center"/>
            <w:hideMark/>
          </w:tcPr>
          <w:p w14:paraId="72B3EDE0"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7BB994D8" w14:textId="77777777" w:rsidR="00F7044C" w:rsidRPr="00C421E4" w:rsidRDefault="00F7044C" w:rsidP="00804E6B">
            <w:pPr>
              <w:jc w:val="right"/>
              <w:rPr>
                <w:rFonts w:ascii="Times" w:hAnsi="Times"/>
              </w:rPr>
            </w:pPr>
            <w:r w:rsidRPr="00C421E4">
              <w:rPr>
                <w:rFonts w:ascii="Times" w:hAnsi="Times"/>
              </w:rPr>
              <w:t>0.012</w:t>
            </w:r>
          </w:p>
        </w:tc>
        <w:tc>
          <w:tcPr>
            <w:tcW w:w="1300" w:type="dxa"/>
            <w:shd w:val="clear" w:color="auto" w:fill="auto"/>
            <w:noWrap/>
            <w:vAlign w:val="bottom"/>
            <w:hideMark/>
          </w:tcPr>
          <w:p w14:paraId="19902705" w14:textId="77777777" w:rsidR="00F7044C" w:rsidRPr="00C421E4" w:rsidRDefault="00F7044C" w:rsidP="00804E6B">
            <w:pPr>
              <w:jc w:val="right"/>
              <w:rPr>
                <w:rFonts w:ascii="Times" w:hAnsi="Times"/>
              </w:rPr>
            </w:pPr>
            <w:r w:rsidRPr="00C421E4">
              <w:rPr>
                <w:rFonts w:ascii="Times" w:hAnsi="Times"/>
              </w:rPr>
              <w:t>0.014</w:t>
            </w:r>
          </w:p>
        </w:tc>
        <w:tc>
          <w:tcPr>
            <w:tcW w:w="1300" w:type="dxa"/>
            <w:shd w:val="clear" w:color="auto" w:fill="auto"/>
            <w:noWrap/>
            <w:vAlign w:val="bottom"/>
            <w:hideMark/>
          </w:tcPr>
          <w:p w14:paraId="4A35AABB" w14:textId="77777777" w:rsidR="00F7044C" w:rsidRPr="00C421E4" w:rsidRDefault="00F7044C" w:rsidP="00804E6B">
            <w:pPr>
              <w:jc w:val="right"/>
              <w:rPr>
                <w:rFonts w:ascii="Times" w:hAnsi="Times"/>
              </w:rPr>
            </w:pPr>
            <w:r w:rsidRPr="00C421E4">
              <w:rPr>
                <w:rFonts w:ascii="Times" w:hAnsi="Times"/>
              </w:rPr>
              <w:t>0.096</w:t>
            </w:r>
          </w:p>
        </w:tc>
        <w:tc>
          <w:tcPr>
            <w:tcW w:w="1300" w:type="dxa"/>
            <w:shd w:val="clear" w:color="auto" w:fill="auto"/>
            <w:noWrap/>
            <w:vAlign w:val="bottom"/>
            <w:hideMark/>
          </w:tcPr>
          <w:p w14:paraId="07E39F74" w14:textId="77777777" w:rsidR="00F7044C" w:rsidRPr="00C421E4" w:rsidRDefault="00F7044C" w:rsidP="00804E6B">
            <w:pPr>
              <w:jc w:val="right"/>
              <w:rPr>
                <w:rFonts w:ascii="Times" w:hAnsi="Times"/>
              </w:rPr>
            </w:pPr>
            <w:r w:rsidRPr="00C421E4">
              <w:rPr>
                <w:rFonts w:ascii="Times" w:hAnsi="Times"/>
              </w:rPr>
              <w:t>0.804</w:t>
            </w:r>
          </w:p>
        </w:tc>
        <w:tc>
          <w:tcPr>
            <w:tcW w:w="1300" w:type="dxa"/>
            <w:shd w:val="clear" w:color="auto" w:fill="auto"/>
            <w:noWrap/>
            <w:vAlign w:val="bottom"/>
            <w:hideMark/>
          </w:tcPr>
          <w:p w14:paraId="4268DE9C" w14:textId="77777777" w:rsidR="00F7044C" w:rsidRPr="00C421E4" w:rsidRDefault="00F7044C" w:rsidP="00804E6B">
            <w:pPr>
              <w:jc w:val="right"/>
              <w:rPr>
                <w:rFonts w:ascii="Times" w:hAnsi="Times"/>
              </w:rPr>
            </w:pPr>
            <w:r w:rsidRPr="00C421E4">
              <w:rPr>
                <w:rFonts w:ascii="Times" w:hAnsi="Times"/>
              </w:rPr>
              <w:t>0.424</w:t>
            </w:r>
          </w:p>
        </w:tc>
      </w:tr>
      <w:tr w:rsidR="00F7044C" w:rsidRPr="00C421E4" w14:paraId="0587F6E9" w14:textId="77777777" w:rsidTr="00804E6B">
        <w:trPr>
          <w:trHeight w:val="340"/>
        </w:trPr>
        <w:tc>
          <w:tcPr>
            <w:tcW w:w="8480" w:type="dxa"/>
            <w:gridSpan w:val="6"/>
            <w:shd w:val="clear" w:color="auto" w:fill="auto"/>
            <w:noWrap/>
            <w:vAlign w:val="center"/>
            <w:hideMark/>
          </w:tcPr>
          <w:p w14:paraId="0BF65E2F"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6F1DEE21" w14:textId="77777777" w:rsidTr="00804E6B">
        <w:trPr>
          <w:trHeight w:val="340"/>
        </w:trPr>
        <w:tc>
          <w:tcPr>
            <w:tcW w:w="1980" w:type="dxa"/>
            <w:shd w:val="clear" w:color="auto" w:fill="auto"/>
            <w:noWrap/>
            <w:vAlign w:val="center"/>
            <w:hideMark/>
          </w:tcPr>
          <w:p w14:paraId="4C180736"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50D96FCB" w14:textId="77777777" w:rsidR="00F7044C" w:rsidRPr="00C421E4" w:rsidRDefault="00F7044C" w:rsidP="00804E6B">
            <w:pPr>
              <w:jc w:val="right"/>
              <w:rPr>
                <w:rFonts w:ascii="Times" w:hAnsi="Times"/>
              </w:rPr>
            </w:pPr>
            <w:r w:rsidRPr="00C421E4">
              <w:rPr>
                <w:rFonts w:ascii="Times" w:hAnsi="Times"/>
              </w:rPr>
              <w:t>-0.217</w:t>
            </w:r>
          </w:p>
        </w:tc>
        <w:tc>
          <w:tcPr>
            <w:tcW w:w="1300" w:type="dxa"/>
            <w:shd w:val="clear" w:color="auto" w:fill="auto"/>
            <w:noWrap/>
            <w:vAlign w:val="bottom"/>
            <w:hideMark/>
          </w:tcPr>
          <w:p w14:paraId="40A29C08" w14:textId="77777777" w:rsidR="00F7044C" w:rsidRPr="00C421E4" w:rsidRDefault="00F7044C" w:rsidP="00804E6B">
            <w:pPr>
              <w:jc w:val="right"/>
              <w:rPr>
                <w:rFonts w:ascii="Times" w:hAnsi="Times"/>
              </w:rPr>
            </w:pPr>
            <w:r w:rsidRPr="00C421E4">
              <w:rPr>
                <w:rFonts w:ascii="Times" w:hAnsi="Times"/>
              </w:rPr>
              <w:t>0.16</w:t>
            </w:r>
          </w:p>
        </w:tc>
        <w:tc>
          <w:tcPr>
            <w:tcW w:w="1300" w:type="dxa"/>
            <w:shd w:val="clear" w:color="auto" w:fill="auto"/>
            <w:noWrap/>
            <w:vAlign w:val="bottom"/>
            <w:hideMark/>
          </w:tcPr>
          <w:p w14:paraId="3948BE37" w14:textId="77777777" w:rsidR="00F7044C" w:rsidRPr="00C421E4" w:rsidRDefault="00F7044C" w:rsidP="00804E6B">
            <w:pPr>
              <w:jc w:val="right"/>
              <w:rPr>
                <w:rFonts w:ascii="Times" w:hAnsi="Times"/>
              </w:rPr>
            </w:pPr>
            <w:r w:rsidRPr="00C421E4">
              <w:rPr>
                <w:rFonts w:ascii="Times" w:hAnsi="Times"/>
              </w:rPr>
              <w:t>-0.143</w:t>
            </w:r>
          </w:p>
        </w:tc>
        <w:tc>
          <w:tcPr>
            <w:tcW w:w="1300" w:type="dxa"/>
            <w:shd w:val="clear" w:color="auto" w:fill="auto"/>
            <w:noWrap/>
            <w:vAlign w:val="bottom"/>
            <w:hideMark/>
          </w:tcPr>
          <w:p w14:paraId="36B61F9E" w14:textId="77777777" w:rsidR="00F7044C" w:rsidRPr="00C421E4" w:rsidRDefault="00F7044C" w:rsidP="00804E6B">
            <w:pPr>
              <w:jc w:val="right"/>
              <w:rPr>
                <w:rFonts w:ascii="Times" w:hAnsi="Times"/>
              </w:rPr>
            </w:pPr>
            <w:r w:rsidRPr="00C421E4">
              <w:rPr>
                <w:rFonts w:ascii="Times" w:hAnsi="Times"/>
              </w:rPr>
              <w:t>-1.355</w:t>
            </w:r>
          </w:p>
        </w:tc>
        <w:tc>
          <w:tcPr>
            <w:tcW w:w="1300" w:type="dxa"/>
            <w:shd w:val="clear" w:color="auto" w:fill="auto"/>
            <w:noWrap/>
            <w:vAlign w:val="bottom"/>
            <w:hideMark/>
          </w:tcPr>
          <w:p w14:paraId="03E7CFDC" w14:textId="77777777" w:rsidR="00F7044C" w:rsidRPr="00C421E4" w:rsidRDefault="00F7044C" w:rsidP="00804E6B">
            <w:pPr>
              <w:jc w:val="right"/>
              <w:rPr>
                <w:rFonts w:ascii="Times" w:hAnsi="Times"/>
              </w:rPr>
            </w:pPr>
            <w:r w:rsidRPr="00C421E4">
              <w:rPr>
                <w:rFonts w:ascii="Times" w:hAnsi="Times"/>
              </w:rPr>
              <w:t>0.179</w:t>
            </w:r>
          </w:p>
        </w:tc>
      </w:tr>
      <w:tr w:rsidR="00F7044C" w:rsidRPr="00C421E4" w14:paraId="4AE0BFA0" w14:textId="77777777" w:rsidTr="00804E6B">
        <w:trPr>
          <w:trHeight w:val="340"/>
        </w:trPr>
        <w:tc>
          <w:tcPr>
            <w:tcW w:w="1980" w:type="dxa"/>
            <w:shd w:val="clear" w:color="auto" w:fill="auto"/>
            <w:noWrap/>
            <w:vAlign w:val="center"/>
            <w:hideMark/>
          </w:tcPr>
          <w:p w14:paraId="6A456591" w14:textId="77777777" w:rsidR="00F7044C" w:rsidRPr="00C421E4" w:rsidRDefault="00F7044C" w:rsidP="00804E6B">
            <w:pPr>
              <w:rPr>
                <w:rFonts w:ascii="Times" w:hAnsi="Times"/>
                <w:b/>
              </w:rPr>
            </w:pPr>
            <w:r w:rsidRPr="00C421E4">
              <w:rPr>
                <w:rFonts w:ascii="Times" w:hAnsi="Times"/>
                <w:b/>
              </w:rPr>
              <w:t>Arousal</w:t>
            </w:r>
          </w:p>
        </w:tc>
        <w:tc>
          <w:tcPr>
            <w:tcW w:w="1300" w:type="dxa"/>
            <w:shd w:val="clear" w:color="auto" w:fill="auto"/>
            <w:noWrap/>
            <w:vAlign w:val="bottom"/>
            <w:hideMark/>
          </w:tcPr>
          <w:p w14:paraId="03565601" w14:textId="77777777" w:rsidR="00F7044C" w:rsidRPr="00C421E4" w:rsidRDefault="00F7044C" w:rsidP="00804E6B">
            <w:pPr>
              <w:jc w:val="right"/>
              <w:rPr>
                <w:rFonts w:ascii="Times" w:hAnsi="Times"/>
                <w:b/>
              </w:rPr>
            </w:pPr>
            <w:r w:rsidRPr="00C421E4">
              <w:rPr>
                <w:rFonts w:ascii="Times" w:hAnsi="Times"/>
                <w:b/>
              </w:rPr>
              <w:t>-0.229</w:t>
            </w:r>
          </w:p>
        </w:tc>
        <w:tc>
          <w:tcPr>
            <w:tcW w:w="1300" w:type="dxa"/>
            <w:shd w:val="clear" w:color="auto" w:fill="auto"/>
            <w:noWrap/>
            <w:vAlign w:val="bottom"/>
            <w:hideMark/>
          </w:tcPr>
          <w:p w14:paraId="222E0E2D" w14:textId="77777777" w:rsidR="00F7044C" w:rsidRPr="00C421E4" w:rsidRDefault="00F7044C" w:rsidP="00804E6B">
            <w:pPr>
              <w:jc w:val="right"/>
              <w:rPr>
                <w:rFonts w:ascii="Times" w:hAnsi="Times"/>
                <w:b/>
              </w:rPr>
            </w:pPr>
            <w:r w:rsidRPr="00C421E4">
              <w:rPr>
                <w:rFonts w:ascii="Times" w:hAnsi="Times"/>
                <w:b/>
              </w:rPr>
              <w:t>0.068</w:t>
            </w:r>
          </w:p>
        </w:tc>
        <w:tc>
          <w:tcPr>
            <w:tcW w:w="1300" w:type="dxa"/>
            <w:shd w:val="clear" w:color="auto" w:fill="auto"/>
            <w:noWrap/>
            <w:vAlign w:val="bottom"/>
            <w:hideMark/>
          </w:tcPr>
          <w:p w14:paraId="5BE29575" w14:textId="77777777" w:rsidR="00F7044C" w:rsidRPr="00C421E4" w:rsidRDefault="00F7044C" w:rsidP="00804E6B">
            <w:pPr>
              <w:jc w:val="right"/>
              <w:rPr>
                <w:rFonts w:ascii="Times" w:hAnsi="Times"/>
                <w:b/>
              </w:rPr>
            </w:pPr>
            <w:r w:rsidRPr="00C421E4">
              <w:rPr>
                <w:rFonts w:ascii="Times" w:hAnsi="Times"/>
                <w:b/>
              </w:rPr>
              <w:t>-0.335</w:t>
            </w:r>
          </w:p>
        </w:tc>
        <w:tc>
          <w:tcPr>
            <w:tcW w:w="1300" w:type="dxa"/>
            <w:shd w:val="clear" w:color="auto" w:fill="auto"/>
            <w:noWrap/>
            <w:vAlign w:val="bottom"/>
            <w:hideMark/>
          </w:tcPr>
          <w:p w14:paraId="1E8CA3CA" w14:textId="77777777" w:rsidR="00F7044C" w:rsidRPr="00C421E4" w:rsidRDefault="00F7044C" w:rsidP="00804E6B">
            <w:pPr>
              <w:jc w:val="right"/>
              <w:rPr>
                <w:rFonts w:ascii="Times" w:hAnsi="Times"/>
                <w:b/>
              </w:rPr>
            </w:pPr>
            <w:r w:rsidRPr="00C421E4">
              <w:rPr>
                <w:rFonts w:ascii="Times" w:hAnsi="Times"/>
                <w:b/>
              </w:rPr>
              <w:t>-3.339</w:t>
            </w:r>
          </w:p>
        </w:tc>
        <w:tc>
          <w:tcPr>
            <w:tcW w:w="1300" w:type="dxa"/>
            <w:shd w:val="clear" w:color="auto" w:fill="auto"/>
            <w:noWrap/>
            <w:vAlign w:val="bottom"/>
            <w:hideMark/>
          </w:tcPr>
          <w:p w14:paraId="147440A5" w14:textId="77777777" w:rsidR="00F7044C" w:rsidRPr="00C421E4" w:rsidRDefault="00F7044C" w:rsidP="00804E6B">
            <w:pPr>
              <w:jc w:val="right"/>
              <w:rPr>
                <w:rFonts w:ascii="Times" w:hAnsi="Times"/>
                <w:b/>
              </w:rPr>
            </w:pPr>
            <w:r w:rsidRPr="00C421E4">
              <w:rPr>
                <w:rFonts w:ascii="Times" w:hAnsi="Times"/>
                <w:b/>
              </w:rPr>
              <w:t>0.001</w:t>
            </w:r>
          </w:p>
        </w:tc>
      </w:tr>
      <w:tr w:rsidR="00F7044C" w:rsidRPr="00C421E4" w14:paraId="6C43907F" w14:textId="77777777" w:rsidTr="00804E6B">
        <w:trPr>
          <w:trHeight w:val="340"/>
        </w:trPr>
        <w:tc>
          <w:tcPr>
            <w:tcW w:w="1980" w:type="dxa"/>
            <w:shd w:val="clear" w:color="auto" w:fill="auto"/>
            <w:noWrap/>
            <w:vAlign w:val="center"/>
            <w:hideMark/>
          </w:tcPr>
          <w:p w14:paraId="2B24341E"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26F03852" w14:textId="77777777" w:rsidR="00F7044C" w:rsidRPr="00C421E4" w:rsidRDefault="00F7044C" w:rsidP="00804E6B">
            <w:pPr>
              <w:jc w:val="right"/>
              <w:rPr>
                <w:rFonts w:ascii="Times" w:hAnsi="Times"/>
              </w:rPr>
            </w:pPr>
            <w:r w:rsidRPr="00C421E4">
              <w:rPr>
                <w:rFonts w:ascii="Times" w:hAnsi="Times"/>
              </w:rPr>
              <w:t>0.372</w:t>
            </w:r>
          </w:p>
        </w:tc>
        <w:tc>
          <w:tcPr>
            <w:tcW w:w="1300" w:type="dxa"/>
            <w:shd w:val="clear" w:color="auto" w:fill="auto"/>
            <w:noWrap/>
            <w:vAlign w:val="bottom"/>
            <w:hideMark/>
          </w:tcPr>
          <w:p w14:paraId="68AD57F6" w14:textId="77777777" w:rsidR="00F7044C" w:rsidRPr="00C421E4" w:rsidRDefault="00F7044C" w:rsidP="00804E6B">
            <w:pPr>
              <w:jc w:val="right"/>
              <w:rPr>
                <w:rFonts w:ascii="Times" w:hAnsi="Times"/>
              </w:rPr>
            </w:pPr>
            <w:r w:rsidRPr="00C421E4">
              <w:rPr>
                <w:rFonts w:ascii="Times" w:hAnsi="Times"/>
              </w:rPr>
              <w:t>0.494</w:t>
            </w:r>
          </w:p>
        </w:tc>
        <w:tc>
          <w:tcPr>
            <w:tcW w:w="1300" w:type="dxa"/>
            <w:shd w:val="clear" w:color="auto" w:fill="auto"/>
            <w:noWrap/>
            <w:vAlign w:val="bottom"/>
            <w:hideMark/>
          </w:tcPr>
          <w:p w14:paraId="5D145EB8" w14:textId="77777777" w:rsidR="00F7044C" w:rsidRPr="00C421E4" w:rsidRDefault="00F7044C" w:rsidP="00804E6B">
            <w:pPr>
              <w:jc w:val="right"/>
              <w:rPr>
                <w:rFonts w:ascii="Times" w:hAnsi="Times"/>
              </w:rPr>
            </w:pPr>
            <w:r w:rsidRPr="00C421E4">
              <w:rPr>
                <w:rFonts w:ascii="Times" w:hAnsi="Times"/>
              </w:rPr>
              <w:t>0.087</w:t>
            </w:r>
          </w:p>
        </w:tc>
        <w:tc>
          <w:tcPr>
            <w:tcW w:w="1300" w:type="dxa"/>
            <w:shd w:val="clear" w:color="auto" w:fill="auto"/>
            <w:noWrap/>
            <w:vAlign w:val="bottom"/>
            <w:hideMark/>
          </w:tcPr>
          <w:p w14:paraId="71829753" w14:textId="77777777" w:rsidR="00F7044C" w:rsidRPr="00C421E4" w:rsidRDefault="00F7044C" w:rsidP="00804E6B">
            <w:pPr>
              <w:jc w:val="right"/>
              <w:rPr>
                <w:rFonts w:ascii="Times" w:hAnsi="Times"/>
              </w:rPr>
            </w:pPr>
            <w:r w:rsidRPr="00C421E4">
              <w:rPr>
                <w:rFonts w:ascii="Times" w:hAnsi="Times"/>
              </w:rPr>
              <w:t>0.752</w:t>
            </w:r>
          </w:p>
        </w:tc>
        <w:tc>
          <w:tcPr>
            <w:tcW w:w="1300" w:type="dxa"/>
            <w:shd w:val="clear" w:color="auto" w:fill="auto"/>
            <w:noWrap/>
            <w:vAlign w:val="bottom"/>
            <w:hideMark/>
          </w:tcPr>
          <w:p w14:paraId="39F44D3B" w14:textId="77777777" w:rsidR="00F7044C" w:rsidRPr="00C421E4" w:rsidRDefault="00F7044C" w:rsidP="00804E6B">
            <w:pPr>
              <w:jc w:val="right"/>
              <w:rPr>
                <w:rFonts w:ascii="Times" w:hAnsi="Times"/>
              </w:rPr>
            </w:pPr>
            <w:r w:rsidRPr="00C421E4">
              <w:rPr>
                <w:rFonts w:ascii="Times" w:hAnsi="Times"/>
              </w:rPr>
              <w:t>0.454</w:t>
            </w:r>
          </w:p>
        </w:tc>
      </w:tr>
      <w:tr w:rsidR="00F7044C" w:rsidRPr="00C421E4" w14:paraId="33D83728" w14:textId="77777777" w:rsidTr="00804E6B">
        <w:trPr>
          <w:trHeight w:val="340"/>
        </w:trPr>
        <w:tc>
          <w:tcPr>
            <w:tcW w:w="1980" w:type="dxa"/>
            <w:shd w:val="clear" w:color="auto" w:fill="auto"/>
            <w:noWrap/>
            <w:vAlign w:val="center"/>
            <w:hideMark/>
          </w:tcPr>
          <w:p w14:paraId="770B3D96" w14:textId="77777777" w:rsidR="00F7044C" w:rsidRPr="00C421E4" w:rsidRDefault="00F7044C" w:rsidP="00804E6B">
            <w:pPr>
              <w:rPr>
                <w:rFonts w:ascii="Times" w:hAnsi="Times"/>
              </w:rPr>
            </w:pPr>
            <w:r w:rsidRPr="00C421E4">
              <w:rPr>
                <w:rFonts w:ascii="Times" w:hAnsi="Times"/>
              </w:rPr>
              <w:t>Zygomaticus tone</w:t>
            </w:r>
          </w:p>
        </w:tc>
        <w:tc>
          <w:tcPr>
            <w:tcW w:w="1300" w:type="dxa"/>
            <w:shd w:val="clear" w:color="auto" w:fill="auto"/>
            <w:noWrap/>
            <w:vAlign w:val="bottom"/>
            <w:hideMark/>
          </w:tcPr>
          <w:p w14:paraId="0546A19A" w14:textId="77777777" w:rsidR="00F7044C" w:rsidRPr="00C421E4" w:rsidRDefault="00F7044C" w:rsidP="00804E6B">
            <w:pPr>
              <w:jc w:val="right"/>
              <w:rPr>
                <w:rFonts w:ascii="Times" w:hAnsi="Times"/>
              </w:rPr>
            </w:pPr>
            <w:r w:rsidRPr="00C421E4">
              <w:rPr>
                <w:rFonts w:ascii="Times" w:hAnsi="Times"/>
              </w:rPr>
              <w:t>-0.028</w:t>
            </w:r>
          </w:p>
        </w:tc>
        <w:tc>
          <w:tcPr>
            <w:tcW w:w="1300" w:type="dxa"/>
            <w:shd w:val="clear" w:color="auto" w:fill="auto"/>
            <w:noWrap/>
            <w:vAlign w:val="bottom"/>
            <w:hideMark/>
          </w:tcPr>
          <w:p w14:paraId="01B23909" w14:textId="77777777" w:rsidR="00F7044C" w:rsidRPr="00C421E4" w:rsidRDefault="00F7044C" w:rsidP="00804E6B">
            <w:pPr>
              <w:jc w:val="right"/>
              <w:rPr>
                <w:rFonts w:ascii="Times" w:hAnsi="Times"/>
              </w:rPr>
            </w:pPr>
            <w:r w:rsidRPr="00C421E4">
              <w:rPr>
                <w:rFonts w:ascii="Times" w:hAnsi="Times"/>
              </w:rPr>
              <w:t>0.106</w:t>
            </w:r>
          </w:p>
        </w:tc>
        <w:tc>
          <w:tcPr>
            <w:tcW w:w="1300" w:type="dxa"/>
            <w:shd w:val="clear" w:color="auto" w:fill="auto"/>
            <w:noWrap/>
            <w:vAlign w:val="bottom"/>
            <w:hideMark/>
          </w:tcPr>
          <w:p w14:paraId="2D42C891" w14:textId="77777777" w:rsidR="00F7044C" w:rsidRPr="00C421E4" w:rsidRDefault="00F7044C" w:rsidP="00804E6B">
            <w:pPr>
              <w:jc w:val="right"/>
              <w:rPr>
                <w:rFonts w:ascii="Times" w:hAnsi="Times"/>
              </w:rPr>
            </w:pPr>
            <w:r w:rsidRPr="00C421E4">
              <w:rPr>
                <w:rFonts w:ascii="Times" w:hAnsi="Times"/>
              </w:rPr>
              <w:t>-0.031</w:t>
            </w:r>
          </w:p>
        </w:tc>
        <w:tc>
          <w:tcPr>
            <w:tcW w:w="1300" w:type="dxa"/>
            <w:shd w:val="clear" w:color="auto" w:fill="auto"/>
            <w:noWrap/>
            <w:vAlign w:val="bottom"/>
            <w:hideMark/>
          </w:tcPr>
          <w:p w14:paraId="7615224A" w14:textId="77777777" w:rsidR="00F7044C" w:rsidRPr="00C421E4" w:rsidRDefault="00F7044C" w:rsidP="00804E6B">
            <w:pPr>
              <w:jc w:val="right"/>
              <w:rPr>
                <w:rFonts w:ascii="Times" w:hAnsi="Times"/>
              </w:rPr>
            </w:pPr>
            <w:r w:rsidRPr="00C421E4">
              <w:rPr>
                <w:rFonts w:ascii="Times" w:hAnsi="Times"/>
              </w:rPr>
              <w:t>-0.266</w:t>
            </w:r>
          </w:p>
        </w:tc>
        <w:tc>
          <w:tcPr>
            <w:tcW w:w="1300" w:type="dxa"/>
            <w:shd w:val="clear" w:color="auto" w:fill="auto"/>
            <w:noWrap/>
            <w:vAlign w:val="bottom"/>
            <w:hideMark/>
          </w:tcPr>
          <w:p w14:paraId="23D169E5" w14:textId="77777777" w:rsidR="00F7044C" w:rsidRPr="00C421E4" w:rsidRDefault="00F7044C" w:rsidP="00804E6B">
            <w:pPr>
              <w:jc w:val="right"/>
              <w:rPr>
                <w:rFonts w:ascii="Times" w:hAnsi="Times"/>
              </w:rPr>
            </w:pPr>
            <w:r w:rsidRPr="00C421E4">
              <w:rPr>
                <w:rFonts w:ascii="Times" w:hAnsi="Times"/>
              </w:rPr>
              <w:t>0.791</w:t>
            </w:r>
          </w:p>
        </w:tc>
      </w:tr>
      <w:tr w:rsidR="00F7044C" w:rsidRPr="00C421E4" w14:paraId="4F0CF397" w14:textId="77777777" w:rsidTr="00804E6B">
        <w:trPr>
          <w:trHeight w:val="340"/>
        </w:trPr>
        <w:tc>
          <w:tcPr>
            <w:tcW w:w="1980" w:type="dxa"/>
            <w:shd w:val="clear" w:color="auto" w:fill="auto"/>
            <w:noWrap/>
            <w:vAlign w:val="center"/>
            <w:hideMark/>
          </w:tcPr>
          <w:p w14:paraId="08C8BF85"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1867F775" w14:textId="77777777" w:rsidR="00F7044C" w:rsidRPr="00C421E4" w:rsidRDefault="00F7044C" w:rsidP="00804E6B">
            <w:pPr>
              <w:jc w:val="right"/>
              <w:rPr>
                <w:rFonts w:ascii="Times" w:hAnsi="Times"/>
              </w:rPr>
            </w:pPr>
            <w:r w:rsidRPr="00C421E4">
              <w:rPr>
                <w:rFonts w:ascii="Times" w:hAnsi="Times"/>
              </w:rPr>
              <w:t>-0.008</w:t>
            </w:r>
          </w:p>
        </w:tc>
        <w:tc>
          <w:tcPr>
            <w:tcW w:w="1300" w:type="dxa"/>
            <w:shd w:val="clear" w:color="auto" w:fill="auto"/>
            <w:noWrap/>
            <w:vAlign w:val="bottom"/>
            <w:hideMark/>
          </w:tcPr>
          <w:p w14:paraId="678D0870" w14:textId="77777777" w:rsidR="00F7044C" w:rsidRPr="00C421E4" w:rsidRDefault="00F7044C" w:rsidP="00804E6B">
            <w:pPr>
              <w:jc w:val="right"/>
              <w:rPr>
                <w:rFonts w:ascii="Times" w:hAnsi="Times"/>
              </w:rPr>
            </w:pPr>
            <w:r w:rsidRPr="00C421E4">
              <w:rPr>
                <w:rFonts w:ascii="Times" w:hAnsi="Times"/>
              </w:rPr>
              <w:t>0.013</w:t>
            </w:r>
          </w:p>
        </w:tc>
        <w:tc>
          <w:tcPr>
            <w:tcW w:w="1300" w:type="dxa"/>
            <w:shd w:val="clear" w:color="auto" w:fill="auto"/>
            <w:noWrap/>
            <w:vAlign w:val="bottom"/>
            <w:hideMark/>
          </w:tcPr>
          <w:p w14:paraId="28898EB9" w14:textId="77777777" w:rsidR="00F7044C" w:rsidRPr="00C421E4" w:rsidRDefault="00F7044C" w:rsidP="00804E6B">
            <w:pPr>
              <w:jc w:val="right"/>
              <w:rPr>
                <w:rFonts w:ascii="Times" w:hAnsi="Times"/>
              </w:rPr>
            </w:pPr>
            <w:r w:rsidRPr="00C421E4">
              <w:rPr>
                <w:rFonts w:ascii="Times" w:hAnsi="Times"/>
              </w:rPr>
              <w:t>-0.075</w:t>
            </w:r>
          </w:p>
        </w:tc>
        <w:tc>
          <w:tcPr>
            <w:tcW w:w="1300" w:type="dxa"/>
            <w:shd w:val="clear" w:color="auto" w:fill="auto"/>
            <w:noWrap/>
            <w:vAlign w:val="bottom"/>
            <w:hideMark/>
          </w:tcPr>
          <w:p w14:paraId="40352779" w14:textId="77777777" w:rsidR="00F7044C" w:rsidRPr="00C421E4" w:rsidRDefault="00F7044C" w:rsidP="00804E6B">
            <w:pPr>
              <w:jc w:val="right"/>
              <w:rPr>
                <w:rFonts w:ascii="Times" w:hAnsi="Times"/>
              </w:rPr>
            </w:pPr>
            <w:r w:rsidRPr="00C421E4">
              <w:rPr>
                <w:rFonts w:ascii="Times" w:hAnsi="Times"/>
              </w:rPr>
              <w:t>-0.633</w:t>
            </w:r>
          </w:p>
        </w:tc>
        <w:tc>
          <w:tcPr>
            <w:tcW w:w="1300" w:type="dxa"/>
            <w:shd w:val="clear" w:color="auto" w:fill="auto"/>
            <w:noWrap/>
            <w:vAlign w:val="bottom"/>
            <w:hideMark/>
          </w:tcPr>
          <w:p w14:paraId="523825BF" w14:textId="77777777" w:rsidR="00F7044C" w:rsidRPr="00C421E4" w:rsidRDefault="00F7044C" w:rsidP="00804E6B">
            <w:pPr>
              <w:jc w:val="right"/>
              <w:rPr>
                <w:rFonts w:ascii="Times" w:hAnsi="Times"/>
              </w:rPr>
            </w:pPr>
            <w:r w:rsidRPr="00C421E4">
              <w:rPr>
                <w:rFonts w:ascii="Times" w:hAnsi="Times"/>
              </w:rPr>
              <w:t>0.529</w:t>
            </w:r>
          </w:p>
        </w:tc>
      </w:tr>
      <w:tr w:rsidR="00F7044C" w:rsidRPr="00C421E4" w14:paraId="2B8CFABF" w14:textId="77777777" w:rsidTr="00804E6B">
        <w:trPr>
          <w:trHeight w:val="340"/>
        </w:trPr>
        <w:tc>
          <w:tcPr>
            <w:tcW w:w="8480" w:type="dxa"/>
            <w:gridSpan w:val="6"/>
            <w:shd w:val="clear" w:color="auto" w:fill="auto"/>
            <w:noWrap/>
            <w:vAlign w:val="center"/>
            <w:hideMark/>
          </w:tcPr>
          <w:p w14:paraId="3EE9D494"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1E1C4AA1" w14:textId="77777777" w:rsidTr="00804E6B">
        <w:trPr>
          <w:trHeight w:val="340"/>
        </w:trPr>
        <w:tc>
          <w:tcPr>
            <w:tcW w:w="1980" w:type="dxa"/>
            <w:shd w:val="clear" w:color="auto" w:fill="auto"/>
            <w:noWrap/>
            <w:vAlign w:val="center"/>
            <w:hideMark/>
          </w:tcPr>
          <w:p w14:paraId="5A7C4814"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6CE6072C" w14:textId="77777777" w:rsidR="00F7044C" w:rsidRPr="00C421E4" w:rsidRDefault="00F7044C" w:rsidP="00804E6B">
            <w:pPr>
              <w:jc w:val="right"/>
              <w:rPr>
                <w:rFonts w:ascii="Times" w:hAnsi="Times"/>
              </w:rPr>
            </w:pPr>
            <w:r w:rsidRPr="00C421E4">
              <w:rPr>
                <w:rFonts w:ascii="Times" w:hAnsi="Times"/>
              </w:rPr>
              <w:t>-0.116</w:t>
            </w:r>
          </w:p>
        </w:tc>
        <w:tc>
          <w:tcPr>
            <w:tcW w:w="1300" w:type="dxa"/>
            <w:shd w:val="clear" w:color="auto" w:fill="auto"/>
            <w:noWrap/>
            <w:vAlign w:val="bottom"/>
            <w:hideMark/>
          </w:tcPr>
          <w:p w14:paraId="4FAE1001" w14:textId="77777777" w:rsidR="00F7044C" w:rsidRPr="00C421E4" w:rsidRDefault="00F7044C" w:rsidP="00804E6B">
            <w:pPr>
              <w:jc w:val="right"/>
              <w:rPr>
                <w:rFonts w:ascii="Times" w:hAnsi="Times"/>
              </w:rPr>
            </w:pPr>
            <w:r w:rsidRPr="00C421E4">
              <w:rPr>
                <w:rFonts w:ascii="Times" w:hAnsi="Times"/>
              </w:rPr>
              <w:t>0.179</w:t>
            </w:r>
          </w:p>
        </w:tc>
        <w:tc>
          <w:tcPr>
            <w:tcW w:w="1300" w:type="dxa"/>
            <w:shd w:val="clear" w:color="auto" w:fill="auto"/>
            <w:noWrap/>
            <w:vAlign w:val="bottom"/>
            <w:hideMark/>
          </w:tcPr>
          <w:p w14:paraId="63A8DB4A" w14:textId="77777777" w:rsidR="00F7044C" w:rsidRPr="00C421E4" w:rsidRDefault="00F7044C" w:rsidP="00804E6B">
            <w:pPr>
              <w:jc w:val="right"/>
              <w:rPr>
                <w:rFonts w:ascii="Times" w:hAnsi="Times"/>
              </w:rPr>
            </w:pPr>
            <w:r w:rsidRPr="00C421E4">
              <w:rPr>
                <w:rFonts w:ascii="Times" w:hAnsi="Times"/>
              </w:rPr>
              <w:t>-0.069</w:t>
            </w:r>
          </w:p>
        </w:tc>
        <w:tc>
          <w:tcPr>
            <w:tcW w:w="1300" w:type="dxa"/>
            <w:shd w:val="clear" w:color="auto" w:fill="auto"/>
            <w:noWrap/>
            <w:vAlign w:val="bottom"/>
            <w:hideMark/>
          </w:tcPr>
          <w:p w14:paraId="5FF1996C" w14:textId="77777777" w:rsidR="00F7044C" w:rsidRPr="00C421E4" w:rsidRDefault="00F7044C" w:rsidP="00804E6B">
            <w:pPr>
              <w:jc w:val="right"/>
              <w:rPr>
                <w:rFonts w:ascii="Times" w:hAnsi="Times"/>
              </w:rPr>
            </w:pPr>
            <w:r w:rsidRPr="00C421E4">
              <w:rPr>
                <w:rFonts w:ascii="Times" w:hAnsi="Times"/>
              </w:rPr>
              <w:t>-0.651</w:t>
            </w:r>
          </w:p>
        </w:tc>
        <w:tc>
          <w:tcPr>
            <w:tcW w:w="1300" w:type="dxa"/>
            <w:shd w:val="clear" w:color="auto" w:fill="auto"/>
            <w:noWrap/>
            <w:vAlign w:val="bottom"/>
            <w:hideMark/>
          </w:tcPr>
          <w:p w14:paraId="5297A185" w14:textId="77777777" w:rsidR="00F7044C" w:rsidRPr="00C421E4" w:rsidRDefault="00F7044C" w:rsidP="00804E6B">
            <w:pPr>
              <w:jc w:val="right"/>
              <w:rPr>
                <w:rFonts w:ascii="Times" w:hAnsi="Times"/>
              </w:rPr>
            </w:pPr>
            <w:r w:rsidRPr="00C421E4">
              <w:rPr>
                <w:rFonts w:ascii="Times" w:hAnsi="Times"/>
              </w:rPr>
              <w:t>0.517</w:t>
            </w:r>
          </w:p>
        </w:tc>
      </w:tr>
      <w:tr w:rsidR="00F7044C" w:rsidRPr="00C421E4" w14:paraId="6F1460F1" w14:textId="77777777" w:rsidTr="00804E6B">
        <w:trPr>
          <w:trHeight w:val="340"/>
        </w:trPr>
        <w:tc>
          <w:tcPr>
            <w:tcW w:w="1980" w:type="dxa"/>
            <w:shd w:val="clear" w:color="auto" w:fill="auto"/>
            <w:noWrap/>
            <w:vAlign w:val="center"/>
            <w:hideMark/>
          </w:tcPr>
          <w:p w14:paraId="3E67B7C3"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2C01934D" w14:textId="77777777" w:rsidR="00F7044C" w:rsidRPr="00C421E4" w:rsidRDefault="00F7044C" w:rsidP="00804E6B">
            <w:pPr>
              <w:jc w:val="right"/>
              <w:rPr>
                <w:rFonts w:ascii="Times" w:hAnsi="Times"/>
              </w:rPr>
            </w:pPr>
            <w:r w:rsidRPr="00C421E4">
              <w:rPr>
                <w:rFonts w:ascii="Times" w:hAnsi="Times"/>
              </w:rPr>
              <w:t>0.07</w:t>
            </w:r>
          </w:p>
        </w:tc>
        <w:tc>
          <w:tcPr>
            <w:tcW w:w="1300" w:type="dxa"/>
            <w:shd w:val="clear" w:color="auto" w:fill="auto"/>
            <w:noWrap/>
            <w:vAlign w:val="bottom"/>
            <w:hideMark/>
          </w:tcPr>
          <w:p w14:paraId="537CB42F" w14:textId="77777777" w:rsidR="00F7044C" w:rsidRPr="00C421E4" w:rsidRDefault="00F7044C" w:rsidP="00804E6B">
            <w:pPr>
              <w:jc w:val="right"/>
              <w:rPr>
                <w:rFonts w:ascii="Times" w:hAnsi="Times"/>
              </w:rPr>
            </w:pPr>
            <w:r w:rsidRPr="00C421E4">
              <w:rPr>
                <w:rFonts w:ascii="Times" w:hAnsi="Times"/>
              </w:rPr>
              <w:t>0.083</w:t>
            </w:r>
          </w:p>
        </w:tc>
        <w:tc>
          <w:tcPr>
            <w:tcW w:w="1300" w:type="dxa"/>
            <w:shd w:val="clear" w:color="auto" w:fill="auto"/>
            <w:noWrap/>
            <w:vAlign w:val="bottom"/>
            <w:hideMark/>
          </w:tcPr>
          <w:p w14:paraId="7219464A" w14:textId="77777777" w:rsidR="00F7044C" w:rsidRPr="00C421E4" w:rsidRDefault="00F7044C" w:rsidP="00804E6B">
            <w:pPr>
              <w:jc w:val="right"/>
              <w:rPr>
                <w:rFonts w:ascii="Times" w:hAnsi="Times"/>
              </w:rPr>
            </w:pPr>
            <w:r w:rsidRPr="00C421E4">
              <w:rPr>
                <w:rFonts w:ascii="Times" w:hAnsi="Times"/>
              </w:rPr>
              <w:t>0.09</w:t>
            </w:r>
          </w:p>
        </w:tc>
        <w:tc>
          <w:tcPr>
            <w:tcW w:w="1300" w:type="dxa"/>
            <w:shd w:val="clear" w:color="auto" w:fill="auto"/>
            <w:noWrap/>
            <w:vAlign w:val="bottom"/>
            <w:hideMark/>
          </w:tcPr>
          <w:p w14:paraId="4EAA6F35" w14:textId="77777777" w:rsidR="00F7044C" w:rsidRPr="00C421E4" w:rsidRDefault="00F7044C" w:rsidP="00804E6B">
            <w:pPr>
              <w:jc w:val="right"/>
              <w:rPr>
                <w:rFonts w:ascii="Times" w:hAnsi="Times"/>
              </w:rPr>
            </w:pPr>
            <w:r w:rsidRPr="00C421E4">
              <w:rPr>
                <w:rFonts w:ascii="Times" w:hAnsi="Times"/>
              </w:rPr>
              <w:t>0.847</w:t>
            </w:r>
          </w:p>
        </w:tc>
        <w:tc>
          <w:tcPr>
            <w:tcW w:w="1300" w:type="dxa"/>
            <w:shd w:val="clear" w:color="auto" w:fill="auto"/>
            <w:noWrap/>
            <w:vAlign w:val="bottom"/>
            <w:hideMark/>
          </w:tcPr>
          <w:p w14:paraId="7B791480" w14:textId="77777777" w:rsidR="00F7044C" w:rsidRPr="00C421E4" w:rsidRDefault="00F7044C" w:rsidP="00804E6B">
            <w:pPr>
              <w:jc w:val="right"/>
              <w:rPr>
                <w:rFonts w:ascii="Times" w:hAnsi="Times"/>
              </w:rPr>
            </w:pPr>
            <w:r w:rsidRPr="00C421E4">
              <w:rPr>
                <w:rFonts w:ascii="Times" w:hAnsi="Times"/>
              </w:rPr>
              <w:t>0.399</w:t>
            </w:r>
          </w:p>
        </w:tc>
      </w:tr>
      <w:tr w:rsidR="00F7044C" w:rsidRPr="00C421E4" w14:paraId="3BB385DA" w14:textId="77777777" w:rsidTr="00804E6B">
        <w:trPr>
          <w:trHeight w:val="340"/>
        </w:trPr>
        <w:tc>
          <w:tcPr>
            <w:tcW w:w="1980" w:type="dxa"/>
            <w:shd w:val="clear" w:color="auto" w:fill="auto"/>
            <w:noWrap/>
            <w:vAlign w:val="center"/>
            <w:hideMark/>
          </w:tcPr>
          <w:p w14:paraId="7BD7F3DC"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26B337EF" w14:textId="77777777" w:rsidR="00F7044C" w:rsidRPr="00C421E4" w:rsidRDefault="00F7044C" w:rsidP="00804E6B">
            <w:pPr>
              <w:jc w:val="right"/>
              <w:rPr>
                <w:rFonts w:ascii="Times" w:hAnsi="Times"/>
              </w:rPr>
            </w:pPr>
            <w:r w:rsidRPr="00C421E4">
              <w:rPr>
                <w:rFonts w:ascii="Times" w:hAnsi="Times"/>
              </w:rPr>
              <w:t>-0.035</w:t>
            </w:r>
          </w:p>
        </w:tc>
        <w:tc>
          <w:tcPr>
            <w:tcW w:w="1300" w:type="dxa"/>
            <w:shd w:val="clear" w:color="auto" w:fill="auto"/>
            <w:noWrap/>
            <w:vAlign w:val="bottom"/>
            <w:hideMark/>
          </w:tcPr>
          <w:p w14:paraId="44758CC9" w14:textId="77777777" w:rsidR="00F7044C" w:rsidRPr="00C421E4" w:rsidRDefault="00F7044C" w:rsidP="00804E6B">
            <w:pPr>
              <w:jc w:val="right"/>
              <w:rPr>
                <w:rFonts w:ascii="Times" w:hAnsi="Times"/>
              </w:rPr>
            </w:pPr>
            <w:r w:rsidRPr="00C421E4">
              <w:rPr>
                <w:rFonts w:ascii="Times" w:hAnsi="Times"/>
              </w:rPr>
              <w:t>0.095</w:t>
            </w:r>
          </w:p>
        </w:tc>
        <w:tc>
          <w:tcPr>
            <w:tcW w:w="1300" w:type="dxa"/>
            <w:shd w:val="clear" w:color="auto" w:fill="auto"/>
            <w:noWrap/>
            <w:vAlign w:val="bottom"/>
            <w:hideMark/>
          </w:tcPr>
          <w:p w14:paraId="6CA6E75D" w14:textId="77777777" w:rsidR="00F7044C" w:rsidRPr="00C421E4" w:rsidRDefault="00F7044C" w:rsidP="00804E6B">
            <w:pPr>
              <w:jc w:val="right"/>
              <w:rPr>
                <w:rFonts w:ascii="Times" w:hAnsi="Times"/>
              </w:rPr>
            </w:pPr>
            <w:r w:rsidRPr="00C421E4">
              <w:rPr>
                <w:rFonts w:ascii="Times" w:hAnsi="Times"/>
              </w:rPr>
              <w:t>-0.043</w:t>
            </w:r>
          </w:p>
        </w:tc>
        <w:tc>
          <w:tcPr>
            <w:tcW w:w="1300" w:type="dxa"/>
            <w:shd w:val="clear" w:color="auto" w:fill="auto"/>
            <w:noWrap/>
            <w:vAlign w:val="bottom"/>
            <w:hideMark/>
          </w:tcPr>
          <w:p w14:paraId="5A06CDA6" w14:textId="77777777" w:rsidR="00F7044C" w:rsidRPr="00C421E4" w:rsidRDefault="00F7044C" w:rsidP="00804E6B">
            <w:pPr>
              <w:jc w:val="right"/>
              <w:rPr>
                <w:rFonts w:ascii="Times" w:hAnsi="Times"/>
              </w:rPr>
            </w:pPr>
            <w:r w:rsidRPr="00C421E4">
              <w:rPr>
                <w:rFonts w:ascii="Times" w:hAnsi="Times"/>
              </w:rPr>
              <w:t>-0.371</w:t>
            </w:r>
          </w:p>
        </w:tc>
        <w:tc>
          <w:tcPr>
            <w:tcW w:w="1300" w:type="dxa"/>
            <w:shd w:val="clear" w:color="auto" w:fill="auto"/>
            <w:noWrap/>
            <w:vAlign w:val="bottom"/>
            <w:hideMark/>
          </w:tcPr>
          <w:p w14:paraId="520C44AD" w14:textId="77777777" w:rsidR="00F7044C" w:rsidRPr="00C421E4" w:rsidRDefault="00F7044C" w:rsidP="00804E6B">
            <w:pPr>
              <w:jc w:val="right"/>
              <w:rPr>
                <w:rFonts w:ascii="Times" w:hAnsi="Times"/>
              </w:rPr>
            </w:pPr>
            <w:r w:rsidRPr="00C421E4">
              <w:rPr>
                <w:rFonts w:ascii="Times" w:hAnsi="Times"/>
              </w:rPr>
              <w:t>0.712</w:t>
            </w:r>
          </w:p>
        </w:tc>
      </w:tr>
      <w:tr w:rsidR="00F7044C" w:rsidRPr="00C421E4" w14:paraId="6B595A6B" w14:textId="77777777" w:rsidTr="00804E6B">
        <w:trPr>
          <w:trHeight w:val="340"/>
        </w:trPr>
        <w:tc>
          <w:tcPr>
            <w:tcW w:w="1980" w:type="dxa"/>
            <w:shd w:val="clear" w:color="auto" w:fill="auto"/>
            <w:noWrap/>
            <w:vAlign w:val="center"/>
            <w:hideMark/>
          </w:tcPr>
          <w:p w14:paraId="7122D056"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bottom"/>
            <w:hideMark/>
          </w:tcPr>
          <w:p w14:paraId="5F9F72C5" w14:textId="77777777" w:rsidR="00F7044C" w:rsidRPr="00C421E4" w:rsidRDefault="00F7044C" w:rsidP="00804E6B">
            <w:pPr>
              <w:jc w:val="right"/>
              <w:rPr>
                <w:rFonts w:ascii="Times" w:hAnsi="Times"/>
              </w:rPr>
            </w:pPr>
            <w:r w:rsidRPr="00C421E4">
              <w:rPr>
                <w:rFonts w:ascii="Times" w:hAnsi="Times"/>
              </w:rPr>
              <w:t>-0.006</w:t>
            </w:r>
          </w:p>
        </w:tc>
        <w:tc>
          <w:tcPr>
            <w:tcW w:w="1300" w:type="dxa"/>
            <w:shd w:val="clear" w:color="auto" w:fill="auto"/>
            <w:noWrap/>
            <w:vAlign w:val="bottom"/>
            <w:hideMark/>
          </w:tcPr>
          <w:p w14:paraId="0302CF67" w14:textId="77777777" w:rsidR="00F7044C" w:rsidRPr="00C421E4" w:rsidRDefault="00F7044C" w:rsidP="00804E6B">
            <w:pPr>
              <w:jc w:val="right"/>
              <w:rPr>
                <w:rFonts w:ascii="Times" w:hAnsi="Times"/>
              </w:rPr>
            </w:pPr>
            <w:r w:rsidRPr="00C421E4">
              <w:rPr>
                <w:rFonts w:ascii="Times" w:hAnsi="Times"/>
              </w:rPr>
              <w:t>0.205</w:t>
            </w:r>
          </w:p>
        </w:tc>
        <w:tc>
          <w:tcPr>
            <w:tcW w:w="1300" w:type="dxa"/>
            <w:shd w:val="clear" w:color="auto" w:fill="auto"/>
            <w:noWrap/>
            <w:vAlign w:val="bottom"/>
            <w:hideMark/>
          </w:tcPr>
          <w:p w14:paraId="1DDB621C" w14:textId="77777777" w:rsidR="00F7044C" w:rsidRPr="00C421E4" w:rsidRDefault="00F7044C" w:rsidP="00804E6B">
            <w:pPr>
              <w:jc w:val="right"/>
              <w:rPr>
                <w:rFonts w:ascii="Times" w:hAnsi="Times"/>
              </w:rPr>
            </w:pPr>
            <w:r w:rsidRPr="00C421E4">
              <w:rPr>
                <w:rFonts w:ascii="Times" w:hAnsi="Times"/>
              </w:rPr>
              <w:t>-0.003</w:t>
            </w:r>
          </w:p>
        </w:tc>
        <w:tc>
          <w:tcPr>
            <w:tcW w:w="1300" w:type="dxa"/>
            <w:shd w:val="clear" w:color="auto" w:fill="auto"/>
            <w:noWrap/>
            <w:vAlign w:val="bottom"/>
            <w:hideMark/>
          </w:tcPr>
          <w:p w14:paraId="044F8ECA" w14:textId="77777777" w:rsidR="00F7044C" w:rsidRPr="00C421E4" w:rsidRDefault="00F7044C" w:rsidP="00804E6B">
            <w:pPr>
              <w:jc w:val="right"/>
              <w:rPr>
                <w:rFonts w:ascii="Times" w:hAnsi="Times"/>
              </w:rPr>
            </w:pPr>
            <w:r w:rsidRPr="00C421E4">
              <w:rPr>
                <w:rFonts w:ascii="Times" w:hAnsi="Times"/>
              </w:rPr>
              <w:t>-0.029</w:t>
            </w:r>
          </w:p>
        </w:tc>
        <w:tc>
          <w:tcPr>
            <w:tcW w:w="1300" w:type="dxa"/>
            <w:shd w:val="clear" w:color="auto" w:fill="auto"/>
            <w:noWrap/>
            <w:vAlign w:val="bottom"/>
            <w:hideMark/>
          </w:tcPr>
          <w:p w14:paraId="7B2591DA" w14:textId="77777777" w:rsidR="00F7044C" w:rsidRPr="00C421E4" w:rsidRDefault="00F7044C" w:rsidP="00804E6B">
            <w:pPr>
              <w:jc w:val="right"/>
              <w:rPr>
                <w:rFonts w:ascii="Times" w:hAnsi="Times"/>
              </w:rPr>
            </w:pPr>
            <w:r w:rsidRPr="00C421E4">
              <w:rPr>
                <w:rFonts w:ascii="Times" w:hAnsi="Times"/>
              </w:rPr>
              <w:t>0.977</w:t>
            </w:r>
          </w:p>
        </w:tc>
      </w:tr>
      <w:tr w:rsidR="00F7044C" w:rsidRPr="00C421E4" w14:paraId="6CC2E7E9" w14:textId="77777777" w:rsidTr="00804E6B">
        <w:trPr>
          <w:trHeight w:val="340"/>
        </w:trPr>
        <w:tc>
          <w:tcPr>
            <w:tcW w:w="1980" w:type="dxa"/>
            <w:shd w:val="clear" w:color="auto" w:fill="auto"/>
            <w:noWrap/>
            <w:vAlign w:val="center"/>
            <w:hideMark/>
          </w:tcPr>
          <w:p w14:paraId="5DEEAF62"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28CB2DD3" w14:textId="77777777" w:rsidR="00F7044C" w:rsidRPr="00C421E4" w:rsidRDefault="00F7044C" w:rsidP="00804E6B">
            <w:pPr>
              <w:jc w:val="right"/>
              <w:rPr>
                <w:rFonts w:ascii="Times" w:hAnsi="Times"/>
              </w:rPr>
            </w:pPr>
            <w:r w:rsidRPr="00C421E4">
              <w:rPr>
                <w:rFonts w:ascii="Times" w:hAnsi="Times"/>
              </w:rPr>
              <w:t>-0.002</w:t>
            </w:r>
          </w:p>
        </w:tc>
        <w:tc>
          <w:tcPr>
            <w:tcW w:w="1300" w:type="dxa"/>
            <w:shd w:val="clear" w:color="auto" w:fill="auto"/>
            <w:noWrap/>
            <w:vAlign w:val="bottom"/>
            <w:hideMark/>
          </w:tcPr>
          <w:p w14:paraId="15A9CEB9" w14:textId="77777777" w:rsidR="00F7044C" w:rsidRPr="00C421E4" w:rsidRDefault="00F7044C" w:rsidP="00804E6B">
            <w:pPr>
              <w:jc w:val="right"/>
              <w:rPr>
                <w:rFonts w:ascii="Times" w:hAnsi="Times"/>
              </w:rPr>
            </w:pPr>
            <w:r w:rsidRPr="00C421E4">
              <w:rPr>
                <w:rFonts w:ascii="Times" w:hAnsi="Times"/>
              </w:rPr>
              <w:t>0.013</w:t>
            </w:r>
          </w:p>
        </w:tc>
        <w:tc>
          <w:tcPr>
            <w:tcW w:w="1300" w:type="dxa"/>
            <w:shd w:val="clear" w:color="auto" w:fill="auto"/>
            <w:noWrap/>
            <w:vAlign w:val="bottom"/>
            <w:hideMark/>
          </w:tcPr>
          <w:p w14:paraId="2E6C453B" w14:textId="77777777" w:rsidR="00F7044C" w:rsidRPr="00C421E4" w:rsidRDefault="00F7044C" w:rsidP="00804E6B">
            <w:pPr>
              <w:jc w:val="right"/>
              <w:rPr>
                <w:rFonts w:ascii="Times" w:hAnsi="Times"/>
              </w:rPr>
            </w:pPr>
            <w:r w:rsidRPr="00C421E4">
              <w:rPr>
                <w:rFonts w:ascii="Times" w:hAnsi="Times"/>
              </w:rPr>
              <w:t>-0.019</w:t>
            </w:r>
          </w:p>
        </w:tc>
        <w:tc>
          <w:tcPr>
            <w:tcW w:w="1300" w:type="dxa"/>
            <w:shd w:val="clear" w:color="auto" w:fill="auto"/>
            <w:noWrap/>
            <w:vAlign w:val="bottom"/>
            <w:hideMark/>
          </w:tcPr>
          <w:p w14:paraId="0AA8C0DA" w14:textId="77777777" w:rsidR="00F7044C" w:rsidRPr="00C421E4" w:rsidRDefault="00F7044C" w:rsidP="00804E6B">
            <w:pPr>
              <w:jc w:val="right"/>
              <w:rPr>
                <w:rFonts w:ascii="Times" w:hAnsi="Times"/>
              </w:rPr>
            </w:pPr>
            <w:r w:rsidRPr="00C421E4">
              <w:rPr>
                <w:rFonts w:ascii="Times" w:hAnsi="Times"/>
              </w:rPr>
              <w:t>-0.163</w:t>
            </w:r>
          </w:p>
        </w:tc>
        <w:tc>
          <w:tcPr>
            <w:tcW w:w="1300" w:type="dxa"/>
            <w:shd w:val="clear" w:color="auto" w:fill="auto"/>
            <w:noWrap/>
            <w:vAlign w:val="bottom"/>
            <w:hideMark/>
          </w:tcPr>
          <w:p w14:paraId="06FB2B90" w14:textId="77777777" w:rsidR="00F7044C" w:rsidRPr="00C421E4" w:rsidRDefault="00F7044C" w:rsidP="00804E6B">
            <w:pPr>
              <w:jc w:val="right"/>
              <w:rPr>
                <w:rFonts w:ascii="Times" w:hAnsi="Times"/>
              </w:rPr>
            </w:pPr>
            <w:r w:rsidRPr="00C421E4">
              <w:rPr>
                <w:rFonts w:ascii="Times" w:hAnsi="Times"/>
              </w:rPr>
              <w:t>0.871</w:t>
            </w:r>
          </w:p>
        </w:tc>
      </w:tr>
      <w:tr w:rsidR="00F7044C" w:rsidRPr="00C421E4" w14:paraId="381517E9" w14:textId="77777777" w:rsidTr="00804E6B">
        <w:trPr>
          <w:trHeight w:val="340"/>
        </w:trPr>
        <w:tc>
          <w:tcPr>
            <w:tcW w:w="8480" w:type="dxa"/>
            <w:gridSpan w:val="6"/>
            <w:shd w:val="clear" w:color="auto" w:fill="auto"/>
            <w:noWrap/>
            <w:vAlign w:val="center"/>
            <w:hideMark/>
          </w:tcPr>
          <w:p w14:paraId="0C47C31E"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636F9D5C" w14:textId="77777777" w:rsidTr="00804E6B">
        <w:trPr>
          <w:trHeight w:val="340"/>
        </w:trPr>
        <w:tc>
          <w:tcPr>
            <w:tcW w:w="1980" w:type="dxa"/>
            <w:shd w:val="clear" w:color="auto" w:fill="auto"/>
            <w:noWrap/>
            <w:vAlign w:val="center"/>
            <w:hideMark/>
          </w:tcPr>
          <w:p w14:paraId="1C432076"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56410809" w14:textId="77777777" w:rsidR="00F7044C" w:rsidRPr="00C421E4" w:rsidRDefault="00F7044C" w:rsidP="00804E6B">
            <w:pPr>
              <w:jc w:val="right"/>
              <w:rPr>
                <w:rFonts w:ascii="Times" w:hAnsi="Times"/>
              </w:rPr>
            </w:pPr>
            <w:r w:rsidRPr="00C421E4">
              <w:rPr>
                <w:rFonts w:ascii="Times" w:hAnsi="Times"/>
              </w:rPr>
              <w:t>0.02</w:t>
            </w:r>
          </w:p>
        </w:tc>
        <w:tc>
          <w:tcPr>
            <w:tcW w:w="1300" w:type="dxa"/>
            <w:shd w:val="clear" w:color="auto" w:fill="auto"/>
            <w:noWrap/>
            <w:vAlign w:val="bottom"/>
            <w:hideMark/>
          </w:tcPr>
          <w:p w14:paraId="17DE31D1" w14:textId="77777777" w:rsidR="00F7044C" w:rsidRPr="00C421E4" w:rsidRDefault="00F7044C" w:rsidP="00804E6B">
            <w:pPr>
              <w:jc w:val="right"/>
              <w:rPr>
                <w:rFonts w:ascii="Times" w:hAnsi="Times"/>
              </w:rPr>
            </w:pPr>
            <w:r w:rsidRPr="00C421E4">
              <w:rPr>
                <w:rFonts w:ascii="Times" w:hAnsi="Times"/>
              </w:rPr>
              <w:t>0.167</w:t>
            </w:r>
          </w:p>
        </w:tc>
        <w:tc>
          <w:tcPr>
            <w:tcW w:w="1300" w:type="dxa"/>
            <w:shd w:val="clear" w:color="auto" w:fill="auto"/>
            <w:noWrap/>
            <w:vAlign w:val="bottom"/>
            <w:hideMark/>
          </w:tcPr>
          <w:p w14:paraId="4229CBA8" w14:textId="77777777" w:rsidR="00F7044C" w:rsidRPr="00C421E4" w:rsidRDefault="00F7044C" w:rsidP="00804E6B">
            <w:pPr>
              <w:jc w:val="right"/>
              <w:rPr>
                <w:rFonts w:ascii="Times" w:hAnsi="Times"/>
              </w:rPr>
            </w:pPr>
            <w:r w:rsidRPr="00C421E4">
              <w:rPr>
                <w:rFonts w:ascii="Times" w:hAnsi="Times"/>
              </w:rPr>
              <w:t>0.013</w:t>
            </w:r>
          </w:p>
        </w:tc>
        <w:tc>
          <w:tcPr>
            <w:tcW w:w="1300" w:type="dxa"/>
            <w:shd w:val="clear" w:color="auto" w:fill="auto"/>
            <w:noWrap/>
            <w:vAlign w:val="bottom"/>
            <w:hideMark/>
          </w:tcPr>
          <w:p w14:paraId="5876D6BA" w14:textId="77777777" w:rsidR="00F7044C" w:rsidRPr="00C421E4" w:rsidRDefault="00F7044C" w:rsidP="00804E6B">
            <w:pPr>
              <w:jc w:val="right"/>
              <w:rPr>
                <w:rFonts w:ascii="Times" w:hAnsi="Times"/>
              </w:rPr>
            </w:pPr>
            <w:r w:rsidRPr="00C421E4">
              <w:rPr>
                <w:rFonts w:ascii="Times" w:hAnsi="Times"/>
              </w:rPr>
              <w:t>0.118</w:t>
            </w:r>
          </w:p>
        </w:tc>
        <w:tc>
          <w:tcPr>
            <w:tcW w:w="1300" w:type="dxa"/>
            <w:shd w:val="clear" w:color="auto" w:fill="auto"/>
            <w:noWrap/>
            <w:vAlign w:val="bottom"/>
            <w:hideMark/>
          </w:tcPr>
          <w:p w14:paraId="62189095" w14:textId="77777777" w:rsidR="00F7044C" w:rsidRPr="00C421E4" w:rsidRDefault="00F7044C" w:rsidP="00804E6B">
            <w:pPr>
              <w:jc w:val="right"/>
              <w:rPr>
                <w:rFonts w:ascii="Times" w:hAnsi="Times"/>
              </w:rPr>
            </w:pPr>
            <w:r w:rsidRPr="00C421E4">
              <w:rPr>
                <w:rFonts w:ascii="Times" w:hAnsi="Times"/>
              </w:rPr>
              <w:t>0.906</w:t>
            </w:r>
          </w:p>
        </w:tc>
      </w:tr>
      <w:tr w:rsidR="00F7044C" w:rsidRPr="00C421E4" w14:paraId="789FF166" w14:textId="77777777" w:rsidTr="00804E6B">
        <w:trPr>
          <w:trHeight w:val="340"/>
        </w:trPr>
        <w:tc>
          <w:tcPr>
            <w:tcW w:w="1980" w:type="dxa"/>
            <w:shd w:val="clear" w:color="auto" w:fill="auto"/>
            <w:noWrap/>
            <w:vAlign w:val="center"/>
            <w:hideMark/>
          </w:tcPr>
          <w:p w14:paraId="4BF4CE94"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09A5DCC9" w14:textId="77777777" w:rsidR="00F7044C" w:rsidRPr="00C421E4" w:rsidRDefault="00F7044C" w:rsidP="00804E6B">
            <w:pPr>
              <w:jc w:val="right"/>
              <w:rPr>
                <w:rFonts w:ascii="Times" w:hAnsi="Times"/>
              </w:rPr>
            </w:pPr>
            <w:r w:rsidRPr="00C421E4">
              <w:rPr>
                <w:rFonts w:ascii="Times" w:hAnsi="Times"/>
              </w:rPr>
              <w:t>0.074</w:t>
            </w:r>
          </w:p>
        </w:tc>
        <w:tc>
          <w:tcPr>
            <w:tcW w:w="1300" w:type="dxa"/>
            <w:shd w:val="clear" w:color="auto" w:fill="auto"/>
            <w:noWrap/>
            <w:vAlign w:val="bottom"/>
            <w:hideMark/>
          </w:tcPr>
          <w:p w14:paraId="3B13B667" w14:textId="77777777" w:rsidR="00F7044C" w:rsidRPr="00C421E4" w:rsidRDefault="00F7044C" w:rsidP="00804E6B">
            <w:pPr>
              <w:jc w:val="right"/>
              <w:rPr>
                <w:rFonts w:ascii="Times" w:hAnsi="Times"/>
              </w:rPr>
            </w:pPr>
            <w:r w:rsidRPr="00C421E4">
              <w:rPr>
                <w:rFonts w:ascii="Times" w:hAnsi="Times"/>
              </w:rPr>
              <w:t>0.086</w:t>
            </w:r>
          </w:p>
        </w:tc>
        <w:tc>
          <w:tcPr>
            <w:tcW w:w="1300" w:type="dxa"/>
            <w:shd w:val="clear" w:color="auto" w:fill="auto"/>
            <w:noWrap/>
            <w:vAlign w:val="bottom"/>
            <w:hideMark/>
          </w:tcPr>
          <w:p w14:paraId="7E496DC6" w14:textId="77777777" w:rsidR="00F7044C" w:rsidRPr="00C421E4" w:rsidRDefault="00F7044C" w:rsidP="00804E6B">
            <w:pPr>
              <w:jc w:val="right"/>
              <w:rPr>
                <w:rFonts w:ascii="Times" w:hAnsi="Times"/>
              </w:rPr>
            </w:pPr>
            <w:r w:rsidRPr="00C421E4">
              <w:rPr>
                <w:rFonts w:ascii="Times" w:hAnsi="Times"/>
              </w:rPr>
              <w:t>0.092</w:t>
            </w:r>
          </w:p>
        </w:tc>
        <w:tc>
          <w:tcPr>
            <w:tcW w:w="1300" w:type="dxa"/>
            <w:shd w:val="clear" w:color="auto" w:fill="auto"/>
            <w:noWrap/>
            <w:vAlign w:val="bottom"/>
            <w:hideMark/>
          </w:tcPr>
          <w:p w14:paraId="62053565" w14:textId="77777777" w:rsidR="00F7044C" w:rsidRPr="00C421E4" w:rsidRDefault="00F7044C" w:rsidP="00804E6B">
            <w:pPr>
              <w:jc w:val="right"/>
              <w:rPr>
                <w:rFonts w:ascii="Times" w:hAnsi="Times"/>
              </w:rPr>
            </w:pPr>
            <w:r w:rsidRPr="00C421E4">
              <w:rPr>
                <w:rFonts w:ascii="Times" w:hAnsi="Times"/>
              </w:rPr>
              <w:t>0.863</w:t>
            </w:r>
          </w:p>
        </w:tc>
        <w:tc>
          <w:tcPr>
            <w:tcW w:w="1300" w:type="dxa"/>
            <w:shd w:val="clear" w:color="auto" w:fill="auto"/>
            <w:noWrap/>
            <w:vAlign w:val="bottom"/>
            <w:hideMark/>
          </w:tcPr>
          <w:p w14:paraId="7CDE5641" w14:textId="77777777" w:rsidR="00F7044C" w:rsidRPr="00C421E4" w:rsidRDefault="00F7044C" w:rsidP="00804E6B">
            <w:pPr>
              <w:jc w:val="right"/>
              <w:rPr>
                <w:rFonts w:ascii="Times" w:hAnsi="Times"/>
              </w:rPr>
            </w:pPr>
            <w:r w:rsidRPr="00C421E4">
              <w:rPr>
                <w:rFonts w:ascii="Times" w:hAnsi="Times"/>
              </w:rPr>
              <w:t>0.39</w:t>
            </w:r>
          </w:p>
        </w:tc>
      </w:tr>
      <w:tr w:rsidR="00F7044C" w:rsidRPr="00C421E4" w14:paraId="0628B339" w14:textId="77777777" w:rsidTr="00804E6B">
        <w:trPr>
          <w:trHeight w:val="340"/>
        </w:trPr>
        <w:tc>
          <w:tcPr>
            <w:tcW w:w="1980" w:type="dxa"/>
            <w:shd w:val="clear" w:color="auto" w:fill="auto"/>
            <w:noWrap/>
            <w:vAlign w:val="center"/>
            <w:hideMark/>
          </w:tcPr>
          <w:p w14:paraId="2AFCC493"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3E0E123F" w14:textId="77777777" w:rsidR="00F7044C" w:rsidRPr="00C421E4" w:rsidRDefault="00F7044C" w:rsidP="00804E6B">
            <w:pPr>
              <w:jc w:val="right"/>
              <w:rPr>
                <w:rFonts w:ascii="Times" w:hAnsi="Times"/>
              </w:rPr>
            </w:pPr>
            <w:r w:rsidRPr="00C421E4">
              <w:rPr>
                <w:rFonts w:ascii="Times" w:hAnsi="Times"/>
              </w:rPr>
              <w:t>-0.336</w:t>
            </w:r>
          </w:p>
        </w:tc>
        <w:tc>
          <w:tcPr>
            <w:tcW w:w="1300" w:type="dxa"/>
            <w:shd w:val="clear" w:color="auto" w:fill="auto"/>
            <w:noWrap/>
            <w:vAlign w:val="bottom"/>
            <w:hideMark/>
          </w:tcPr>
          <w:p w14:paraId="3CDEC25E" w14:textId="77777777" w:rsidR="00F7044C" w:rsidRPr="00C421E4" w:rsidRDefault="00F7044C" w:rsidP="00804E6B">
            <w:pPr>
              <w:jc w:val="right"/>
              <w:rPr>
                <w:rFonts w:ascii="Times" w:hAnsi="Times"/>
              </w:rPr>
            </w:pPr>
            <w:r w:rsidRPr="00C421E4">
              <w:rPr>
                <w:rFonts w:ascii="Times" w:hAnsi="Times"/>
              </w:rPr>
              <w:t>0.445</w:t>
            </w:r>
          </w:p>
        </w:tc>
        <w:tc>
          <w:tcPr>
            <w:tcW w:w="1300" w:type="dxa"/>
            <w:shd w:val="clear" w:color="auto" w:fill="auto"/>
            <w:noWrap/>
            <w:vAlign w:val="bottom"/>
            <w:hideMark/>
          </w:tcPr>
          <w:p w14:paraId="48D374ED" w14:textId="77777777" w:rsidR="00F7044C" w:rsidRPr="00C421E4" w:rsidRDefault="00F7044C" w:rsidP="00804E6B">
            <w:pPr>
              <w:jc w:val="right"/>
              <w:rPr>
                <w:rFonts w:ascii="Times" w:hAnsi="Times"/>
              </w:rPr>
            </w:pPr>
            <w:r w:rsidRPr="00C421E4">
              <w:rPr>
                <w:rFonts w:ascii="Times" w:hAnsi="Times"/>
              </w:rPr>
              <w:t>-0.087</w:t>
            </w:r>
          </w:p>
        </w:tc>
        <w:tc>
          <w:tcPr>
            <w:tcW w:w="1300" w:type="dxa"/>
            <w:shd w:val="clear" w:color="auto" w:fill="auto"/>
            <w:noWrap/>
            <w:vAlign w:val="bottom"/>
            <w:hideMark/>
          </w:tcPr>
          <w:p w14:paraId="73398DB3" w14:textId="77777777" w:rsidR="00F7044C" w:rsidRPr="00C421E4" w:rsidRDefault="00F7044C" w:rsidP="00804E6B">
            <w:pPr>
              <w:jc w:val="right"/>
              <w:rPr>
                <w:rFonts w:ascii="Times" w:hAnsi="Times"/>
              </w:rPr>
            </w:pPr>
            <w:r w:rsidRPr="00C421E4">
              <w:rPr>
                <w:rFonts w:ascii="Times" w:hAnsi="Times"/>
              </w:rPr>
              <w:t>-0.754</w:t>
            </w:r>
          </w:p>
        </w:tc>
        <w:tc>
          <w:tcPr>
            <w:tcW w:w="1300" w:type="dxa"/>
            <w:shd w:val="clear" w:color="auto" w:fill="auto"/>
            <w:noWrap/>
            <w:vAlign w:val="bottom"/>
            <w:hideMark/>
          </w:tcPr>
          <w:p w14:paraId="01FDF18F" w14:textId="77777777" w:rsidR="00F7044C" w:rsidRPr="00C421E4" w:rsidRDefault="00F7044C" w:rsidP="00804E6B">
            <w:pPr>
              <w:jc w:val="right"/>
              <w:rPr>
                <w:rFonts w:ascii="Times" w:hAnsi="Times"/>
              </w:rPr>
            </w:pPr>
            <w:r w:rsidRPr="00C421E4">
              <w:rPr>
                <w:rFonts w:ascii="Times" w:hAnsi="Times"/>
              </w:rPr>
              <w:t>0.453</w:t>
            </w:r>
          </w:p>
        </w:tc>
      </w:tr>
      <w:tr w:rsidR="00F7044C" w:rsidRPr="00C421E4" w14:paraId="3C2B515C" w14:textId="77777777" w:rsidTr="00804E6B">
        <w:trPr>
          <w:trHeight w:val="340"/>
        </w:trPr>
        <w:tc>
          <w:tcPr>
            <w:tcW w:w="1980" w:type="dxa"/>
            <w:shd w:val="clear" w:color="auto" w:fill="auto"/>
            <w:noWrap/>
            <w:vAlign w:val="center"/>
            <w:hideMark/>
          </w:tcPr>
          <w:p w14:paraId="627054FE" w14:textId="77777777" w:rsidR="00F7044C" w:rsidRPr="00C421E4" w:rsidRDefault="00F7044C" w:rsidP="00804E6B">
            <w:pPr>
              <w:rPr>
                <w:rFonts w:ascii="Times" w:hAnsi="Times"/>
              </w:rPr>
            </w:pPr>
            <w:r w:rsidRPr="00C421E4">
              <w:rPr>
                <w:rFonts w:ascii="Times" w:hAnsi="Times"/>
              </w:rPr>
              <w:t>Zygomaticus tone</w:t>
            </w:r>
          </w:p>
        </w:tc>
        <w:tc>
          <w:tcPr>
            <w:tcW w:w="1300" w:type="dxa"/>
            <w:shd w:val="clear" w:color="auto" w:fill="auto"/>
            <w:noWrap/>
            <w:vAlign w:val="bottom"/>
            <w:hideMark/>
          </w:tcPr>
          <w:p w14:paraId="0A798975" w14:textId="77777777" w:rsidR="00F7044C" w:rsidRPr="00C421E4" w:rsidRDefault="00F7044C" w:rsidP="00804E6B">
            <w:pPr>
              <w:jc w:val="right"/>
              <w:rPr>
                <w:rFonts w:ascii="Times" w:hAnsi="Times"/>
              </w:rPr>
            </w:pPr>
            <w:r w:rsidRPr="00C421E4">
              <w:rPr>
                <w:rFonts w:ascii="Times" w:hAnsi="Times"/>
              </w:rPr>
              <w:t>0.109</w:t>
            </w:r>
          </w:p>
        </w:tc>
        <w:tc>
          <w:tcPr>
            <w:tcW w:w="1300" w:type="dxa"/>
            <w:shd w:val="clear" w:color="auto" w:fill="auto"/>
            <w:noWrap/>
            <w:vAlign w:val="bottom"/>
            <w:hideMark/>
          </w:tcPr>
          <w:p w14:paraId="739AF4FD" w14:textId="77777777" w:rsidR="00F7044C" w:rsidRPr="00C421E4" w:rsidRDefault="00F7044C" w:rsidP="00804E6B">
            <w:pPr>
              <w:jc w:val="right"/>
              <w:rPr>
                <w:rFonts w:ascii="Times" w:hAnsi="Times"/>
              </w:rPr>
            </w:pPr>
            <w:r w:rsidRPr="00C421E4">
              <w:rPr>
                <w:rFonts w:ascii="Times" w:hAnsi="Times"/>
              </w:rPr>
              <w:t>0.084</w:t>
            </w:r>
          </w:p>
        </w:tc>
        <w:tc>
          <w:tcPr>
            <w:tcW w:w="1300" w:type="dxa"/>
            <w:shd w:val="clear" w:color="auto" w:fill="auto"/>
            <w:noWrap/>
            <w:vAlign w:val="bottom"/>
            <w:hideMark/>
          </w:tcPr>
          <w:p w14:paraId="1AB5838D" w14:textId="77777777" w:rsidR="00F7044C" w:rsidRPr="00C421E4" w:rsidRDefault="00F7044C" w:rsidP="00804E6B">
            <w:pPr>
              <w:jc w:val="right"/>
              <w:rPr>
                <w:rFonts w:ascii="Times" w:hAnsi="Times"/>
              </w:rPr>
            </w:pPr>
            <w:r w:rsidRPr="00C421E4">
              <w:rPr>
                <w:rFonts w:ascii="Times" w:hAnsi="Times"/>
              </w:rPr>
              <w:t>0.148</w:t>
            </w:r>
          </w:p>
        </w:tc>
        <w:tc>
          <w:tcPr>
            <w:tcW w:w="1300" w:type="dxa"/>
            <w:shd w:val="clear" w:color="auto" w:fill="auto"/>
            <w:noWrap/>
            <w:vAlign w:val="bottom"/>
            <w:hideMark/>
          </w:tcPr>
          <w:p w14:paraId="40847298" w14:textId="77777777" w:rsidR="00F7044C" w:rsidRPr="00C421E4" w:rsidRDefault="00F7044C" w:rsidP="00804E6B">
            <w:pPr>
              <w:jc w:val="right"/>
              <w:rPr>
                <w:rFonts w:ascii="Times" w:hAnsi="Times"/>
              </w:rPr>
            </w:pPr>
            <w:r w:rsidRPr="00C421E4">
              <w:rPr>
                <w:rFonts w:ascii="Times" w:hAnsi="Times"/>
              </w:rPr>
              <w:t>1.296</w:t>
            </w:r>
          </w:p>
        </w:tc>
        <w:tc>
          <w:tcPr>
            <w:tcW w:w="1300" w:type="dxa"/>
            <w:shd w:val="clear" w:color="auto" w:fill="auto"/>
            <w:noWrap/>
            <w:vAlign w:val="bottom"/>
            <w:hideMark/>
          </w:tcPr>
          <w:p w14:paraId="342CF7CD" w14:textId="77777777" w:rsidR="00F7044C" w:rsidRPr="00C421E4" w:rsidRDefault="00F7044C" w:rsidP="00804E6B">
            <w:pPr>
              <w:jc w:val="right"/>
              <w:rPr>
                <w:rFonts w:ascii="Times" w:hAnsi="Times"/>
              </w:rPr>
            </w:pPr>
            <w:r w:rsidRPr="00C421E4">
              <w:rPr>
                <w:rFonts w:ascii="Times" w:hAnsi="Times"/>
              </w:rPr>
              <w:t>0.199</w:t>
            </w:r>
          </w:p>
        </w:tc>
      </w:tr>
      <w:tr w:rsidR="00F7044C" w:rsidRPr="00C421E4" w14:paraId="771A271C" w14:textId="77777777" w:rsidTr="00804E6B">
        <w:trPr>
          <w:trHeight w:val="340"/>
        </w:trPr>
        <w:tc>
          <w:tcPr>
            <w:tcW w:w="1980" w:type="dxa"/>
            <w:shd w:val="clear" w:color="auto" w:fill="auto"/>
            <w:noWrap/>
            <w:vAlign w:val="center"/>
            <w:hideMark/>
          </w:tcPr>
          <w:p w14:paraId="64DD00C0"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0D72A6C9" w14:textId="77777777" w:rsidR="00F7044C" w:rsidRPr="00C421E4" w:rsidRDefault="00F7044C" w:rsidP="00804E6B">
            <w:pPr>
              <w:jc w:val="right"/>
              <w:rPr>
                <w:rFonts w:ascii="Times" w:hAnsi="Times"/>
              </w:rPr>
            </w:pPr>
            <w:r w:rsidRPr="00C421E4">
              <w:rPr>
                <w:rFonts w:ascii="Times" w:hAnsi="Times"/>
              </w:rPr>
              <w:t>0.008</w:t>
            </w:r>
          </w:p>
        </w:tc>
        <w:tc>
          <w:tcPr>
            <w:tcW w:w="1300" w:type="dxa"/>
            <w:shd w:val="clear" w:color="auto" w:fill="auto"/>
            <w:noWrap/>
            <w:vAlign w:val="bottom"/>
            <w:hideMark/>
          </w:tcPr>
          <w:p w14:paraId="0275291E" w14:textId="77777777" w:rsidR="00F7044C" w:rsidRPr="00C421E4" w:rsidRDefault="00F7044C" w:rsidP="00804E6B">
            <w:pPr>
              <w:jc w:val="right"/>
              <w:rPr>
                <w:rFonts w:ascii="Times" w:hAnsi="Times"/>
              </w:rPr>
            </w:pPr>
            <w:r w:rsidRPr="00C421E4">
              <w:rPr>
                <w:rFonts w:ascii="Times" w:hAnsi="Times"/>
              </w:rPr>
              <w:t>0.012</w:t>
            </w:r>
          </w:p>
        </w:tc>
        <w:tc>
          <w:tcPr>
            <w:tcW w:w="1300" w:type="dxa"/>
            <w:shd w:val="clear" w:color="auto" w:fill="auto"/>
            <w:noWrap/>
            <w:vAlign w:val="bottom"/>
            <w:hideMark/>
          </w:tcPr>
          <w:p w14:paraId="63B70AEF" w14:textId="77777777" w:rsidR="00F7044C" w:rsidRPr="00C421E4" w:rsidRDefault="00F7044C" w:rsidP="00804E6B">
            <w:pPr>
              <w:jc w:val="right"/>
              <w:rPr>
                <w:rFonts w:ascii="Times" w:hAnsi="Times"/>
              </w:rPr>
            </w:pPr>
            <w:r w:rsidRPr="00C421E4">
              <w:rPr>
                <w:rFonts w:ascii="Times" w:hAnsi="Times"/>
              </w:rPr>
              <w:t>0.08</w:t>
            </w:r>
          </w:p>
        </w:tc>
        <w:tc>
          <w:tcPr>
            <w:tcW w:w="1300" w:type="dxa"/>
            <w:shd w:val="clear" w:color="auto" w:fill="auto"/>
            <w:noWrap/>
            <w:vAlign w:val="bottom"/>
            <w:hideMark/>
          </w:tcPr>
          <w:p w14:paraId="002B6506" w14:textId="77777777" w:rsidR="00F7044C" w:rsidRPr="00C421E4" w:rsidRDefault="00F7044C" w:rsidP="00804E6B">
            <w:pPr>
              <w:jc w:val="right"/>
              <w:rPr>
                <w:rFonts w:ascii="Times" w:hAnsi="Times"/>
              </w:rPr>
            </w:pPr>
            <w:r w:rsidRPr="00C421E4">
              <w:rPr>
                <w:rFonts w:ascii="Times" w:hAnsi="Times"/>
              </w:rPr>
              <w:t>0.671</w:t>
            </w:r>
          </w:p>
        </w:tc>
        <w:tc>
          <w:tcPr>
            <w:tcW w:w="1300" w:type="dxa"/>
            <w:shd w:val="clear" w:color="auto" w:fill="auto"/>
            <w:noWrap/>
            <w:vAlign w:val="bottom"/>
            <w:hideMark/>
          </w:tcPr>
          <w:p w14:paraId="1BCF3467" w14:textId="77777777" w:rsidR="00F7044C" w:rsidRPr="00C421E4" w:rsidRDefault="00F7044C" w:rsidP="00804E6B">
            <w:pPr>
              <w:jc w:val="right"/>
              <w:rPr>
                <w:rFonts w:ascii="Times" w:hAnsi="Times"/>
              </w:rPr>
            </w:pPr>
            <w:r w:rsidRPr="00C421E4">
              <w:rPr>
                <w:rFonts w:ascii="Times" w:hAnsi="Times"/>
              </w:rPr>
              <w:t>0.504</w:t>
            </w:r>
          </w:p>
        </w:tc>
      </w:tr>
    </w:tbl>
    <w:p w14:paraId="415B67A4" w14:textId="77777777" w:rsidR="00F7044C" w:rsidRDefault="00F7044C" w:rsidP="00F7044C">
      <w:pPr>
        <w:rPr>
          <w:rFonts w:ascii="Times" w:hAnsi="Times"/>
        </w:rPr>
      </w:pPr>
    </w:p>
    <w:p w14:paraId="6AA3CBD4" w14:textId="77777777" w:rsidR="00F7044C" w:rsidRPr="00C421E4" w:rsidRDefault="00F7044C" w:rsidP="00F7044C">
      <w:pPr>
        <w:spacing w:line="480" w:lineRule="auto"/>
        <w:rPr>
          <w:rFonts w:ascii="Times" w:hAnsi="Times"/>
        </w:rPr>
      </w:pPr>
      <w:r>
        <w:rPr>
          <w:rFonts w:ascii="Times" w:hAnsi="Times"/>
        </w:rPr>
        <w:t>Table 7</w:t>
      </w:r>
      <w:r w:rsidRPr="00C421E4">
        <w:rPr>
          <w:rFonts w:ascii="Times" w:hAnsi="Times"/>
        </w:rPr>
        <w:t xml:space="preserve">: Regression results for main effects predicting depressive symptoms. Bold indicates statistical significance. </w:t>
      </w:r>
    </w:p>
    <w:p w14:paraId="28CF6845" w14:textId="77777777" w:rsidR="00F7044C" w:rsidRPr="00C421E4" w:rsidRDefault="00F7044C" w:rsidP="00F7044C">
      <w:pPr>
        <w:rPr>
          <w:rFonts w:ascii="Times" w:hAnsi="Times"/>
        </w:rPr>
      </w:pPr>
      <w:r w:rsidRPr="00C421E4">
        <w:rPr>
          <w:rFonts w:ascii="Times" w:hAnsi="Times"/>
        </w:rPr>
        <w:br w:type="page"/>
      </w:r>
    </w:p>
    <w:p w14:paraId="37DFFA41" w14:textId="77777777" w:rsidR="00F7044C" w:rsidRPr="00C421E4" w:rsidRDefault="00F7044C" w:rsidP="00F7044C">
      <w:pPr>
        <w:rPr>
          <w:rFonts w:ascii="Times" w:hAnsi="Times"/>
        </w:rPr>
      </w:pPr>
    </w:p>
    <w:tbl>
      <w:tblPr>
        <w:tblW w:w="90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1300"/>
        <w:gridCol w:w="1300"/>
        <w:gridCol w:w="1300"/>
        <w:gridCol w:w="1300"/>
        <w:gridCol w:w="1300"/>
      </w:tblGrid>
      <w:tr w:rsidR="00F7044C" w:rsidRPr="00C421E4" w14:paraId="7039590D" w14:textId="77777777" w:rsidTr="00804E6B">
        <w:trPr>
          <w:trHeight w:val="340"/>
        </w:trPr>
        <w:tc>
          <w:tcPr>
            <w:tcW w:w="2520" w:type="dxa"/>
            <w:shd w:val="clear" w:color="auto" w:fill="auto"/>
            <w:noWrap/>
            <w:vAlign w:val="bottom"/>
            <w:hideMark/>
          </w:tcPr>
          <w:p w14:paraId="26906BA1" w14:textId="77777777" w:rsidR="00F7044C" w:rsidRPr="00C421E4" w:rsidRDefault="00F7044C" w:rsidP="00804E6B">
            <w:pPr>
              <w:rPr>
                <w:rFonts w:ascii="Times" w:hAnsi="Times"/>
              </w:rPr>
            </w:pPr>
            <w:r w:rsidRPr="00C421E4">
              <w:rPr>
                <w:rFonts w:ascii="Times" w:hAnsi="Times"/>
              </w:rPr>
              <w:t> </w:t>
            </w:r>
          </w:p>
        </w:tc>
        <w:tc>
          <w:tcPr>
            <w:tcW w:w="1300" w:type="dxa"/>
            <w:shd w:val="clear" w:color="auto" w:fill="auto"/>
            <w:noWrap/>
            <w:vAlign w:val="center"/>
            <w:hideMark/>
          </w:tcPr>
          <w:p w14:paraId="0D7DB511" w14:textId="77777777" w:rsidR="00F7044C" w:rsidRPr="00C421E4" w:rsidRDefault="00F7044C" w:rsidP="00804E6B">
            <w:pPr>
              <w:rPr>
                <w:rFonts w:ascii="Times" w:hAnsi="Times"/>
              </w:rPr>
            </w:pPr>
            <w:r w:rsidRPr="00C421E4">
              <w:rPr>
                <w:rFonts w:ascii="Times" w:hAnsi="Times"/>
              </w:rPr>
              <w:t>B</w:t>
            </w:r>
          </w:p>
        </w:tc>
        <w:tc>
          <w:tcPr>
            <w:tcW w:w="1300" w:type="dxa"/>
            <w:shd w:val="clear" w:color="auto" w:fill="auto"/>
            <w:noWrap/>
            <w:vAlign w:val="center"/>
            <w:hideMark/>
          </w:tcPr>
          <w:p w14:paraId="2A97FBC8" w14:textId="77777777" w:rsidR="00F7044C" w:rsidRPr="00C421E4" w:rsidRDefault="00F7044C" w:rsidP="00804E6B">
            <w:pPr>
              <w:rPr>
                <w:rFonts w:ascii="Times" w:hAnsi="Times"/>
              </w:rPr>
            </w:pPr>
            <w:r w:rsidRPr="00C421E4">
              <w:rPr>
                <w:rFonts w:ascii="Times" w:hAnsi="Times"/>
              </w:rPr>
              <w:t>Std. Error</w:t>
            </w:r>
          </w:p>
        </w:tc>
        <w:tc>
          <w:tcPr>
            <w:tcW w:w="1300" w:type="dxa"/>
            <w:shd w:val="clear" w:color="auto" w:fill="auto"/>
            <w:noWrap/>
            <w:vAlign w:val="center"/>
            <w:hideMark/>
          </w:tcPr>
          <w:p w14:paraId="23A300BF" w14:textId="77777777" w:rsidR="00F7044C" w:rsidRPr="00C421E4" w:rsidRDefault="00F7044C" w:rsidP="00804E6B">
            <w:pPr>
              <w:rPr>
                <w:rFonts w:ascii="Times" w:hAnsi="Times"/>
              </w:rPr>
            </w:pPr>
            <w:r w:rsidRPr="00C421E4">
              <w:rPr>
                <w:rFonts w:ascii="Times" w:hAnsi="Times"/>
              </w:rPr>
              <w:t>Beta</w:t>
            </w:r>
          </w:p>
        </w:tc>
        <w:tc>
          <w:tcPr>
            <w:tcW w:w="1300" w:type="dxa"/>
            <w:shd w:val="clear" w:color="auto" w:fill="auto"/>
            <w:noWrap/>
            <w:vAlign w:val="center"/>
            <w:hideMark/>
          </w:tcPr>
          <w:p w14:paraId="3F60781A" w14:textId="77777777" w:rsidR="00F7044C" w:rsidRPr="00C421E4" w:rsidRDefault="00F7044C" w:rsidP="00804E6B">
            <w:pPr>
              <w:rPr>
                <w:rFonts w:ascii="Times" w:hAnsi="Times"/>
              </w:rPr>
            </w:pPr>
            <w:r w:rsidRPr="00C421E4">
              <w:rPr>
                <w:rFonts w:ascii="Times" w:hAnsi="Times"/>
              </w:rPr>
              <w:t>T</w:t>
            </w:r>
          </w:p>
        </w:tc>
        <w:tc>
          <w:tcPr>
            <w:tcW w:w="1300" w:type="dxa"/>
            <w:shd w:val="clear" w:color="auto" w:fill="auto"/>
            <w:noWrap/>
            <w:vAlign w:val="center"/>
            <w:hideMark/>
          </w:tcPr>
          <w:p w14:paraId="72EC59AE" w14:textId="77777777" w:rsidR="00F7044C" w:rsidRPr="00C421E4" w:rsidRDefault="00F7044C" w:rsidP="00804E6B">
            <w:pPr>
              <w:rPr>
                <w:rFonts w:ascii="Times" w:hAnsi="Times"/>
              </w:rPr>
            </w:pPr>
            <w:r w:rsidRPr="00C421E4">
              <w:rPr>
                <w:rFonts w:ascii="Times" w:hAnsi="Times"/>
              </w:rPr>
              <w:t>Sig.</w:t>
            </w:r>
          </w:p>
        </w:tc>
      </w:tr>
      <w:tr w:rsidR="00F7044C" w:rsidRPr="00C421E4" w14:paraId="7FB6BE54" w14:textId="77777777" w:rsidTr="00804E6B">
        <w:trPr>
          <w:trHeight w:val="340"/>
        </w:trPr>
        <w:tc>
          <w:tcPr>
            <w:tcW w:w="9020" w:type="dxa"/>
            <w:gridSpan w:val="6"/>
            <w:shd w:val="clear" w:color="auto" w:fill="auto"/>
            <w:noWrap/>
            <w:vAlign w:val="center"/>
            <w:hideMark/>
          </w:tcPr>
          <w:p w14:paraId="631A36D7"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4BC6814E" w14:textId="77777777" w:rsidTr="00804E6B">
        <w:trPr>
          <w:trHeight w:val="340"/>
        </w:trPr>
        <w:tc>
          <w:tcPr>
            <w:tcW w:w="2520" w:type="dxa"/>
            <w:shd w:val="clear" w:color="auto" w:fill="auto"/>
            <w:noWrap/>
            <w:vAlign w:val="center"/>
            <w:hideMark/>
          </w:tcPr>
          <w:p w14:paraId="20B08FC2"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3087C70A" w14:textId="77777777" w:rsidR="00F7044C" w:rsidRPr="00C421E4" w:rsidRDefault="00F7044C" w:rsidP="00804E6B">
            <w:pPr>
              <w:jc w:val="right"/>
              <w:rPr>
                <w:rFonts w:ascii="Times" w:hAnsi="Times"/>
              </w:rPr>
            </w:pPr>
            <w:r w:rsidRPr="00C421E4">
              <w:rPr>
                <w:rFonts w:ascii="Times" w:hAnsi="Times"/>
              </w:rPr>
              <w:t>4.791</w:t>
            </w:r>
          </w:p>
        </w:tc>
        <w:tc>
          <w:tcPr>
            <w:tcW w:w="1300" w:type="dxa"/>
            <w:shd w:val="clear" w:color="auto" w:fill="auto"/>
            <w:noWrap/>
            <w:vAlign w:val="bottom"/>
            <w:hideMark/>
          </w:tcPr>
          <w:p w14:paraId="63EBA1FF" w14:textId="77777777" w:rsidR="00F7044C" w:rsidRPr="00C421E4" w:rsidRDefault="00F7044C" w:rsidP="00804E6B">
            <w:pPr>
              <w:jc w:val="right"/>
              <w:rPr>
                <w:rFonts w:ascii="Times" w:hAnsi="Times"/>
              </w:rPr>
            </w:pPr>
            <w:r w:rsidRPr="00C421E4">
              <w:rPr>
                <w:rFonts w:ascii="Times" w:hAnsi="Times"/>
              </w:rPr>
              <w:t>2.524</w:t>
            </w:r>
          </w:p>
        </w:tc>
        <w:tc>
          <w:tcPr>
            <w:tcW w:w="1300" w:type="dxa"/>
            <w:shd w:val="clear" w:color="auto" w:fill="auto"/>
            <w:noWrap/>
            <w:vAlign w:val="bottom"/>
            <w:hideMark/>
          </w:tcPr>
          <w:p w14:paraId="61B2ABE5" w14:textId="77777777" w:rsidR="00F7044C" w:rsidRPr="00C421E4" w:rsidRDefault="00F7044C" w:rsidP="00804E6B">
            <w:pPr>
              <w:jc w:val="right"/>
              <w:rPr>
                <w:rFonts w:ascii="Times" w:hAnsi="Times"/>
              </w:rPr>
            </w:pPr>
            <w:r w:rsidRPr="00C421E4">
              <w:rPr>
                <w:rFonts w:ascii="Times" w:hAnsi="Times"/>
              </w:rPr>
              <w:t>0.198</w:t>
            </w:r>
          </w:p>
        </w:tc>
        <w:tc>
          <w:tcPr>
            <w:tcW w:w="1300" w:type="dxa"/>
            <w:shd w:val="clear" w:color="auto" w:fill="auto"/>
            <w:noWrap/>
            <w:vAlign w:val="bottom"/>
            <w:hideMark/>
          </w:tcPr>
          <w:p w14:paraId="1E795E7D" w14:textId="77777777" w:rsidR="00F7044C" w:rsidRPr="00C421E4" w:rsidRDefault="00F7044C" w:rsidP="00804E6B">
            <w:pPr>
              <w:jc w:val="right"/>
              <w:rPr>
                <w:rFonts w:ascii="Times" w:hAnsi="Times"/>
              </w:rPr>
            </w:pPr>
            <w:r w:rsidRPr="00C421E4">
              <w:rPr>
                <w:rFonts w:ascii="Times" w:hAnsi="Times"/>
              </w:rPr>
              <w:t>1.898</w:t>
            </w:r>
          </w:p>
        </w:tc>
        <w:tc>
          <w:tcPr>
            <w:tcW w:w="1300" w:type="dxa"/>
            <w:shd w:val="clear" w:color="auto" w:fill="auto"/>
            <w:noWrap/>
            <w:vAlign w:val="bottom"/>
            <w:hideMark/>
          </w:tcPr>
          <w:p w14:paraId="312AA346" w14:textId="77777777" w:rsidR="00F7044C" w:rsidRPr="00C421E4" w:rsidRDefault="00F7044C" w:rsidP="00804E6B">
            <w:pPr>
              <w:jc w:val="right"/>
              <w:rPr>
                <w:rFonts w:ascii="Times" w:hAnsi="Times"/>
              </w:rPr>
            </w:pPr>
            <w:r w:rsidRPr="00C421E4">
              <w:rPr>
                <w:rFonts w:ascii="Times" w:hAnsi="Times"/>
              </w:rPr>
              <w:t>0.061</w:t>
            </w:r>
          </w:p>
        </w:tc>
      </w:tr>
      <w:tr w:rsidR="00F7044C" w:rsidRPr="00C421E4" w14:paraId="4D09485E" w14:textId="77777777" w:rsidTr="00804E6B">
        <w:trPr>
          <w:trHeight w:val="340"/>
        </w:trPr>
        <w:tc>
          <w:tcPr>
            <w:tcW w:w="2520" w:type="dxa"/>
            <w:shd w:val="clear" w:color="auto" w:fill="auto"/>
            <w:noWrap/>
            <w:vAlign w:val="center"/>
            <w:hideMark/>
          </w:tcPr>
          <w:p w14:paraId="195B751D"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64A8A2F7" w14:textId="77777777" w:rsidR="00F7044C" w:rsidRPr="00C421E4" w:rsidRDefault="00F7044C" w:rsidP="00804E6B">
            <w:pPr>
              <w:jc w:val="right"/>
              <w:rPr>
                <w:rFonts w:ascii="Times" w:hAnsi="Times"/>
              </w:rPr>
            </w:pPr>
            <w:r w:rsidRPr="00C421E4">
              <w:rPr>
                <w:rFonts w:ascii="Times" w:hAnsi="Times"/>
              </w:rPr>
              <w:t>-1.54</w:t>
            </w:r>
          </w:p>
        </w:tc>
        <w:tc>
          <w:tcPr>
            <w:tcW w:w="1300" w:type="dxa"/>
            <w:shd w:val="clear" w:color="auto" w:fill="auto"/>
            <w:noWrap/>
            <w:vAlign w:val="bottom"/>
            <w:hideMark/>
          </w:tcPr>
          <w:p w14:paraId="3480B7DF" w14:textId="77777777" w:rsidR="00F7044C" w:rsidRPr="00C421E4" w:rsidRDefault="00F7044C" w:rsidP="00804E6B">
            <w:pPr>
              <w:jc w:val="right"/>
              <w:rPr>
                <w:rFonts w:ascii="Times" w:hAnsi="Times"/>
              </w:rPr>
            </w:pPr>
            <w:r w:rsidRPr="00C421E4">
              <w:rPr>
                <w:rFonts w:ascii="Times" w:hAnsi="Times"/>
              </w:rPr>
              <w:t>1.432</w:t>
            </w:r>
          </w:p>
        </w:tc>
        <w:tc>
          <w:tcPr>
            <w:tcW w:w="1300" w:type="dxa"/>
            <w:shd w:val="clear" w:color="auto" w:fill="auto"/>
            <w:noWrap/>
            <w:vAlign w:val="bottom"/>
            <w:hideMark/>
          </w:tcPr>
          <w:p w14:paraId="491AAD32" w14:textId="77777777" w:rsidR="00F7044C" w:rsidRPr="00C421E4" w:rsidRDefault="00F7044C" w:rsidP="00804E6B">
            <w:pPr>
              <w:jc w:val="right"/>
              <w:rPr>
                <w:rFonts w:ascii="Times" w:hAnsi="Times"/>
              </w:rPr>
            </w:pPr>
            <w:r w:rsidRPr="00C421E4">
              <w:rPr>
                <w:rFonts w:ascii="Times" w:hAnsi="Times"/>
              </w:rPr>
              <w:t>-0.114</w:t>
            </w:r>
          </w:p>
        </w:tc>
        <w:tc>
          <w:tcPr>
            <w:tcW w:w="1300" w:type="dxa"/>
            <w:shd w:val="clear" w:color="auto" w:fill="auto"/>
            <w:noWrap/>
            <w:vAlign w:val="bottom"/>
            <w:hideMark/>
          </w:tcPr>
          <w:p w14:paraId="1F732012" w14:textId="77777777" w:rsidR="00F7044C" w:rsidRPr="00C421E4" w:rsidRDefault="00F7044C" w:rsidP="00804E6B">
            <w:pPr>
              <w:jc w:val="right"/>
              <w:rPr>
                <w:rFonts w:ascii="Times" w:hAnsi="Times"/>
              </w:rPr>
            </w:pPr>
            <w:r w:rsidRPr="00C421E4">
              <w:rPr>
                <w:rFonts w:ascii="Times" w:hAnsi="Times"/>
              </w:rPr>
              <w:t>-1.075</w:t>
            </w:r>
          </w:p>
        </w:tc>
        <w:tc>
          <w:tcPr>
            <w:tcW w:w="1300" w:type="dxa"/>
            <w:shd w:val="clear" w:color="auto" w:fill="auto"/>
            <w:noWrap/>
            <w:vAlign w:val="bottom"/>
            <w:hideMark/>
          </w:tcPr>
          <w:p w14:paraId="1EA22244" w14:textId="77777777" w:rsidR="00F7044C" w:rsidRPr="00C421E4" w:rsidRDefault="00F7044C" w:rsidP="00804E6B">
            <w:pPr>
              <w:jc w:val="right"/>
              <w:rPr>
                <w:rFonts w:ascii="Times" w:hAnsi="Times"/>
              </w:rPr>
            </w:pPr>
            <w:r w:rsidRPr="00C421E4">
              <w:rPr>
                <w:rFonts w:ascii="Times" w:hAnsi="Times"/>
              </w:rPr>
              <w:t>0.285</w:t>
            </w:r>
          </w:p>
        </w:tc>
      </w:tr>
      <w:tr w:rsidR="00F7044C" w:rsidRPr="00C421E4" w14:paraId="61DA0DF6" w14:textId="77777777" w:rsidTr="00804E6B">
        <w:trPr>
          <w:trHeight w:val="340"/>
        </w:trPr>
        <w:tc>
          <w:tcPr>
            <w:tcW w:w="2520" w:type="dxa"/>
            <w:shd w:val="clear" w:color="auto" w:fill="auto"/>
            <w:noWrap/>
            <w:vAlign w:val="center"/>
            <w:hideMark/>
          </w:tcPr>
          <w:p w14:paraId="782A2ACB"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04B89620" w14:textId="77777777" w:rsidR="00F7044C" w:rsidRPr="00C421E4" w:rsidRDefault="00F7044C" w:rsidP="00804E6B">
            <w:pPr>
              <w:jc w:val="right"/>
              <w:rPr>
                <w:rFonts w:ascii="Times" w:hAnsi="Times"/>
              </w:rPr>
            </w:pPr>
            <w:r w:rsidRPr="00C421E4">
              <w:rPr>
                <w:rFonts w:ascii="Times" w:hAnsi="Times"/>
              </w:rPr>
              <w:t>-2.281</w:t>
            </w:r>
          </w:p>
        </w:tc>
        <w:tc>
          <w:tcPr>
            <w:tcW w:w="1300" w:type="dxa"/>
            <w:shd w:val="clear" w:color="auto" w:fill="auto"/>
            <w:noWrap/>
            <w:vAlign w:val="bottom"/>
            <w:hideMark/>
          </w:tcPr>
          <w:p w14:paraId="3863FE27" w14:textId="77777777" w:rsidR="00F7044C" w:rsidRPr="00C421E4" w:rsidRDefault="00F7044C" w:rsidP="00804E6B">
            <w:pPr>
              <w:jc w:val="right"/>
              <w:rPr>
                <w:rFonts w:ascii="Times" w:hAnsi="Times"/>
              </w:rPr>
            </w:pPr>
            <w:r w:rsidRPr="00C421E4">
              <w:rPr>
                <w:rFonts w:ascii="Times" w:hAnsi="Times"/>
              </w:rPr>
              <w:t>1.502</w:t>
            </w:r>
          </w:p>
        </w:tc>
        <w:tc>
          <w:tcPr>
            <w:tcW w:w="1300" w:type="dxa"/>
            <w:shd w:val="clear" w:color="auto" w:fill="auto"/>
            <w:noWrap/>
            <w:vAlign w:val="bottom"/>
            <w:hideMark/>
          </w:tcPr>
          <w:p w14:paraId="6F19DE4E" w14:textId="77777777" w:rsidR="00F7044C" w:rsidRPr="00C421E4" w:rsidRDefault="00F7044C" w:rsidP="00804E6B">
            <w:pPr>
              <w:jc w:val="right"/>
              <w:rPr>
                <w:rFonts w:ascii="Times" w:hAnsi="Times"/>
              </w:rPr>
            </w:pPr>
            <w:r w:rsidRPr="00C421E4">
              <w:rPr>
                <w:rFonts w:ascii="Times" w:hAnsi="Times"/>
              </w:rPr>
              <w:t>-0.173</w:t>
            </w:r>
          </w:p>
        </w:tc>
        <w:tc>
          <w:tcPr>
            <w:tcW w:w="1300" w:type="dxa"/>
            <w:shd w:val="clear" w:color="auto" w:fill="auto"/>
            <w:noWrap/>
            <w:vAlign w:val="bottom"/>
            <w:hideMark/>
          </w:tcPr>
          <w:p w14:paraId="4E7242C2" w14:textId="77777777" w:rsidR="00F7044C" w:rsidRPr="00C421E4" w:rsidRDefault="00F7044C" w:rsidP="00804E6B">
            <w:pPr>
              <w:jc w:val="right"/>
              <w:rPr>
                <w:rFonts w:ascii="Times" w:hAnsi="Times"/>
              </w:rPr>
            </w:pPr>
            <w:r w:rsidRPr="00C421E4">
              <w:rPr>
                <w:rFonts w:ascii="Times" w:hAnsi="Times"/>
              </w:rPr>
              <w:t>-1.519</w:t>
            </w:r>
          </w:p>
        </w:tc>
        <w:tc>
          <w:tcPr>
            <w:tcW w:w="1300" w:type="dxa"/>
            <w:shd w:val="clear" w:color="auto" w:fill="auto"/>
            <w:noWrap/>
            <w:vAlign w:val="bottom"/>
            <w:hideMark/>
          </w:tcPr>
          <w:p w14:paraId="1077E006" w14:textId="77777777" w:rsidR="00F7044C" w:rsidRPr="00C421E4" w:rsidRDefault="00F7044C" w:rsidP="00804E6B">
            <w:pPr>
              <w:jc w:val="right"/>
              <w:rPr>
                <w:rFonts w:ascii="Times" w:hAnsi="Times"/>
              </w:rPr>
            </w:pPr>
            <w:r w:rsidRPr="00C421E4">
              <w:rPr>
                <w:rFonts w:ascii="Times" w:hAnsi="Times"/>
              </w:rPr>
              <w:t>0.133</w:t>
            </w:r>
          </w:p>
        </w:tc>
      </w:tr>
      <w:tr w:rsidR="00F7044C" w:rsidRPr="00C421E4" w14:paraId="56748E59" w14:textId="77777777" w:rsidTr="00804E6B">
        <w:trPr>
          <w:trHeight w:val="340"/>
        </w:trPr>
        <w:tc>
          <w:tcPr>
            <w:tcW w:w="2520" w:type="dxa"/>
            <w:shd w:val="clear" w:color="auto" w:fill="auto"/>
            <w:noWrap/>
            <w:vAlign w:val="center"/>
            <w:hideMark/>
          </w:tcPr>
          <w:p w14:paraId="055670A9"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bottom"/>
            <w:hideMark/>
          </w:tcPr>
          <w:p w14:paraId="602CB226" w14:textId="77777777" w:rsidR="00F7044C" w:rsidRPr="00C421E4" w:rsidRDefault="00F7044C" w:rsidP="00804E6B">
            <w:pPr>
              <w:jc w:val="right"/>
              <w:rPr>
                <w:rFonts w:ascii="Times" w:hAnsi="Times"/>
              </w:rPr>
            </w:pPr>
            <w:r w:rsidRPr="00C421E4">
              <w:rPr>
                <w:rFonts w:ascii="Times" w:hAnsi="Times"/>
              </w:rPr>
              <w:t>4.646</w:t>
            </w:r>
          </w:p>
        </w:tc>
        <w:tc>
          <w:tcPr>
            <w:tcW w:w="1300" w:type="dxa"/>
            <w:shd w:val="clear" w:color="auto" w:fill="auto"/>
            <w:noWrap/>
            <w:vAlign w:val="bottom"/>
            <w:hideMark/>
          </w:tcPr>
          <w:p w14:paraId="2DBB42D5" w14:textId="77777777" w:rsidR="00F7044C" w:rsidRPr="00C421E4" w:rsidRDefault="00F7044C" w:rsidP="00804E6B">
            <w:pPr>
              <w:jc w:val="right"/>
              <w:rPr>
                <w:rFonts w:ascii="Times" w:hAnsi="Times"/>
              </w:rPr>
            </w:pPr>
            <w:r w:rsidRPr="00C421E4">
              <w:rPr>
                <w:rFonts w:ascii="Times" w:hAnsi="Times"/>
              </w:rPr>
              <w:t>1.886</w:t>
            </w:r>
          </w:p>
        </w:tc>
        <w:tc>
          <w:tcPr>
            <w:tcW w:w="1300" w:type="dxa"/>
            <w:shd w:val="clear" w:color="auto" w:fill="auto"/>
            <w:noWrap/>
            <w:vAlign w:val="bottom"/>
            <w:hideMark/>
          </w:tcPr>
          <w:p w14:paraId="03FFB5DB" w14:textId="77777777" w:rsidR="00F7044C" w:rsidRPr="00C421E4" w:rsidRDefault="00F7044C" w:rsidP="00804E6B">
            <w:pPr>
              <w:jc w:val="right"/>
              <w:rPr>
                <w:rFonts w:ascii="Times" w:hAnsi="Times"/>
              </w:rPr>
            </w:pPr>
            <w:r w:rsidRPr="00C421E4">
              <w:rPr>
                <w:rFonts w:ascii="Times" w:hAnsi="Times"/>
              </w:rPr>
              <w:t>0.274</w:t>
            </w:r>
          </w:p>
        </w:tc>
        <w:tc>
          <w:tcPr>
            <w:tcW w:w="1300" w:type="dxa"/>
            <w:shd w:val="clear" w:color="auto" w:fill="auto"/>
            <w:noWrap/>
            <w:vAlign w:val="bottom"/>
            <w:hideMark/>
          </w:tcPr>
          <w:p w14:paraId="03F0492F" w14:textId="77777777" w:rsidR="00F7044C" w:rsidRPr="00C421E4" w:rsidRDefault="00F7044C" w:rsidP="00804E6B">
            <w:pPr>
              <w:jc w:val="right"/>
              <w:rPr>
                <w:rFonts w:ascii="Times" w:hAnsi="Times"/>
              </w:rPr>
            </w:pPr>
            <w:r w:rsidRPr="00C421E4">
              <w:rPr>
                <w:rFonts w:ascii="Times" w:hAnsi="Times"/>
              </w:rPr>
              <w:t>2.463</w:t>
            </w:r>
          </w:p>
        </w:tc>
        <w:tc>
          <w:tcPr>
            <w:tcW w:w="1300" w:type="dxa"/>
            <w:shd w:val="clear" w:color="auto" w:fill="auto"/>
            <w:noWrap/>
            <w:vAlign w:val="bottom"/>
            <w:hideMark/>
          </w:tcPr>
          <w:p w14:paraId="34345383" w14:textId="77777777" w:rsidR="00F7044C" w:rsidRPr="00C421E4" w:rsidRDefault="00F7044C" w:rsidP="00804E6B">
            <w:pPr>
              <w:jc w:val="right"/>
              <w:rPr>
                <w:rFonts w:ascii="Times" w:hAnsi="Times"/>
              </w:rPr>
            </w:pPr>
            <w:r w:rsidRPr="00C421E4">
              <w:rPr>
                <w:rFonts w:ascii="Times" w:hAnsi="Times"/>
              </w:rPr>
              <w:t>0.016</w:t>
            </w:r>
          </w:p>
        </w:tc>
      </w:tr>
      <w:tr w:rsidR="00F7044C" w:rsidRPr="00C421E4" w14:paraId="30386B0A" w14:textId="77777777" w:rsidTr="00804E6B">
        <w:trPr>
          <w:trHeight w:val="340"/>
        </w:trPr>
        <w:tc>
          <w:tcPr>
            <w:tcW w:w="2520" w:type="dxa"/>
            <w:shd w:val="clear" w:color="auto" w:fill="auto"/>
            <w:noWrap/>
            <w:vAlign w:val="center"/>
            <w:hideMark/>
          </w:tcPr>
          <w:p w14:paraId="5085CA4B"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37AE708B" w14:textId="77777777" w:rsidR="00F7044C" w:rsidRPr="00C421E4" w:rsidRDefault="00F7044C" w:rsidP="00804E6B">
            <w:pPr>
              <w:jc w:val="right"/>
              <w:rPr>
                <w:rFonts w:ascii="Times" w:hAnsi="Times"/>
              </w:rPr>
            </w:pPr>
            <w:r w:rsidRPr="00C421E4">
              <w:rPr>
                <w:rFonts w:ascii="Times" w:hAnsi="Times"/>
              </w:rPr>
              <w:t>0.137</w:t>
            </w:r>
          </w:p>
        </w:tc>
        <w:tc>
          <w:tcPr>
            <w:tcW w:w="1300" w:type="dxa"/>
            <w:shd w:val="clear" w:color="auto" w:fill="auto"/>
            <w:noWrap/>
            <w:vAlign w:val="bottom"/>
            <w:hideMark/>
          </w:tcPr>
          <w:p w14:paraId="3A206168" w14:textId="77777777" w:rsidR="00F7044C" w:rsidRPr="00C421E4" w:rsidRDefault="00F7044C" w:rsidP="00804E6B">
            <w:pPr>
              <w:jc w:val="right"/>
              <w:rPr>
                <w:rFonts w:ascii="Times" w:hAnsi="Times"/>
              </w:rPr>
            </w:pPr>
            <w:r w:rsidRPr="00C421E4">
              <w:rPr>
                <w:rFonts w:ascii="Times" w:hAnsi="Times"/>
              </w:rPr>
              <w:t>0.235</w:t>
            </w:r>
          </w:p>
        </w:tc>
        <w:tc>
          <w:tcPr>
            <w:tcW w:w="1300" w:type="dxa"/>
            <w:shd w:val="clear" w:color="auto" w:fill="auto"/>
            <w:noWrap/>
            <w:vAlign w:val="bottom"/>
            <w:hideMark/>
          </w:tcPr>
          <w:p w14:paraId="0745B59E" w14:textId="77777777" w:rsidR="00F7044C" w:rsidRPr="00C421E4" w:rsidRDefault="00F7044C" w:rsidP="00804E6B">
            <w:pPr>
              <w:jc w:val="right"/>
              <w:rPr>
                <w:rFonts w:ascii="Times" w:hAnsi="Times"/>
              </w:rPr>
            </w:pPr>
            <w:r w:rsidRPr="00C421E4">
              <w:rPr>
                <w:rFonts w:ascii="Times" w:hAnsi="Times"/>
              </w:rPr>
              <w:t>0.07</w:t>
            </w:r>
          </w:p>
        </w:tc>
        <w:tc>
          <w:tcPr>
            <w:tcW w:w="1300" w:type="dxa"/>
            <w:shd w:val="clear" w:color="auto" w:fill="auto"/>
            <w:noWrap/>
            <w:vAlign w:val="bottom"/>
            <w:hideMark/>
          </w:tcPr>
          <w:p w14:paraId="185511EB" w14:textId="77777777" w:rsidR="00F7044C" w:rsidRPr="00C421E4" w:rsidRDefault="00F7044C" w:rsidP="00804E6B">
            <w:pPr>
              <w:jc w:val="right"/>
              <w:rPr>
                <w:rFonts w:ascii="Times" w:hAnsi="Times"/>
              </w:rPr>
            </w:pPr>
            <w:r w:rsidRPr="00C421E4">
              <w:rPr>
                <w:rFonts w:ascii="Times" w:hAnsi="Times"/>
              </w:rPr>
              <w:t>0.585</w:t>
            </w:r>
          </w:p>
        </w:tc>
        <w:tc>
          <w:tcPr>
            <w:tcW w:w="1300" w:type="dxa"/>
            <w:shd w:val="clear" w:color="auto" w:fill="auto"/>
            <w:noWrap/>
            <w:vAlign w:val="bottom"/>
            <w:hideMark/>
          </w:tcPr>
          <w:p w14:paraId="129D1B99" w14:textId="77777777" w:rsidR="00F7044C" w:rsidRPr="00C421E4" w:rsidRDefault="00F7044C" w:rsidP="00804E6B">
            <w:pPr>
              <w:jc w:val="right"/>
              <w:rPr>
                <w:rFonts w:ascii="Times" w:hAnsi="Times"/>
              </w:rPr>
            </w:pPr>
            <w:r w:rsidRPr="00C421E4">
              <w:rPr>
                <w:rFonts w:ascii="Times" w:hAnsi="Times"/>
              </w:rPr>
              <w:t>0.56</w:t>
            </w:r>
          </w:p>
        </w:tc>
      </w:tr>
      <w:tr w:rsidR="00F7044C" w:rsidRPr="00C421E4" w14:paraId="66A2E4FA" w14:textId="77777777" w:rsidTr="00804E6B">
        <w:trPr>
          <w:trHeight w:val="340"/>
        </w:trPr>
        <w:tc>
          <w:tcPr>
            <w:tcW w:w="9020" w:type="dxa"/>
            <w:gridSpan w:val="6"/>
            <w:shd w:val="clear" w:color="auto" w:fill="auto"/>
            <w:noWrap/>
            <w:vAlign w:val="center"/>
            <w:hideMark/>
          </w:tcPr>
          <w:p w14:paraId="7F6F29C8"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02BDF076" w14:textId="77777777" w:rsidTr="00804E6B">
        <w:trPr>
          <w:trHeight w:val="340"/>
        </w:trPr>
        <w:tc>
          <w:tcPr>
            <w:tcW w:w="2520" w:type="dxa"/>
            <w:shd w:val="clear" w:color="auto" w:fill="auto"/>
            <w:noWrap/>
            <w:vAlign w:val="center"/>
            <w:hideMark/>
          </w:tcPr>
          <w:p w14:paraId="12372676"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68CB35F6" w14:textId="77777777" w:rsidR="00F7044C" w:rsidRPr="00C421E4" w:rsidRDefault="00F7044C" w:rsidP="00804E6B">
            <w:pPr>
              <w:jc w:val="right"/>
              <w:rPr>
                <w:rFonts w:ascii="Times" w:hAnsi="Times"/>
              </w:rPr>
            </w:pPr>
            <w:r w:rsidRPr="00C421E4">
              <w:rPr>
                <w:rFonts w:ascii="Times" w:hAnsi="Times"/>
              </w:rPr>
              <w:t>-5.484</w:t>
            </w:r>
          </w:p>
        </w:tc>
        <w:tc>
          <w:tcPr>
            <w:tcW w:w="1300" w:type="dxa"/>
            <w:shd w:val="clear" w:color="auto" w:fill="auto"/>
            <w:noWrap/>
            <w:vAlign w:val="bottom"/>
            <w:hideMark/>
          </w:tcPr>
          <w:p w14:paraId="56E207F1" w14:textId="77777777" w:rsidR="00F7044C" w:rsidRPr="00C421E4" w:rsidRDefault="00F7044C" w:rsidP="00804E6B">
            <w:pPr>
              <w:jc w:val="right"/>
              <w:rPr>
                <w:rFonts w:ascii="Times" w:hAnsi="Times"/>
              </w:rPr>
            </w:pPr>
            <w:r w:rsidRPr="00C421E4">
              <w:rPr>
                <w:rFonts w:ascii="Times" w:hAnsi="Times"/>
              </w:rPr>
              <w:t>2.607</w:t>
            </w:r>
          </w:p>
        </w:tc>
        <w:tc>
          <w:tcPr>
            <w:tcW w:w="1300" w:type="dxa"/>
            <w:shd w:val="clear" w:color="auto" w:fill="auto"/>
            <w:noWrap/>
            <w:vAlign w:val="bottom"/>
            <w:hideMark/>
          </w:tcPr>
          <w:p w14:paraId="38577FC5" w14:textId="77777777" w:rsidR="00F7044C" w:rsidRPr="00C421E4" w:rsidRDefault="00F7044C" w:rsidP="00804E6B">
            <w:pPr>
              <w:jc w:val="right"/>
              <w:rPr>
                <w:rFonts w:ascii="Times" w:hAnsi="Times"/>
              </w:rPr>
            </w:pPr>
            <w:r w:rsidRPr="00C421E4">
              <w:rPr>
                <w:rFonts w:ascii="Times" w:hAnsi="Times"/>
              </w:rPr>
              <w:t>-0.219</w:t>
            </w:r>
          </w:p>
        </w:tc>
        <w:tc>
          <w:tcPr>
            <w:tcW w:w="1300" w:type="dxa"/>
            <w:shd w:val="clear" w:color="auto" w:fill="auto"/>
            <w:noWrap/>
            <w:vAlign w:val="bottom"/>
            <w:hideMark/>
          </w:tcPr>
          <w:p w14:paraId="0FCD6C88" w14:textId="77777777" w:rsidR="00F7044C" w:rsidRPr="00C421E4" w:rsidRDefault="00F7044C" w:rsidP="00804E6B">
            <w:pPr>
              <w:jc w:val="right"/>
              <w:rPr>
                <w:rFonts w:ascii="Times" w:hAnsi="Times"/>
              </w:rPr>
            </w:pPr>
            <w:r w:rsidRPr="00C421E4">
              <w:rPr>
                <w:rFonts w:ascii="Times" w:hAnsi="Times"/>
              </w:rPr>
              <w:t>-2.103</w:t>
            </w:r>
          </w:p>
        </w:tc>
        <w:tc>
          <w:tcPr>
            <w:tcW w:w="1300" w:type="dxa"/>
            <w:shd w:val="clear" w:color="auto" w:fill="auto"/>
            <w:noWrap/>
            <w:vAlign w:val="bottom"/>
            <w:hideMark/>
          </w:tcPr>
          <w:p w14:paraId="56C94737" w14:textId="77777777" w:rsidR="00F7044C" w:rsidRPr="00C421E4" w:rsidRDefault="00F7044C" w:rsidP="00804E6B">
            <w:pPr>
              <w:jc w:val="right"/>
              <w:rPr>
                <w:rFonts w:ascii="Times" w:hAnsi="Times"/>
              </w:rPr>
            </w:pPr>
            <w:r w:rsidRPr="00C421E4">
              <w:rPr>
                <w:rFonts w:ascii="Times" w:hAnsi="Times"/>
              </w:rPr>
              <w:t>0.038</w:t>
            </w:r>
          </w:p>
        </w:tc>
      </w:tr>
      <w:tr w:rsidR="00F7044C" w:rsidRPr="00C421E4" w14:paraId="078CACCB" w14:textId="77777777" w:rsidTr="00804E6B">
        <w:trPr>
          <w:trHeight w:val="340"/>
        </w:trPr>
        <w:tc>
          <w:tcPr>
            <w:tcW w:w="2520" w:type="dxa"/>
            <w:shd w:val="clear" w:color="auto" w:fill="auto"/>
            <w:noWrap/>
            <w:vAlign w:val="center"/>
            <w:hideMark/>
          </w:tcPr>
          <w:p w14:paraId="4BBE8C6C"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681DF5DC" w14:textId="77777777" w:rsidR="00F7044C" w:rsidRPr="00C421E4" w:rsidRDefault="00F7044C" w:rsidP="00804E6B">
            <w:pPr>
              <w:jc w:val="right"/>
              <w:rPr>
                <w:rFonts w:ascii="Times" w:hAnsi="Times"/>
              </w:rPr>
            </w:pPr>
            <w:r w:rsidRPr="00C421E4">
              <w:rPr>
                <w:rFonts w:ascii="Times" w:hAnsi="Times"/>
              </w:rPr>
              <w:t>-2.165</w:t>
            </w:r>
          </w:p>
        </w:tc>
        <w:tc>
          <w:tcPr>
            <w:tcW w:w="1300" w:type="dxa"/>
            <w:shd w:val="clear" w:color="auto" w:fill="auto"/>
            <w:noWrap/>
            <w:vAlign w:val="bottom"/>
            <w:hideMark/>
          </w:tcPr>
          <w:p w14:paraId="606DD59B" w14:textId="77777777" w:rsidR="00F7044C" w:rsidRPr="00C421E4" w:rsidRDefault="00F7044C" w:rsidP="00804E6B">
            <w:pPr>
              <w:jc w:val="right"/>
              <w:rPr>
                <w:rFonts w:ascii="Times" w:hAnsi="Times"/>
              </w:rPr>
            </w:pPr>
            <w:r w:rsidRPr="00C421E4">
              <w:rPr>
                <w:rFonts w:ascii="Times" w:hAnsi="Times"/>
              </w:rPr>
              <w:t>1.179</w:t>
            </w:r>
          </w:p>
        </w:tc>
        <w:tc>
          <w:tcPr>
            <w:tcW w:w="1300" w:type="dxa"/>
            <w:shd w:val="clear" w:color="auto" w:fill="auto"/>
            <w:noWrap/>
            <w:vAlign w:val="bottom"/>
            <w:hideMark/>
          </w:tcPr>
          <w:p w14:paraId="70A88F98" w14:textId="77777777" w:rsidR="00F7044C" w:rsidRPr="00C421E4" w:rsidRDefault="00F7044C" w:rsidP="00804E6B">
            <w:pPr>
              <w:jc w:val="right"/>
              <w:rPr>
                <w:rFonts w:ascii="Times" w:hAnsi="Times"/>
              </w:rPr>
            </w:pPr>
            <w:r w:rsidRPr="00C421E4">
              <w:rPr>
                <w:rFonts w:ascii="Times" w:hAnsi="Times"/>
              </w:rPr>
              <w:t>-0.192</w:t>
            </w:r>
          </w:p>
        </w:tc>
        <w:tc>
          <w:tcPr>
            <w:tcW w:w="1300" w:type="dxa"/>
            <w:shd w:val="clear" w:color="auto" w:fill="auto"/>
            <w:noWrap/>
            <w:vAlign w:val="bottom"/>
            <w:hideMark/>
          </w:tcPr>
          <w:p w14:paraId="0D99B6D4" w14:textId="77777777" w:rsidR="00F7044C" w:rsidRPr="00C421E4" w:rsidRDefault="00F7044C" w:rsidP="00804E6B">
            <w:pPr>
              <w:jc w:val="right"/>
              <w:rPr>
                <w:rFonts w:ascii="Times" w:hAnsi="Times"/>
              </w:rPr>
            </w:pPr>
            <w:r w:rsidRPr="00C421E4">
              <w:rPr>
                <w:rFonts w:ascii="Times" w:hAnsi="Times"/>
              </w:rPr>
              <w:t>-1.836</w:t>
            </w:r>
          </w:p>
        </w:tc>
        <w:tc>
          <w:tcPr>
            <w:tcW w:w="1300" w:type="dxa"/>
            <w:shd w:val="clear" w:color="auto" w:fill="auto"/>
            <w:noWrap/>
            <w:vAlign w:val="bottom"/>
            <w:hideMark/>
          </w:tcPr>
          <w:p w14:paraId="5D079930" w14:textId="77777777" w:rsidR="00F7044C" w:rsidRPr="00C421E4" w:rsidRDefault="00F7044C" w:rsidP="00804E6B">
            <w:pPr>
              <w:jc w:val="right"/>
              <w:rPr>
                <w:rFonts w:ascii="Times" w:hAnsi="Times"/>
              </w:rPr>
            </w:pPr>
            <w:r w:rsidRPr="00C421E4">
              <w:rPr>
                <w:rFonts w:ascii="Times" w:hAnsi="Times"/>
              </w:rPr>
              <w:t>0.07</w:t>
            </w:r>
          </w:p>
        </w:tc>
      </w:tr>
      <w:tr w:rsidR="00F7044C" w:rsidRPr="00C421E4" w14:paraId="493BC47B" w14:textId="77777777" w:rsidTr="00804E6B">
        <w:trPr>
          <w:trHeight w:val="340"/>
        </w:trPr>
        <w:tc>
          <w:tcPr>
            <w:tcW w:w="2520" w:type="dxa"/>
            <w:shd w:val="clear" w:color="auto" w:fill="auto"/>
            <w:noWrap/>
            <w:vAlign w:val="center"/>
            <w:hideMark/>
          </w:tcPr>
          <w:p w14:paraId="3ACD9FDE"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7D7AE35B" w14:textId="77777777" w:rsidR="00F7044C" w:rsidRPr="00C421E4" w:rsidRDefault="00F7044C" w:rsidP="00804E6B">
            <w:pPr>
              <w:jc w:val="right"/>
              <w:rPr>
                <w:rFonts w:ascii="Times" w:hAnsi="Times"/>
              </w:rPr>
            </w:pPr>
            <w:r w:rsidRPr="00C421E4">
              <w:rPr>
                <w:rFonts w:ascii="Times" w:hAnsi="Times"/>
              </w:rPr>
              <w:t>1.936</w:t>
            </w:r>
          </w:p>
        </w:tc>
        <w:tc>
          <w:tcPr>
            <w:tcW w:w="1300" w:type="dxa"/>
            <w:shd w:val="clear" w:color="auto" w:fill="auto"/>
            <w:noWrap/>
            <w:vAlign w:val="bottom"/>
            <w:hideMark/>
          </w:tcPr>
          <w:p w14:paraId="6E7126D9" w14:textId="77777777" w:rsidR="00F7044C" w:rsidRPr="00C421E4" w:rsidRDefault="00F7044C" w:rsidP="00804E6B">
            <w:pPr>
              <w:jc w:val="right"/>
              <w:rPr>
                <w:rFonts w:ascii="Times" w:hAnsi="Times"/>
              </w:rPr>
            </w:pPr>
            <w:r w:rsidRPr="00C421E4">
              <w:rPr>
                <w:rFonts w:ascii="Times" w:hAnsi="Times"/>
              </w:rPr>
              <w:t>8.135</w:t>
            </w:r>
          </w:p>
        </w:tc>
        <w:tc>
          <w:tcPr>
            <w:tcW w:w="1300" w:type="dxa"/>
            <w:shd w:val="clear" w:color="auto" w:fill="auto"/>
            <w:noWrap/>
            <w:vAlign w:val="bottom"/>
            <w:hideMark/>
          </w:tcPr>
          <w:p w14:paraId="05EC385D" w14:textId="77777777" w:rsidR="00F7044C" w:rsidRPr="00C421E4" w:rsidRDefault="00F7044C" w:rsidP="00804E6B">
            <w:pPr>
              <w:jc w:val="right"/>
              <w:rPr>
                <w:rFonts w:ascii="Times" w:hAnsi="Times"/>
              </w:rPr>
            </w:pPr>
            <w:r w:rsidRPr="00C421E4">
              <w:rPr>
                <w:rFonts w:ascii="Times" w:hAnsi="Times"/>
              </w:rPr>
              <w:t>0.027</w:t>
            </w:r>
          </w:p>
        </w:tc>
        <w:tc>
          <w:tcPr>
            <w:tcW w:w="1300" w:type="dxa"/>
            <w:shd w:val="clear" w:color="auto" w:fill="auto"/>
            <w:noWrap/>
            <w:vAlign w:val="bottom"/>
            <w:hideMark/>
          </w:tcPr>
          <w:p w14:paraId="523B000E" w14:textId="77777777" w:rsidR="00F7044C" w:rsidRPr="00C421E4" w:rsidRDefault="00F7044C" w:rsidP="00804E6B">
            <w:pPr>
              <w:jc w:val="right"/>
              <w:rPr>
                <w:rFonts w:ascii="Times" w:hAnsi="Times"/>
              </w:rPr>
            </w:pPr>
            <w:r w:rsidRPr="00C421E4">
              <w:rPr>
                <w:rFonts w:ascii="Times" w:hAnsi="Times"/>
              </w:rPr>
              <w:t>0.238</w:t>
            </w:r>
          </w:p>
        </w:tc>
        <w:tc>
          <w:tcPr>
            <w:tcW w:w="1300" w:type="dxa"/>
            <w:shd w:val="clear" w:color="auto" w:fill="auto"/>
            <w:noWrap/>
            <w:vAlign w:val="bottom"/>
            <w:hideMark/>
          </w:tcPr>
          <w:p w14:paraId="3C7E02BC" w14:textId="77777777" w:rsidR="00F7044C" w:rsidRPr="00C421E4" w:rsidRDefault="00F7044C" w:rsidP="00804E6B">
            <w:pPr>
              <w:jc w:val="right"/>
              <w:rPr>
                <w:rFonts w:ascii="Times" w:hAnsi="Times"/>
              </w:rPr>
            </w:pPr>
            <w:r w:rsidRPr="00C421E4">
              <w:rPr>
                <w:rFonts w:ascii="Times" w:hAnsi="Times"/>
              </w:rPr>
              <w:t>0.812</w:t>
            </w:r>
          </w:p>
        </w:tc>
      </w:tr>
      <w:tr w:rsidR="00F7044C" w:rsidRPr="00C421E4" w14:paraId="00C78B4D" w14:textId="77777777" w:rsidTr="00804E6B">
        <w:trPr>
          <w:trHeight w:val="340"/>
        </w:trPr>
        <w:tc>
          <w:tcPr>
            <w:tcW w:w="2520" w:type="dxa"/>
            <w:shd w:val="clear" w:color="auto" w:fill="auto"/>
            <w:noWrap/>
            <w:vAlign w:val="center"/>
            <w:hideMark/>
          </w:tcPr>
          <w:p w14:paraId="14ED88E4" w14:textId="77777777" w:rsidR="00F7044C" w:rsidRPr="00C421E4" w:rsidRDefault="00F7044C" w:rsidP="00804E6B">
            <w:pPr>
              <w:rPr>
                <w:rFonts w:ascii="Times" w:hAnsi="Times"/>
              </w:rPr>
            </w:pPr>
            <w:r w:rsidRPr="00C421E4">
              <w:rPr>
                <w:rFonts w:ascii="Times" w:hAnsi="Times"/>
              </w:rPr>
              <w:t>Zygomaticus tone</w:t>
            </w:r>
          </w:p>
        </w:tc>
        <w:tc>
          <w:tcPr>
            <w:tcW w:w="1300" w:type="dxa"/>
            <w:shd w:val="clear" w:color="auto" w:fill="auto"/>
            <w:noWrap/>
            <w:vAlign w:val="bottom"/>
            <w:hideMark/>
          </w:tcPr>
          <w:p w14:paraId="77A93D02" w14:textId="77777777" w:rsidR="00F7044C" w:rsidRPr="00C421E4" w:rsidRDefault="00F7044C" w:rsidP="00804E6B">
            <w:pPr>
              <w:jc w:val="right"/>
              <w:rPr>
                <w:rFonts w:ascii="Times" w:hAnsi="Times"/>
              </w:rPr>
            </w:pPr>
            <w:r w:rsidRPr="00C421E4">
              <w:rPr>
                <w:rFonts w:ascii="Times" w:hAnsi="Times"/>
              </w:rPr>
              <w:t>-0.785</w:t>
            </w:r>
          </w:p>
        </w:tc>
        <w:tc>
          <w:tcPr>
            <w:tcW w:w="1300" w:type="dxa"/>
            <w:shd w:val="clear" w:color="auto" w:fill="auto"/>
            <w:noWrap/>
            <w:vAlign w:val="bottom"/>
            <w:hideMark/>
          </w:tcPr>
          <w:p w14:paraId="3296800C" w14:textId="77777777" w:rsidR="00F7044C" w:rsidRPr="00C421E4" w:rsidRDefault="00F7044C" w:rsidP="00804E6B">
            <w:pPr>
              <w:jc w:val="right"/>
              <w:rPr>
                <w:rFonts w:ascii="Times" w:hAnsi="Times"/>
              </w:rPr>
            </w:pPr>
            <w:r w:rsidRPr="00C421E4">
              <w:rPr>
                <w:rFonts w:ascii="Times" w:hAnsi="Times"/>
              </w:rPr>
              <w:t>1.742</w:t>
            </w:r>
          </w:p>
        </w:tc>
        <w:tc>
          <w:tcPr>
            <w:tcW w:w="1300" w:type="dxa"/>
            <w:shd w:val="clear" w:color="auto" w:fill="auto"/>
            <w:noWrap/>
            <w:vAlign w:val="bottom"/>
            <w:hideMark/>
          </w:tcPr>
          <w:p w14:paraId="52BB0BD3" w14:textId="77777777" w:rsidR="00F7044C" w:rsidRPr="00C421E4" w:rsidRDefault="00F7044C" w:rsidP="00804E6B">
            <w:pPr>
              <w:jc w:val="right"/>
              <w:rPr>
                <w:rFonts w:ascii="Times" w:hAnsi="Times"/>
              </w:rPr>
            </w:pPr>
            <w:r w:rsidRPr="00C421E4">
              <w:rPr>
                <w:rFonts w:ascii="Times" w:hAnsi="Times"/>
              </w:rPr>
              <w:t>-0.052</w:t>
            </w:r>
          </w:p>
        </w:tc>
        <w:tc>
          <w:tcPr>
            <w:tcW w:w="1300" w:type="dxa"/>
            <w:shd w:val="clear" w:color="auto" w:fill="auto"/>
            <w:noWrap/>
            <w:vAlign w:val="bottom"/>
            <w:hideMark/>
          </w:tcPr>
          <w:p w14:paraId="6CC171B8" w14:textId="77777777" w:rsidR="00F7044C" w:rsidRPr="00C421E4" w:rsidRDefault="00F7044C" w:rsidP="00804E6B">
            <w:pPr>
              <w:jc w:val="right"/>
              <w:rPr>
                <w:rFonts w:ascii="Times" w:hAnsi="Times"/>
              </w:rPr>
            </w:pPr>
            <w:r w:rsidRPr="00C421E4">
              <w:rPr>
                <w:rFonts w:ascii="Times" w:hAnsi="Times"/>
              </w:rPr>
              <w:t>-0.451</w:t>
            </w:r>
          </w:p>
        </w:tc>
        <w:tc>
          <w:tcPr>
            <w:tcW w:w="1300" w:type="dxa"/>
            <w:shd w:val="clear" w:color="auto" w:fill="auto"/>
            <w:noWrap/>
            <w:vAlign w:val="bottom"/>
            <w:hideMark/>
          </w:tcPr>
          <w:p w14:paraId="54349867" w14:textId="77777777" w:rsidR="00F7044C" w:rsidRPr="00C421E4" w:rsidRDefault="00F7044C" w:rsidP="00804E6B">
            <w:pPr>
              <w:jc w:val="right"/>
              <w:rPr>
                <w:rFonts w:ascii="Times" w:hAnsi="Times"/>
              </w:rPr>
            </w:pPr>
            <w:r w:rsidRPr="00C421E4">
              <w:rPr>
                <w:rFonts w:ascii="Times" w:hAnsi="Times"/>
              </w:rPr>
              <w:t>0.653</w:t>
            </w:r>
          </w:p>
        </w:tc>
      </w:tr>
      <w:tr w:rsidR="00F7044C" w:rsidRPr="00C421E4" w14:paraId="7D56EE36" w14:textId="77777777" w:rsidTr="00804E6B">
        <w:trPr>
          <w:trHeight w:val="340"/>
        </w:trPr>
        <w:tc>
          <w:tcPr>
            <w:tcW w:w="2520" w:type="dxa"/>
            <w:shd w:val="clear" w:color="auto" w:fill="auto"/>
            <w:noWrap/>
            <w:vAlign w:val="center"/>
            <w:hideMark/>
          </w:tcPr>
          <w:p w14:paraId="0237C153"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3000310C" w14:textId="77777777" w:rsidR="00F7044C" w:rsidRPr="00C421E4" w:rsidRDefault="00F7044C" w:rsidP="00804E6B">
            <w:pPr>
              <w:jc w:val="right"/>
              <w:rPr>
                <w:rFonts w:ascii="Times" w:hAnsi="Times"/>
              </w:rPr>
            </w:pPr>
            <w:r w:rsidRPr="00C421E4">
              <w:rPr>
                <w:rFonts w:ascii="Times" w:hAnsi="Times"/>
              </w:rPr>
              <w:t>-0.102</w:t>
            </w:r>
          </w:p>
        </w:tc>
        <w:tc>
          <w:tcPr>
            <w:tcW w:w="1300" w:type="dxa"/>
            <w:shd w:val="clear" w:color="auto" w:fill="auto"/>
            <w:noWrap/>
            <w:vAlign w:val="bottom"/>
            <w:hideMark/>
          </w:tcPr>
          <w:p w14:paraId="12665890" w14:textId="77777777" w:rsidR="00F7044C" w:rsidRPr="00C421E4" w:rsidRDefault="00F7044C" w:rsidP="00804E6B">
            <w:pPr>
              <w:jc w:val="right"/>
              <w:rPr>
                <w:rFonts w:ascii="Times" w:hAnsi="Times"/>
              </w:rPr>
            </w:pPr>
            <w:r w:rsidRPr="00C421E4">
              <w:rPr>
                <w:rFonts w:ascii="Times" w:hAnsi="Times"/>
              </w:rPr>
              <w:t>0.211</w:t>
            </w:r>
          </w:p>
        </w:tc>
        <w:tc>
          <w:tcPr>
            <w:tcW w:w="1300" w:type="dxa"/>
            <w:shd w:val="clear" w:color="auto" w:fill="auto"/>
            <w:noWrap/>
            <w:vAlign w:val="bottom"/>
            <w:hideMark/>
          </w:tcPr>
          <w:p w14:paraId="7B60442B" w14:textId="77777777" w:rsidR="00F7044C" w:rsidRPr="00C421E4" w:rsidRDefault="00F7044C" w:rsidP="00804E6B">
            <w:pPr>
              <w:jc w:val="right"/>
              <w:rPr>
                <w:rFonts w:ascii="Times" w:hAnsi="Times"/>
              </w:rPr>
            </w:pPr>
            <w:r w:rsidRPr="00C421E4">
              <w:rPr>
                <w:rFonts w:ascii="Times" w:hAnsi="Times"/>
              </w:rPr>
              <w:t>-0.058</w:t>
            </w:r>
          </w:p>
        </w:tc>
        <w:tc>
          <w:tcPr>
            <w:tcW w:w="1300" w:type="dxa"/>
            <w:shd w:val="clear" w:color="auto" w:fill="auto"/>
            <w:noWrap/>
            <w:vAlign w:val="bottom"/>
            <w:hideMark/>
          </w:tcPr>
          <w:p w14:paraId="3724227D" w14:textId="77777777" w:rsidR="00F7044C" w:rsidRPr="00C421E4" w:rsidRDefault="00F7044C" w:rsidP="00804E6B">
            <w:pPr>
              <w:jc w:val="right"/>
              <w:rPr>
                <w:rFonts w:ascii="Times" w:hAnsi="Times"/>
              </w:rPr>
            </w:pPr>
            <w:r w:rsidRPr="00C421E4">
              <w:rPr>
                <w:rFonts w:ascii="Times" w:hAnsi="Times"/>
              </w:rPr>
              <w:t>-0.485</w:t>
            </w:r>
          </w:p>
        </w:tc>
        <w:tc>
          <w:tcPr>
            <w:tcW w:w="1300" w:type="dxa"/>
            <w:shd w:val="clear" w:color="auto" w:fill="auto"/>
            <w:noWrap/>
            <w:vAlign w:val="bottom"/>
            <w:hideMark/>
          </w:tcPr>
          <w:p w14:paraId="004BF732" w14:textId="77777777" w:rsidR="00F7044C" w:rsidRPr="00C421E4" w:rsidRDefault="00F7044C" w:rsidP="00804E6B">
            <w:pPr>
              <w:jc w:val="right"/>
              <w:rPr>
                <w:rFonts w:ascii="Times" w:hAnsi="Times"/>
              </w:rPr>
            </w:pPr>
            <w:r w:rsidRPr="00C421E4">
              <w:rPr>
                <w:rFonts w:ascii="Times" w:hAnsi="Times"/>
              </w:rPr>
              <w:t>0.629</w:t>
            </w:r>
          </w:p>
        </w:tc>
      </w:tr>
      <w:tr w:rsidR="00F7044C" w:rsidRPr="00C421E4" w14:paraId="39EC2BCE" w14:textId="77777777" w:rsidTr="00804E6B">
        <w:trPr>
          <w:trHeight w:val="340"/>
        </w:trPr>
        <w:tc>
          <w:tcPr>
            <w:tcW w:w="9020" w:type="dxa"/>
            <w:gridSpan w:val="6"/>
            <w:shd w:val="clear" w:color="auto" w:fill="auto"/>
            <w:noWrap/>
            <w:vAlign w:val="center"/>
            <w:hideMark/>
          </w:tcPr>
          <w:p w14:paraId="0AFD7E8A"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2FF664E6" w14:textId="77777777" w:rsidTr="00804E6B">
        <w:trPr>
          <w:trHeight w:val="340"/>
        </w:trPr>
        <w:tc>
          <w:tcPr>
            <w:tcW w:w="2520" w:type="dxa"/>
            <w:shd w:val="clear" w:color="auto" w:fill="auto"/>
            <w:noWrap/>
            <w:vAlign w:val="center"/>
            <w:hideMark/>
          </w:tcPr>
          <w:p w14:paraId="3459561A"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6248FC3C" w14:textId="77777777" w:rsidR="00F7044C" w:rsidRPr="00C421E4" w:rsidRDefault="00F7044C" w:rsidP="00804E6B">
            <w:pPr>
              <w:jc w:val="right"/>
              <w:rPr>
                <w:rFonts w:ascii="Times" w:hAnsi="Times"/>
              </w:rPr>
            </w:pPr>
            <w:r w:rsidRPr="00C421E4">
              <w:rPr>
                <w:rFonts w:ascii="Times" w:hAnsi="Times"/>
              </w:rPr>
              <w:t>-0.178</w:t>
            </w:r>
          </w:p>
        </w:tc>
        <w:tc>
          <w:tcPr>
            <w:tcW w:w="1300" w:type="dxa"/>
            <w:shd w:val="clear" w:color="auto" w:fill="auto"/>
            <w:noWrap/>
            <w:vAlign w:val="bottom"/>
            <w:hideMark/>
          </w:tcPr>
          <w:p w14:paraId="25016D01" w14:textId="77777777" w:rsidR="00F7044C" w:rsidRPr="00C421E4" w:rsidRDefault="00F7044C" w:rsidP="00804E6B">
            <w:pPr>
              <w:jc w:val="right"/>
              <w:rPr>
                <w:rFonts w:ascii="Times" w:hAnsi="Times"/>
              </w:rPr>
            </w:pPr>
            <w:r w:rsidRPr="00C421E4">
              <w:rPr>
                <w:rFonts w:ascii="Times" w:hAnsi="Times"/>
              </w:rPr>
              <w:t>2.961</w:t>
            </w:r>
          </w:p>
        </w:tc>
        <w:tc>
          <w:tcPr>
            <w:tcW w:w="1300" w:type="dxa"/>
            <w:shd w:val="clear" w:color="auto" w:fill="auto"/>
            <w:noWrap/>
            <w:vAlign w:val="bottom"/>
            <w:hideMark/>
          </w:tcPr>
          <w:p w14:paraId="42BF85B9" w14:textId="77777777" w:rsidR="00F7044C" w:rsidRPr="00C421E4" w:rsidRDefault="00F7044C" w:rsidP="00804E6B">
            <w:pPr>
              <w:jc w:val="right"/>
              <w:rPr>
                <w:rFonts w:ascii="Times" w:hAnsi="Times"/>
              </w:rPr>
            </w:pPr>
            <w:r w:rsidRPr="00C421E4">
              <w:rPr>
                <w:rFonts w:ascii="Times" w:hAnsi="Times"/>
              </w:rPr>
              <w:t>-0.006</w:t>
            </w:r>
          </w:p>
        </w:tc>
        <w:tc>
          <w:tcPr>
            <w:tcW w:w="1300" w:type="dxa"/>
            <w:shd w:val="clear" w:color="auto" w:fill="auto"/>
            <w:noWrap/>
            <w:vAlign w:val="bottom"/>
            <w:hideMark/>
          </w:tcPr>
          <w:p w14:paraId="4879D330" w14:textId="77777777" w:rsidR="00F7044C" w:rsidRPr="00C421E4" w:rsidRDefault="00F7044C" w:rsidP="00804E6B">
            <w:pPr>
              <w:jc w:val="right"/>
              <w:rPr>
                <w:rFonts w:ascii="Times" w:hAnsi="Times"/>
              </w:rPr>
            </w:pPr>
            <w:r w:rsidRPr="00C421E4">
              <w:rPr>
                <w:rFonts w:ascii="Times" w:hAnsi="Times"/>
              </w:rPr>
              <w:t>-0.06</w:t>
            </w:r>
          </w:p>
        </w:tc>
        <w:tc>
          <w:tcPr>
            <w:tcW w:w="1300" w:type="dxa"/>
            <w:shd w:val="clear" w:color="auto" w:fill="auto"/>
            <w:noWrap/>
            <w:vAlign w:val="bottom"/>
            <w:hideMark/>
          </w:tcPr>
          <w:p w14:paraId="04A7AF22" w14:textId="77777777" w:rsidR="00F7044C" w:rsidRPr="00C421E4" w:rsidRDefault="00F7044C" w:rsidP="00804E6B">
            <w:pPr>
              <w:jc w:val="right"/>
              <w:rPr>
                <w:rFonts w:ascii="Times" w:hAnsi="Times"/>
              </w:rPr>
            </w:pPr>
            <w:r w:rsidRPr="00C421E4">
              <w:rPr>
                <w:rFonts w:ascii="Times" w:hAnsi="Times"/>
              </w:rPr>
              <w:t>0.952</w:t>
            </w:r>
          </w:p>
        </w:tc>
      </w:tr>
      <w:tr w:rsidR="00F7044C" w:rsidRPr="00C421E4" w14:paraId="6E5F1791" w14:textId="77777777" w:rsidTr="00804E6B">
        <w:trPr>
          <w:trHeight w:val="340"/>
        </w:trPr>
        <w:tc>
          <w:tcPr>
            <w:tcW w:w="2520" w:type="dxa"/>
            <w:shd w:val="clear" w:color="auto" w:fill="auto"/>
            <w:noWrap/>
            <w:vAlign w:val="center"/>
            <w:hideMark/>
          </w:tcPr>
          <w:p w14:paraId="1A899237"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2ABB0679" w14:textId="77777777" w:rsidR="00F7044C" w:rsidRPr="00C421E4" w:rsidRDefault="00F7044C" w:rsidP="00804E6B">
            <w:pPr>
              <w:jc w:val="right"/>
              <w:rPr>
                <w:rFonts w:ascii="Times" w:hAnsi="Times"/>
              </w:rPr>
            </w:pPr>
            <w:r w:rsidRPr="00C421E4">
              <w:rPr>
                <w:rFonts w:ascii="Times" w:hAnsi="Times"/>
              </w:rPr>
              <w:t>1.087</w:t>
            </w:r>
          </w:p>
        </w:tc>
        <w:tc>
          <w:tcPr>
            <w:tcW w:w="1300" w:type="dxa"/>
            <w:shd w:val="clear" w:color="auto" w:fill="auto"/>
            <w:noWrap/>
            <w:vAlign w:val="bottom"/>
            <w:hideMark/>
          </w:tcPr>
          <w:p w14:paraId="63F4162A" w14:textId="77777777" w:rsidR="00F7044C" w:rsidRPr="00C421E4" w:rsidRDefault="00F7044C" w:rsidP="00804E6B">
            <w:pPr>
              <w:jc w:val="right"/>
              <w:rPr>
                <w:rFonts w:ascii="Times" w:hAnsi="Times"/>
              </w:rPr>
            </w:pPr>
            <w:r w:rsidRPr="00C421E4">
              <w:rPr>
                <w:rFonts w:ascii="Times" w:hAnsi="Times"/>
              </w:rPr>
              <w:t>1.367</w:t>
            </w:r>
          </w:p>
        </w:tc>
        <w:tc>
          <w:tcPr>
            <w:tcW w:w="1300" w:type="dxa"/>
            <w:shd w:val="clear" w:color="auto" w:fill="auto"/>
            <w:noWrap/>
            <w:vAlign w:val="bottom"/>
            <w:hideMark/>
          </w:tcPr>
          <w:p w14:paraId="26032AAB" w14:textId="77777777" w:rsidR="00F7044C" w:rsidRPr="00C421E4" w:rsidRDefault="00F7044C" w:rsidP="00804E6B">
            <w:pPr>
              <w:jc w:val="right"/>
              <w:rPr>
                <w:rFonts w:ascii="Times" w:hAnsi="Times"/>
              </w:rPr>
            </w:pPr>
            <w:r w:rsidRPr="00C421E4">
              <w:rPr>
                <w:rFonts w:ascii="Times" w:hAnsi="Times"/>
              </w:rPr>
              <w:t>0.084</w:t>
            </w:r>
          </w:p>
        </w:tc>
        <w:tc>
          <w:tcPr>
            <w:tcW w:w="1300" w:type="dxa"/>
            <w:shd w:val="clear" w:color="auto" w:fill="auto"/>
            <w:noWrap/>
            <w:vAlign w:val="bottom"/>
            <w:hideMark/>
          </w:tcPr>
          <w:p w14:paraId="62889AB1" w14:textId="77777777" w:rsidR="00F7044C" w:rsidRPr="00C421E4" w:rsidRDefault="00F7044C" w:rsidP="00804E6B">
            <w:pPr>
              <w:jc w:val="right"/>
              <w:rPr>
                <w:rFonts w:ascii="Times" w:hAnsi="Times"/>
              </w:rPr>
            </w:pPr>
            <w:r w:rsidRPr="00C421E4">
              <w:rPr>
                <w:rFonts w:ascii="Times" w:hAnsi="Times"/>
              </w:rPr>
              <w:t>0.795</w:t>
            </w:r>
          </w:p>
        </w:tc>
        <w:tc>
          <w:tcPr>
            <w:tcW w:w="1300" w:type="dxa"/>
            <w:shd w:val="clear" w:color="auto" w:fill="auto"/>
            <w:noWrap/>
            <w:vAlign w:val="bottom"/>
            <w:hideMark/>
          </w:tcPr>
          <w:p w14:paraId="2DA35776" w14:textId="77777777" w:rsidR="00F7044C" w:rsidRPr="00C421E4" w:rsidRDefault="00F7044C" w:rsidP="00804E6B">
            <w:pPr>
              <w:jc w:val="right"/>
              <w:rPr>
                <w:rFonts w:ascii="Times" w:hAnsi="Times"/>
              </w:rPr>
            </w:pPr>
            <w:r w:rsidRPr="00C421E4">
              <w:rPr>
                <w:rFonts w:ascii="Times" w:hAnsi="Times"/>
              </w:rPr>
              <w:t>0.429</w:t>
            </w:r>
          </w:p>
        </w:tc>
      </w:tr>
      <w:tr w:rsidR="00F7044C" w:rsidRPr="00C421E4" w14:paraId="1B5788B7" w14:textId="77777777" w:rsidTr="00804E6B">
        <w:trPr>
          <w:trHeight w:val="340"/>
        </w:trPr>
        <w:tc>
          <w:tcPr>
            <w:tcW w:w="2520" w:type="dxa"/>
            <w:shd w:val="clear" w:color="auto" w:fill="auto"/>
            <w:noWrap/>
            <w:vAlign w:val="center"/>
            <w:hideMark/>
          </w:tcPr>
          <w:p w14:paraId="5117FD60"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206034B4" w14:textId="77777777" w:rsidR="00F7044C" w:rsidRPr="00C421E4" w:rsidRDefault="00F7044C" w:rsidP="00804E6B">
            <w:pPr>
              <w:jc w:val="right"/>
              <w:rPr>
                <w:rFonts w:ascii="Times" w:hAnsi="Times"/>
              </w:rPr>
            </w:pPr>
            <w:r w:rsidRPr="00C421E4">
              <w:rPr>
                <w:rFonts w:ascii="Times" w:hAnsi="Times"/>
              </w:rPr>
              <w:t>2.329</w:t>
            </w:r>
          </w:p>
        </w:tc>
        <w:tc>
          <w:tcPr>
            <w:tcW w:w="1300" w:type="dxa"/>
            <w:shd w:val="clear" w:color="auto" w:fill="auto"/>
            <w:noWrap/>
            <w:vAlign w:val="bottom"/>
            <w:hideMark/>
          </w:tcPr>
          <w:p w14:paraId="25D2954A" w14:textId="77777777" w:rsidR="00F7044C" w:rsidRPr="00C421E4" w:rsidRDefault="00F7044C" w:rsidP="00804E6B">
            <w:pPr>
              <w:jc w:val="right"/>
              <w:rPr>
                <w:rFonts w:ascii="Times" w:hAnsi="Times"/>
              </w:rPr>
            </w:pPr>
            <w:r w:rsidRPr="00C421E4">
              <w:rPr>
                <w:rFonts w:ascii="Times" w:hAnsi="Times"/>
              </w:rPr>
              <w:t>1.54</w:t>
            </w:r>
          </w:p>
        </w:tc>
        <w:tc>
          <w:tcPr>
            <w:tcW w:w="1300" w:type="dxa"/>
            <w:shd w:val="clear" w:color="auto" w:fill="auto"/>
            <w:noWrap/>
            <w:vAlign w:val="bottom"/>
            <w:hideMark/>
          </w:tcPr>
          <w:p w14:paraId="1AB5FEB1" w14:textId="77777777" w:rsidR="00F7044C" w:rsidRPr="00C421E4" w:rsidRDefault="00F7044C" w:rsidP="00804E6B">
            <w:pPr>
              <w:jc w:val="right"/>
              <w:rPr>
                <w:rFonts w:ascii="Times" w:hAnsi="Times"/>
              </w:rPr>
            </w:pPr>
            <w:r w:rsidRPr="00C421E4">
              <w:rPr>
                <w:rFonts w:ascii="Times" w:hAnsi="Times"/>
              </w:rPr>
              <w:t>0.172</w:t>
            </w:r>
          </w:p>
        </w:tc>
        <w:tc>
          <w:tcPr>
            <w:tcW w:w="1300" w:type="dxa"/>
            <w:shd w:val="clear" w:color="auto" w:fill="auto"/>
            <w:noWrap/>
            <w:vAlign w:val="bottom"/>
            <w:hideMark/>
          </w:tcPr>
          <w:p w14:paraId="52F898BA" w14:textId="77777777" w:rsidR="00F7044C" w:rsidRPr="00C421E4" w:rsidRDefault="00F7044C" w:rsidP="00804E6B">
            <w:pPr>
              <w:jc w:val="right"/>
              <w:rPr>
                <w:rFonts w:ascii="Times" w:hAnsi="Times"/>
              </w:rPr>
            </w:pPr>
            <w:r w:rsidRPr="00C421E4">
              <w:rPr>
                <w:rFonts w:ascii="Times" w:hAnsi="Times"/>
              </w:rPr>
              <w:t>1.513</w:t>
            </w:r>
          </w:p>
        </w:tc>
        <w:tc>
          <w:tcPr>
            <w:tcW w:w="1300" w:type="dxa"/>
            <w:shd w:val="clear" w:color="auto" w:fill="auto"/>
            <w:noWrap/>
            <w:vAlign w:val="bottom"/>
            <w:hideMark/>
          </w:tcPr>
          <w:p w14:paraId="2607FBE7" w14:textId="77777777" w:rsidR="00F7044C" w:rsidRPr="00C421E4" w:rsidRDefault="00F7044C" w:rsidP="00804E6B">
            <w:pPr>
              <w:jc w:val="right"/>
              <w:rPr>
                <w:rFonts w:ascii="Times" w:hAnsi="Times"/>
              </w:rPr>
            </w:pPr>
            <w:r w:rsidRPr="00C421E4">
              <w:rPr>
                <w:rFonts w:ascii="Times" w:hAnsi="Times"/>
              </w:rPr>
              <w:t>0.135</w:t>
            </w:r>
          </w:p>
        </w:tc>
      </w:tr>
      <w:tr w:rsidR="00F7044C" w:rsidRPr="00C421E4" w14:paraId="07552B5D" w14:textId="77777777" w:rsidTr="00804E6B">
        <w:trPr>
          <w:trHeight w:val="340"/>
        </w:trPr>
        <w:tc>
          <w:tcPr>
            <w:tcW w:w="2520" w:type="dxa"/>
            <w:shd w:val="clear" w:color="auto" w:fill="auto"/>
            <w:noWrap/>
            <w:vAlign w:val="center"/>
            <w:hideMark/>
          </w:tcPr>
          <w:p w14:paraId="08248603"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bottom"/>
            <w:hideMark/>
          </w:tcPr>
          <w:p w14:paraId="7C35D709" w14:textId="77777777" w:rsidR="00F7044C" w:rsidRPr="00C421E4" w:rsidRDefault="00F7044C" w:rsidP="00804E6B">
            <w:pPr>
              <w:jc w:val="right"/>
              <w:rPr>
                <w:rFonts w:ascii="Times" w:hAnsi="Times"/>
              </w:rPr>
            </w:pPr>
            <w:r w:rsidRPr="00C421E4">
              <w:rPr>
                <w:rFonts w:ascii="Times" w:hAnsi="Times"/>
              </w:rPr>
              <w:t>2.507</w:t>
            </w:r>
          </w:p>
        </w:tc>
        <w:tc>
          <w:tcPr>
            <w:tcW w:w="1300" w:type="dxa"/>
            <w:shd w:val="clear" w:color="auto" w:fill="auto"/>
            <w:noWrap/>
            <w:vAlign w:val="bottom"/>
            <w:hideMark/>
          </w:tcPr>
          <w:p w14:paraId="38876C15" w14:textId="77777777" w:rsidR="00F7044C" w:rsidRPr="00C421E4" w:rsidRDefault="00F7044C" w:rsidP="00804E6B">
            <w:pPr>
              <w:jc w:val="right"/>
              <w:rPr>
                <w:rFonts w:ascii="Times" w:hAnsi="Times"/>
              </w:rPr>
            </w:pPr>
            <w:r w:rsidRPr="00C421E4">
              <w:rPr>
                <w:rFonts w:ascii="Times" w:hAnsi="Times"/>
              </w:rPr>
              <w:t>3.343</w:t>
            </w:r>
          </w:p>
        </w:tc>
        <w:tc>
          <w:tcPr>
            <w:tcW w:w="1300" w:type="dxa"/>
            <w:shd w:val="clear" w:color="auto" w:fill="auto"/>
            <w:noWrap/>
            <w:vAlign w:val="bottom"/>
            <w:hideMark/>
          </w:tcPr>
          <w:p w14:paraId="3E4A2630" w14:textId="77777777" w:rsidR="00F7044C" w:rsidRPr="00C421E4" w:rsidRDefault="00F7044C" w:rsidP="00804E6B">
            <w:pPr>
              <w:jc w:val="right"/>
              <w:rPr>
                <w:rFonts w:ascii="Times" w:hAnsi="Times"/>
              </w:rPr>
            </w:pPr>
            <w:r w:rsidRPr="00C421E4">
              <w:rPr>
                <w:rFonts w:ascii="Times" w:hAnsi="Times"/>
              </w:rPr>
              <w:t>0.086</w:t>
            </w:r>
          </w:p>
        </w:tc>
        <w:tc>
          <w:tcPr>
            <w:tcW w:w="1300" w:type="dxa"/>
            <w:shd w:val="clear" w:color="auto" w:fill="auto"/>
            <w:noWrap/>
            <w:vAlign w:val="bottom"/>
            <w:hideMark/>
          </w:tcPr>
          <w:p w14:paraId="3DA7E0FF" w14:textId="77777777" w:rsidR="00F7044C" w:rsidRPr="00C421E4" w:rsidRDefault="00F7044C" w:rsidP="00804E6B">
            <w:pPr>
              <w:jc w:val="right"/>
              <w:rPr>
                <w:rFonts w:ascii="Times" w:hAnsi="Times"/>
              </w:rPr>
            </w:pPr>
            <w:r w:rsidRPr="00C421E4">
              <w:rPr>
                <w:rFonts w:ascii="Times" w:hAnsi="Times"/>
              </w:rPr>
              <w:t>0.75</w:t>
            </w:r>
          </w:p>
        </w:tc>
        <w:tc>
          <w:tcPr>
            <w:tcW w:w="1300" w:type="dxa"/>
            <w:shd w:val="clear" w:color="auto" w:fill="auto"/>
            <w:noWrap/>
            <w:vAlign w:val="bottom"/>
            <w:hideMark/>
          </w:tcPr>
          <w:p w14:paraId="6C6F5D24" w14:textId="77777777" w:rsidR="00F7044C" w:rsidRPr="00C421E4" w:rsidRDefault="00F7044C" w:rsidP="00804E6B">
            <w:pPr>
              <w:jc w:val="right"/>
              <w:rPr>
                <w:rFonts w:ascii="Times" w:hAnsi="Times"/>
              </w:rPr>
            </w:pPr>
            <w:r w:rsidRPr="00C421E4">
              <w:rPr>
                <w:rFonts w:ascii="Times" w:hAnsi="Times"/>
              </w:rPr>
              <w:t>0.456</w:t>
            </w:r>
          </w:p>
        </w:tc>
      </w:tr>
      <w:tr w:rsidR="00F7044C" w:rsidRPr="00C421E4" w14:paraId="79D1D94F" w14:textId="77777777" w:rsidTr="00804E6B">
        <w:trPr>
          <w:trHeight w:val="340"/>
        </w:trPr>
        <w:tc>
          <w:tcPr>
            <w:tcW w:w="2520" w:type="dxa"/>
            <w:shd w:val="clear" w:color="auto" w:fill="auto"/>
            <w:noWrap/>
            <w:vAlign w:val="center"/>
            <w:hideMark/>
          </w:tcPr>
          <w:p w14:paraId="696D36DF"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1DDEE9AC" w14:textId="77777777" w:rsidR="00F7044C" w:rsidRPr="00C421E4" w:rsidRDefault="00F7044C" w:rsidP="00804E6B">
            <w:pPr>
              <w:jc w:val="right"/>
              <w:rPr>
                <w:rFonts w:ascii="Times" w:hAnsi="Times"/>
              </w:rPr>
            </w:pPr>
            <w:r w:rsidRPr="00C421E4">
              <w:rPr>
                <w:rFonts w:ascii="Times" w:hAnsi="Times"/>
              </w:rPr>
              <w:t>-0.031</w:t>
            </w:r>
          </w:p>
        </w:tc>
        <w:tc>
          <w:tcPr>
            <w:tcW w:w="1300" w:type="dxa"/>
            <w:shd w:val="clear" w:color="auto" w:fill="auto"/>
            <w:noWrap/>
            <w:vAlign w:val="bottom"/>
            <w:hideMark/>
          </w:tcPr>
          <w:p w14:paraId="0BB72B1A" w14:textId="77777777" w:rsidR="00F7044C" w:rsidRPr="00C421E4" w:rsidRDefault="00F7044C" w:rsidP="00804E6B">
            <w:pPr>
              <w:jc w:val="right"/>
              <w:rPr>
                <w:rFonts w:ascii="Times" w:hAnsi="Times"/>
              </w:rPr>
            </w:pPr>
            <w:r w:rsidRPr="00C421E4">
              <w:rPr>
                <w:rFonts w:ascii="Times" w:hAnsi="Times"/>
              </w:rPr>
              <w:t>0.207</w:t>
            </w:r>
          </w:p>
        </w:tc>
        <w:tc>
          <w:tcPr>
            <w:tcW w:w="1300" w:type="dxa"/>
            <w:shd w:val="clear" w:color="auto" w:fill="auto"/>
            <w:noWrap/>
            <w:vAlign w:val="bottom"/>
            <w:hideMark/>
          </w:tcPr>
          <w:p w14:paraId="0CFD4017" w14:textId="77777777" w:rsidR="00F7044C" w:rsidRPr="00C421E4" w:rsidRDefault="00F7044C" w:rsidP="00804E6B">
            <w:pPr>
              <w:jc w:val="right"/>
              <w:rPr>
                <w:rFonts w:ascii="Times" w:hAnsi="Times"/>
              </w:rPr>
            </w:pPr>
            <w:r w:rsidRPr="00C421E4">
              <w:rPr>
                <w:rFonts w:ascii="Times" w:hAnsi="Times"/>
              </w:rPr>
              <w:t>-0.018</w:t>
            </w:r>
          </w:p>
        </w:tc>
        <w:tc>
          <w:tcPr>
            <w:tcW w:w="1300" w:type="dxa"/>
            <w:shd w:val="clear" w:color="auto" w:fill="auto"/>
            <w:noWrap/>
            <w:vAlign w:val="bottom"/>
            <w:hideMark/>
          </w:tcPr>
          <w:p w14:paraId="6A907C4F" w14:textId="77777777" w:rsidR="00F7044C" w:rsidRPr="00C421E4" w:rsidRDefault="00F7044C" w:rsidP="00804E6B">
            <w:pPr>
              <w:jc w:val="right"/>
              <w:rPr>
                <w:rFonts w:ascii="Times" w:hAnsi="Times"/>
              </w:rPr>
            </w:pPr>
            <w:r w:rsidRPr="00C421E4">
              <w:rPr>
                <w:rFonts w:ascii="Times" w:hAnsi="Times"/>
              </w:rPr>
              <w:t>-0.148</w:t>
            </w:r>
          </w:p>
        </w:tc>
        <w:tc>
          <w:tcPr>
            <w:tcW w:w="1300" w:type="dxa"/>
            <w:shd w:val="clear" w:color="auto" w:fill="auto"/>
            <w:noWrap/>
            <w:vAlign w:val="bottom"/>
            <w:hideMark/>
          </w:tcPr>
          <w:p w14:paraId="43FDC741" w14:textId="77777777" w:rsidR="00F7044C" w:rsidRPr="00C421E4" w:rsidRDefault="00F7044C" w:rsidP="00804E6B">
            <w:pPr>
              <w:jc w:val="right"/>
              <w:rPr>
                <w:rFonts w:ascii="Times" w:hAnsi="Times"/>
              </w:rPr>
            </w:pPr>
            <w:r w:rsidRPr="00C421E4">
              <w:rPr>
                <w:rFonts w:ascii="Times" w:hAnsi="Times"/>
              </w:rPr>
              <w:t>0.882</w:t>
            </w:r>
          </w:p>
        </w:tc>
      </w:tr>
      <w:tr w:rsidR="00F7044C" w:rsidRPr="00C421E4" w14:paraId="1ACC874B" w14:textId="77777777" w:rsidTr="00804E6B">
        <w:trPr>
          <w:trHeight w:val="340"/>
        </w:trPr>
        <w:tc>
          <w:tcPr>
            <w:tcW w:w="9020" w:type="dxa"/>
            <w:gridSpan w:val="6"/>
            <w:shd w:val="clear" w:color="auto" w:fill="auto"/>
            <w:noWrap/>
            <w:vAlign w:val="center"/>
            <w:hideMark/>
          </w:tcPr>
          <w:p w14:paraId="028A9D98"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69ED9197" w14:textId="77777777" w:rsidTr="00804E6B">
        <w:trPr>
          <w:trHeight w:val="340"/>
        </w:trPr>
        <w:tc>
          <w:tcPr>
            <w:tcW w:w="2520" w:type="dxa"/>
            <w:shd w:val="clear" w:color="auto" w:fill="auto"/>
            <w:noWrap/>
            <w:vAlign w:val="center"/>
            <w:hideMark/>
          </w:tcPr>
          <w:p w14:paraId="336F0F22"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bottom"/>
            <w:hideMark/>
          </w:tcPr>
          <w:p w14:paraId="46A44F63" w14:textId="77777777" w:rsidR="00F7044C" w:rsidRPr="00C421E4" w:rsidRDefault="00F7044C" w:rsidP="00804E6B">
            <w:pPr>
              <w:jc w:val="right"/>
              <w:rPr>
                <w:rFonts w:ascii="Times" w:hAnsi="Times"/>
              </w:rPr>
            </w:pPr>
            <w:r w:rsidRPr="00C421E4">
              <w:rPr>
                <w:rFonts w:ascii="Times" w:hAnsi="Times"/>
              </w:rPr>
              <w:t>-1.569</w:t>
            </w:r>
          </w:p>
        </w:tc>
        <w:tc>
          <w:tcPr>
            <w:tcW w:w="1300" w:type="dxa"/>
            <w:shd w:val="clear" w:color="auto" w:fill="auto"/>
            <w:noWrap/>
            <w:vAlign w:val="bottom"/>
            <w:hideMark/>
          </w:tcPr>
          <w:p w14:paraId="2886601C" w14:textId="77777777" w:rsidR="00F7044C" w:rsidRPr="00C421E4" w:rsidRDefault="00F7044C" w:rsidP="00804E6B">
            <w:pPr>
              <w:jc w:val="right"/>
              <w:rPr>
                <w:rFonts w:ascii="Times" w:hAnsi="Times"/>
              </w:rPr>
            </w:pPr>
            <w:r w:rsidRPr="00C421E4">
              <w:rPr>
                <w:rFonts w:ascii="Times" w:hAnsi="Times"/>
              </w:rPr>
              <w:t>2.762</w:t>
            </w:r>
          </w:p>
        </w:tc>
        <w:tc>
          <w:tcPr>
            <w:tcW w:w="1300" w:type="dxa"/>
            <w:shd w:val="clear" w:color="auto" w:fill="auto"/>
            <w:noWrap/>
            <w:vAlign w:val="bottom"/>
            <w:hideMark/>
          </w:tcPr>
          <w:p w14:paraId="4621CF2A" w14:textId="77777777" w:rsidR="00F7044C" w:rsidRPr="00C421E4" w:rsidRDefault="00F7044C" w:rsidP="00804E6B">
            <w:pPr>
              <w:jc w:val="right"/>
              <w:rPr>
                <w:rFonts w:ascii="Times" w:hAnsi="Times"/>
              </w:rPr>
            </w:pPr>
            <w:r w:rsidRPr="00C421E4">
              <w:rPr>
                <w:rFonts w:ascii="Times" w:hAnsi="Times"/>
              </w:rPr>
              <w:t>-0.06</w:t>
            </w:r>
          </w:p>
        </w:tc>
        <w:tc>
          <w:tcPr>
            <w:tcW w:w="1300" w:type="dxa"/>
            <w:shd w:val="clear" w:color="auto" w:fill="auto"/>
            <w:noWrap/>
            <w:vAlign w:val="bottom"/>
            <w:hideMark/>
          </w:tcPr>
          <w:p w14:paraId="1A15528E" w14:textId="77777777" w:rsidR="00F7044C" w:rsidRPr="00C421E4" w:rsidRDefault="00F7044C" w:rsidP="00804E6B">
            <w:pPr>
              <w:jc w:val="right"/>
              <w:rPr>
                <w:rFonts w:ascii="Times" w:hAnsi="Times"/>
              </w:rPr>
            </w:pPr>
            <w:r w:rsidRPr="00C421E4">
              <w:rPr>
                <w:rFonts w:ascii="Times" w:hAnsi="Times"/>
              </w:rPr>
              <w:t>-0.568</w:t>
            </w:r>
          </w:p>
        </w:tc>
        <w:tc>
          <w:tcPr>
            <w:tcW w:w="1300" w:type="dxa"/>
            <w:shd w:val="clear" w:color="auto" w:fill="auto"/>
            <w:noWrap/>
            <w:vAlign w:val="bottom"/>
            <w:hideMark/>
          </w:tcPr>
          <w:p w14:paraId="3F0CD253" w14:textId="77777777" w:rsidR="00F7044C" w:rsidRPr="00C421E4" w:rsidRDefault="00F7044C" w:rsidP="00804E6B">
            <w:pPr>
              <w:jc w:val="right"/>
              <w:rPr>
                <w:rFonts w:ascii="Times" w:hAnsi="Times"/>
              </w:rPr>
            </w:pPr>
            <w:r w:rsidRPr="00C421E4">
              <w:rPr>
                <w:rFonts w:ascii="Times" w:hAnsi="Times"/>
              </w:rPr>
              <w:t>0.571</w:t>
            </w:r>
          </w:p>
        </w:tc>
      </w:tr>
      <w:tr w:rsidR="00F7044C" w:rsidRPr="00C421E4" w14:paraId="14697FBF" w14:textId="77777777" w:rsidTr="00804E6B">
        <w:trPr>
          <w:trHeight w:val="340"/>
        </w:trPr>
        <w:tc>
          <w:tcPr>
            <w:tcW w:w="2520" w:type="dxa"/>
            <w:shd w:val="clear" w:color="auto" w:fill="auto"/>
            <w:noWrap/>
            <w:vAlign w:val="center"/>
            <w:hideMark/>
          </w:tcPr>
          <w:p w14:paraId="59F74D15"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bottom"/>
            <w:hideMark/>
          </w:tcPr>
          <w:p w14:paraId="7F5508CC" w14:textId="77777777" w:rsidR="00F7044C" w:rsidRPr="00C421E4" w:rsidRDefault="00F7044C" w:rsidP="00804E6B">
            <w:pPr>
              <w:jc w:val="right"/>
              <w:rPr>
                <w:rFonts w:ascii="Times" w:hAnsi="Times"/>
              </w:rPr>
            </w:pPr>
            <w:r w:rsidRPr="00C421E4">
              <w:rPr>
                <w:rFonts w:ascii="Times" w:hAnsi="Times"/>
              </w:rPr>
              <w:t>-1.982</w:t>
            </w:r>
          </w:p>
        </w:tc>
        <w:tc>
          <w:tcPr>
            <w:tcW w:w="1300" w:type="dxa"/>
            <w:shd w:val="clear" w:color="auto" w:fill="auto"/>
            <w:noWrap/>
            <w:vAlign w:val="bottom"/>
            <w:hideMark/>
          </w:tcPr>
          <w:p w14:paraId="7C3F8912" w14:textId="77777777" w:rsidR="00F7044C" w:rsidRPr="00C421E4" w:rsidRDefault="00F7044C" w:rsidP="00804E6B">
            <w:pPr>
              <w:jc w:val="right"/>
              <w:rPr>
                <w:rFonts w:ascii="Times" w:hAnsi="Times"/>
              </w:rPr>
            </w:pPr>
            <w:r w:rsidRPr="00C421E4">
              <w:rPr>
                <w:rFonts w:ascii="Times" w:hAnsi="Times"/>
              </w:rPr>
              <w:t>1.415</w:t>
            </w:r>
          </w:p>
        </w:tc>
        <w:tc>
          <w:tcPr>
            <w:tcW w:w="1300" w:type="dxa"/>
            <w:shd w:val="clear" w:color="auto" w:fill="auto"/>
            <w:noWrap/>
            <w:vAlign w:val="bottom"/>
            <w:hideMark/>
          </w:tcPr>
          <w:p w14:paraId="2C7A6742" w14:textId="77777777" w:rsidR="00F7044C" w:rsidRPr="00C421E4" w:rsidRDefault="00F7044C" w:rsidP="00804E6B">
            <w:pPr>
              <w:jc w:val="right"/>
              <w:rPr>
                <w:rFonts w:ascii="Times" w:hAnsi="Times"/>
              </w:rPr>
            </w:pPr>
            <w:r w:rsidRPr="00C421E4">
              <w:rPr>
                <w:rFonts w:ascii="Times" w:hAnsi="Times"/>
              </w:rPr>
              <w:t>-0.148</w:t>
            </w:r>
          </w:p>
        </w:tc>
        <w:tc>
          <w:tcPr>
            <w:tcW w:w="1300" w:type="dxa"/>
            <w:shd w:val="clear" w:color="auto" w:fill="auto"/>
            <w:noWrap/>
            <w:vAlign w:val="bottom"/>
            <w:hideMark/>
          </w:tcPr>
          <w:p w14:paraId="6ED82238" w14:textId="77777777" w:rsidR="00F7044C" w:rsidRPr="00C421E4" w:rsidRDefault="00F7044C" w:rsidP="00804E6B">
            <w:pPr>
              <w:jc w:val="right"/>
              <w:rPr>
                <w:rFonts w:ascii="Times" w:hAnsi="Times"/>
              </w:rPr>
            </w:pPr>
            <w:r w:rsidRPr="00C421E4">
              <w:rPr>
                <w:rFonts w:ascii="Times" w:hAnsi="Times"/>
              </w:rPr>
              <w:t>-1.401</w:t>
            </w:r>
          </w:p>
        </w:tc>
        <w:tc>
          <w:tcPr>
            <w:tcW w:w="1300" w:type="dxa"/>
            <w:shd w:val="clear" w:color="auto" w:fill="auto"/>
            <w:noWrap/>
            <w:vAlign w:val="bottom"/>
            <w:hideMark/>
          </w:tcPr>
          <w:p w14:paraId="74A5B6FA" w14:textId="77777777" w:rsidR="00F7044C" w:rsidRPr="00C421E4" w:rsidRDefault="00F7044C" w:rsidP="00804E6B">
            <w:pPr>
              <w:jc w:val="right"/>
              <w:rPr>
                <w:rFonts w:ascii="Times" w:hAnsi="Times"/>
              </w:rPr>
            </w:pPr>
            <w:r w:rsidRPr="00C421E4">
              <w:rPr>
                <w:rFonts w:ascii="Times" w:hAnsi="Times"/>
              </w:rPr>
              <w:t>0.165</w:t>
            </w:r>
          </w:p>
        </w:tc>
      </w:tr>
      <w:tr w:rsidR="00F7044C" w:rsidRPr="00C421E4" w14:paraId="4A472AE4" w14:textId="77777777" w:rsidTr="00804E6B">
        <w:trPr>
          <w:trHeight w:val="340"/>
        </w:trPr>
        <w:tc>
          <w:tcPr>
            <w:tcW w:w="2520" w:type="dxa"/>
            <w:shd w:val="clear" w:color="auto" w:fill="auto"/>
            <w:noWrap/>
            <w:vAlign w:val="center"/>
            <w:hideMark/>
          </w:tcPr>
          <w:p w14:paraId="2E567DA8"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bottom"/>
            <w:hideMark/>
          </w:tcPr>
          <w:p w14:paraId="471F6382" w14:textId="77777777" w:rsidR="00F7044C" w:rsidRPr="00C421E4" w:rsidRDefault="00F7044C" w:rsidP="00804E6B">
            <w:pPr>
              <w:jc w:val="right"/>
              <w:rPr>
                <w:rFonts w:ascii="Times" w:hAnsi="Times"/>
              </w:rPr>
            </w:pPr>
            <w:r w:rsidRPr="00C421E4">
              <w:rPr>
                <w:rFonts w:ascii="Times" w:hAnsi="Times"/>
              </w:rPr>
              <w:t>10.225</w:t>
            </w:r>
          </w:p>
        </w:tc>
        <w:tc>
          <w:tcPr>
            <w:tcW w:w="1300" w:type="dxa"/>
            <w:shd w:val="clear" w:color="auto" w:fill="auto"/>
            <w:noWrap/>
            <w:vAlign w:val="bottom"/>
            <w:hideMark/>
          </w:tcPr>
          <w:p w14:paraId="1A394506" w14:textId="77777777" w:rsidR="00F7044C" w:rsidRPr="00C421E4" w:rsidRDefault="00F7044C" w:rsidP="00804E6B">
            <w:pPr>
              <w:jc w:val="right"/>
              <w:rPr>
                <w:rFonts w:ascii="Times" w:hAnsi="Times"/>
              </w:rPr>
            </w:pPr>
            <w:r w:rsidRPr="00C421E4">
              <w:rPr>
                <w:rFonts w:ascii="Times" w:hAnsi="Times"/>
              </w:rPr>
              <w:t>7.235</w:t>
            </w:r>
          </w:p>
        </w:tc>
        <w:tc>
          <w:tcPr>
            <w:tcW w:w="1300" w:type="dxa"/>
            <w:shd w:val="clear" w:color="auto" w:fill="auto"/>
            <w:noWrap/>
            <w:vAlign w:val="bottom"/>
            <w:hideMark/>
          </w:tcPr>
          <w:p w14:paraId="2219C602" w14:textId="77777777" w:rsidR="00F7044C" w:rsidRPr="00C421E4" w:rsidRDefault="00F7044C" w:rsidP="00804E6B">
            <w:pPr>
              <w:jc w:val="right"/>
              <w:rPr>
                <w:rFonts w:ascii="Times" w:hAnsi="Times"/>
              </w:rPr>
            </w:pPr>
            <w:r w:rsidRPr="00C421E4">
              <w:rPr>
                <w:rFonts w:ascii="Times" w:hAnsi="Times"/>
              </w:rPr>
              <w:t>0.161</w:t>
            </w:r>
          </w:p>
        </w:tc>
        <w:tc>
          <w:tcPr>
            <w:tcW w:w="1300" w:type="dxa"/>
            <w:shd w:val="clear" w:color="auto" w:fill="auto"/>
            <w:noWrap/>
            <w:vAlign w:val="bottom"/>
            <w:hideMark/>
          </w:tcPr>
          <w:p w14:paraId="51CDF180" w14:textId="77777777" w:rsidR="00F7044C" w:rsidRPr="00C421E4" w:rsidRDefault="00F7044C" w:rsidP="00804E6B">
            <w:pPr>
              <w:jc w:val="right"/>
              <w:rPr>
                <w:rFonts w:ascii="Times" w:hAnsi="Times"/>
              </w:rPr>
            </w:pPr>
            <w:r w:rsidRPr="00C421E4">
              <w:rPr>
                <w:rFonts w:ascii="Times" w:hAnsi="Times"/>
              </w:rPr>
              <w:t>1.413</w:t>
            </w:r>
          </w:p>
        </w:tc>
        <w:tc>
          <w:tcPr>
            <w:tcW w:w="1300" w:type="dxa"/>
            <w:shd w:val="clear" w:color="auto" w:fill="auto"/>
            <w:noWrap/>
            <w:vAlign w:val="bottom"/>
            <w:hideMark/>
          </w:tcPr>
          <w:p w14:paraId="64B68CDF" w14:textId="77777777" w:rsidR="00F7044C" w:rsidRPr="00C421E4" w:rsidRDefault="00F7044C" w:rsidP="00804E6B">
            <w:pPr>
              <w:jc w:val="right"/>
              <w:rPr>
                <w:rFonts w:ascii="Times" w:hAnsi="Times"/>
              </w:rPr>
            </w:pPr>
            <w:r w:rsidRPr="00C421E4">
              <w:rPr>
                <w:rFonts w:ascii="Times" w:hAnsi="Times"/>
              </w:rPr>
              <w:t>0.162</w:t>
            </w:r>
          </w:p>
        </w:tc>
      </w:tr>
      <w:tr w:rsidR="00F7044C" w:rsidRPr="00C421E4" w14:paraId="061DA910" w14:textId="77777777" w:rsidTr="00804E6B">
        <w:trPr>
          <w:trHeight w:val="340"/>
        </w:trPr>
        <w:tc>
          <w:tcPr>
            <w:tcW w:w="2520" w:type="dxa"/>
            <w:shd w:val="clear" w:color="auto" w:fill="auto"/>
            <w:noWrap/>
            <w:vAlign w:val="center"/>
            <w:hideMark/>
          </w:tcPr>
          <w:p w14:paraId="27454B8A" w14:textId="77777777" w:rsidR="00F7044C" w:rsidRPr="00C421E4" w:rsidRDefault="00F7044C" w:rsidP="00804E6B">
            <w:pPr>
              <w:rPr>
                <w:rFonts w:ascii="Times" w:hAnsi="Times"/>
              </w:rPr>
            </w:pPr>
            <w:r w:rsidRPr="00C421E4">
              <w:rPr>
                <w:rFonts w:ascii="Times" w:hAnsi="Times"/>
              </w:rPr>
              <w:t>Zygomaticus tone</w:t>
            </w:r>
          </w:p>
        </w:tc>
        <w:tc>
          <w:tcPr>
            <w:tcW w:w="1300" w:type="dxa"/>
            <w:shd w:val="clear" w:color="auto" w:fill="auto"/>
            <w:noWrap/>
            <w:vAlign w:val="bottom"/>
            <w:hideMark/>
          </w:tcPr>
          <w:p w14:paraId="286FB763" w14:textId="77777777" w:rsidR="00F7044C" w:rsidRPr="00C421E4" w:rsidRDefault="00F7044C" w:rsidP="00804E6B">
            <w:pPr>
              <w:jc w:val="right"/>
              <w:rPr>
                <w:rFonts w:ascii="Times" w:hAnsi="Times"/>
              </w:rPr>
            </w:pPr>
            <w:r w:rsidRPr="00C421E4">
              <w:rPr>
                <w:rFonts w:ascii="Times" w:hAnsi="Times"/>
              </w:rPr>
              <w:t>2.71</w:t>
            </w:r>
          </w:p>
        </w:tc>
        <w:tc>
          <w:tcPr>
            <w:tcW w:w="1300" w:type="dxa"/>
            <w:shd w:val="clear" w:color="auto" w:fill="auto"/>
            <w:noWrap/>
            <w:vAlign w:val="bottom"/>
            <w:hideMark/>
          </w:tcPr>
          <w:p w14:paraId="60DB2B07" w14:textId="77777777" w:rsidR="00F7044C" w:rsidRPr="00C421E4" w:rsidRDefault="00F7044C" w:rsidP="00804E6B">
            <w:pPr>
              <w:jc w:val="right"/>
              <w:rPr>
                <w:rFonts w:ascii="Times" w:hAnsi="Times"/>
              </w:rPr>
            </w:pPr>
            <w:r w:rsidRPr="00C421E4">
              <w:rPr>
                <w:rFonts w:ascii="Times" w:hAnsi="Times"/>
              </w:rPr>
              <w:t>1.354</w:t>
            </w:r>
          </w:p>
        </w:tc>
        <w:tc>
          <w:tcPr>
            <w:tcW w:w="1300" w:type="dxa"/>
            <w:shd w:val="clear" w:color="auto" w:fill="auto"/>
            <w:noWrap/>
            <w:vAlign w:val="bottom"/>
            <w:hideMark/>
          </w:tcPr>
          <w:p w14:paraId="530E921E" w14:textId="77777777" w:rsidR="00F7044C" w:rsidRPr="00C421E4" w:rsidRDefault="00F7044C" w:rsidP="00804E6B">
            <w:pPr>
              <w:jc w:val="right"/>
              <w:rPr>
                <w:rFonts w:ascii="Times" w:hAnsi="Times"/>
              </w:rPr>
            </w:pPr>
            <w:r w:rsidRPr="00C421E4">
              <w:rPr>
                <w:rFonts w:ascii="Times" w:hAnsi="Times"/>
              </w:rPr>
              <w:t>0.225</w:t>
            </w:r>
          </w:p>
        </w:tc>
        <w:tc>
          <w:tcPr>
            <w:tcW w:w="1300" w:type="dxa"/>
            <w:shd w:val="clear" w:color="auto" w:fill="auto"/>
            <w:noWrap/>
            <w:vAlign w:val="bottom"/>
            <w:hideMark/>
          </w:tcPr>
          <w:p w14:paraId="71087C49" w14:textId="77777777" w:rsidR="00F7044C" w:rsidRPr="00C421E4" w:rsidRDefault="00F7044C" w:rsidP="00804E6B">
            <w:pPr>
              <w:jc w:val="right"/>
              <w:rPr>
                <w:rFonts w:ascii="Times" w:hAnsi="Times"/>
              </w:rPr>
            </w:pPr>
            <w:r w:rsidRPr="00C421E4">
              <w:rPr>
                <w:rFonts w:ascii="Times" w:hAnsi="Times"/>
              </w:rPr>
              <w:t>2.002</w:t>
            </w:r>
          </w:p>
        </w:tc>
        <w:tc>
          <w:tcPr>
            <w:tcW w:w="1300" w:type="dxa"/>
            <w:shd w:val="clear" w:color="auto" w:fill="auto"/>
            <w:noWrap/>
            <w:vAlign w:val="bottom"/>
            <w:hideMark/>
          </w:tcPr>
          <w:p w14:paraId="6D94F23B" w14:textId="77777777" w:rsidR="00F7044C" w:rsidRPr="00C421E4" w:rsidRDefault="00F7044C" w:rsidP="00804E6B">
            <w:pPr>
              <w:jc w:val="right"/>
              <w:rPr>
                <w:rFonts w:ascii="Times" w:hAnsi="Times"/>
              </w:rPr>
            </w:pPr>
            <w:r w:rsidRPr="00C421E4">
              <w:rPr>
                <w:rFonts w:ascii="Times" w:hAnsi="Times"/>
              </w:rPr>
              <w:t>0.049</w:t>
            </w:r>
          </w:p>
        </w:tc>
      </w:tr>
      <w:tr w:rsidR="00F7044C" w:rsidRPr="00C421E4" w14:paraId="47EDDE5B" w14:textId="77777777" w:rsidTr="00804E6B">
        <w:trPr>
          <w:trHeight w:val="340"/>
        </w:trPr>
        <w:tc>
          <w:tcPr>
            <w:tcW w:w="2520" w:type="dxa"/>
            <w:shd w:val="clear" w:color="auto" w:fill="auto"/>
            <w:noWrap/>
            <w:vAlign w:val="center"/>
            <w:hideMark/>
          </w:tcPr>
          <w:p w14:paraId="3AEB8662"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bottom"/>
            <w:hideMark/>
          </w:tcPr>
          <w:p w14:paraId="788F2096" w14:textId="77777777" w:rsidR="00F7044C" w:rsidRPr="00C421E4" w:rsidRDefault="00F7044C" w:rsidP="00804E6B">
            <w:pPr>
              <w:jc w:val="right"/>
              <w:rPr>
                <w:rFonts w:ascii="Times" w:hAnsi="Times"/>
              </w:rPr>
            </w:pPr>
            <w:r w:rsidRPr="00C421E4">
              <w:rPr>
                <w:rFonts w:ascii="Times" w:hAnsi="Times"/>
              </w:rPr>
              <w:t>0.128</w:t>
            </w:r>
          </w:p>
        </w:tc>
        <w:tc>
          <w:tcPr>
            <w:tcW w:w="1300" w:type="dxa"/>
            <w:shd w:val="clear" w:color="auto" w:fill="auto"/>
            <w:noWrap/>
            <w:vAlign w:val="bottom"/>
            <w:hideMark/>
          </w:tcPr>
          <w:p w14:paraId="25E2032B" w14:textId="77777777" w:rsidR="00F7044C" w:rsidRPr="00C421E4" w:rsidRDefault="00F7044C" w:rsidP="00804E6B">
            <w:pPr>
              <w:jc w:val="right"/>
              <w:rPr>
                <w:rFonts w:ascii="Times" w:hAnsi="Times"/>
              </w:rPr>
            </w:pPr>
            <w:r w:rsidRPr="00C421E4">
              <w:rPr>
                <w:rFonts w:ascii="Times" w:hAnsi="Times"/>
              </w:rPr>
              <w:t>0.198</w:t>
            </w:r>
          </w:p>
        </w:tc>
        <w:tc>
          <w:tcPr>
            <w:tcW w:w="1300" w:type="dxa"/>
            <w:shd w:val="clear" w:color="auto" w:fill="auto"/>
            <w:noWrap/>
            <w:vAlign w:val="bottom"/>
            <w:hideMark/>
          </w:tcPr>
          <w:p w14:paraId="6AA05904" w14:textId="77777777" w:rsidR="00F7044C" w:rsidRPr="00C421E4" w:rsidRDefault="00F7044C" w:rsidP="00804E6B">
            <w:pPr>
              <w:jc w:val="right"/>
              <w:rPr>
                <w:rFonts w:ascii="Times" w:hAnsi="Times"/>
              </w:rPr>
            </w:pPr>
            <w:r w:rsidRPr="00C421E4">
              <w:rPr>
                <w:rFonts w:ascii="Times" w:hAnsi="Times"/>
              </w:rPr>
              <w:t>0.077</w:t>
            </w:r>
          </w:p>
        </w:tc>
        <w:tc>
          <w:tcPr>
            <w:tcW w:w="1300" w:type="dxa"/>
            <w:shd w:val="clear" w:color="auto" w:fill="auto"/>
            <w:noWrap/>
            <w:vAlign w:val="bottom"/>
            <w:hideMark/>
          </w:tcPr>
          <w:p w14:paraId="2483EAD6" w14:textId="77777777" w:rsidR="00F7044C" w:rsidRPr="00C421E4" w:rsidRDefault="00F7044C" w:rsidP="00804E6B">
            <w:pPr>
              <w:jc w:val="right"/>
              <w:rPr>
                <w:rFonts w:ascii="Times" w:hAnsi="Times"/>
              </w:rPr>
            </w:pPr>
            <w:r w:rsidRPr="00C421E4">
              <w:rPr>
                <w:rFonts w:ascii="Times" w:hAnsi="Times"/>
              </w:rPr>
              <w:t>0.645</w:t>
            </w:r>
          </w:p>
        </w:tc>
        <w:tc>
          <w:tcPr>
            <w:tcW w:w="1300" w:type="dxa"/>
            <w:shd w:val="clear" w:color="auto" w:fill="auto"/>
            <w:noWrap/>
            <w:vAlign w:val="bottom"/>
            <w:hideMark/>
          </w:tcPr>
          <w:p w14:paraId="73D4DB4C" w14:textId="77777777" w:rsidR="00F7044C" w:rsidRPr="00C421E4" w:rsidRDefault="00F7044C" w:rsidP="00804E6B">
            <w:pPr>
              <w:jc w:val="right"/>
              <w:rPr>
                <w:rFonts w:ascii="Times" w:hAnsi="Times"/>
              </w:rPr>
            </w:pPr>
            <w:r w:rsidRPr="00C421E4">
              <w:rPr>
                <w:rFonts w:ascii="Times" w:hAnsi="Times"/>
              </w:rPr>
              <w:t>0.521</w:t>
            </w:r>
          </w:p>
        </w:tc>
      </w:tr>
    </w:tbl>
    <w:p w14:paraId="0B782AB2" w14:textId="77777777" w:rsidR="00F7044C" w:rsidRDefault="00F7044C" w:rsidP="00F7044C">
      <w:pPr>
        <w:rPr>
          <w:rFonts w:ascii="Times" w:hAnsi="Times"/>
        </w:rPr>
      </w:pPr>
    </w:p>
    <w:p w14:paraId="1C0A95C7" w14:textId="77777777" w:rsidR="00F7044C" w:rsidRPr="00C421E4" w:rsidRDefault="00F7044C" w:rsidP="00F7044C">
      <w:pPr>
        <w:rPr>
          <w:rFonts w:ascii="Times" w:hAnsi="Times"/>
        </w:rPr>
      </w:pPr>
      <w:r>
        <w:rPr>
          <w:rFonts w:ascii="Times" w:hAnsi="Times"/>
        </w:rPr>
        <w:t>Table 8</w:t>
      </w:r>
      <w:r w:rsidRPr="00C421E4">
        <w:rPr>
          <w:rFonts w:ascii="Times" w:hAnsi="Times"/>
        </w:rPr>
        <w:t xml:space="preserve">: Regression results for main effects predicting anxiety symptoms. </w:t>
      </w:r>
    </w:p>
    <w:p w14:paraId="5D20C616" w14:textId="77777777" w:rsidR="00F7044C" w:rsidRPr="00C421E4" w:rsidRDefault="00F7044C" w:rsidP="00F7044C">
      <w:pPr>
        <w:rPr>
          <w:rFonts w:ascii="Times" w:hAnsi="Times"/>
        </w:rPr>
      </w:pPr>
      <w:r w:rsidRPr="00C421E4">
        <w:rPr>
          <w:rFonts w:ascii="Times" w:hAnsi="Times"/>
        </w:rPr>
        <w:br w:type="page"/>
      </w:r>
    </w:p>
    <w:p w14:paraId="4D5C2F2E" w14:textId="77777777" w:rsidR="00F7044C" w:rsidRPr="00C421E4" w:rsidRDefault="00F7044C" w:rsidP="00F7044C">
      <w:pPr>
        <w:rPr>
          <w:rFonts w:ascii="Times" w:hAnsi="Times"/>
        </w:rPr>
      </w:pPr>
    </w:p>
    <w:tbl>
      <w:tblPr>
        <w:tblW w:w="8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1248"/>
        <w:gridCol w:w="1300"/>
        <w:gridCol w:w="1300"/>
        <w:gridCol w:w="1300"/>
        <w:gridCol w:w="1300"/>
      </w:tblGrid>
      <w:tr w:rsidR="00F7044C" w:rsidRPr="00C421E4" w14:paraId="297615D0" w14:textId="77777777" w:rsidTr="00804E6B">
        <w:trPr>
          <w:trHeight w:val="320"/>
        </w:trPr>
        <w:tc>
          <w:tcPr>
            <w:tcW w:w="2065" w:type="dxa"/>
            <w:shd w:val="clear" w:color="auto" w:fill="auto"/>
            <w:noWrap/>
            <w:vAlign w:val="bottom"/>
            <w:hideMark/>
          </w:tcPr>
          <w:p w14:paraId="648AD4D8" w14:textId="77777777" w:rsidR="00F7044C" w:rsidRPr="00C421E4" w:rsidRDefault="00F7044C" w:rsidP="00804E6B">
            <w:pPr>
              <w:rPr>
                <w:rFonts w:ascii="Times" w:hAnsi="Times"/>
              </w:rPr>
            </w:pPr>
          </w:p>
        </w:tc>
        <w:tc>
          <w:tcPr>
            <w:tcW w:w="1248" w:type="dxa"/>
            <w:shd w:val="clear" w:color="auto" w:fill="auto"/>
            <w:noWrap/>
            <w:vAlign w:val="bottom"/>
            <w:hideMark/>
          </w:tcPr>
          <w:p w14:paraId="3D145A34" w14:textId="77777777" w:rsidR="00F7044C" w:rsidRPr="00C421E4" w:rsidRDefault="00F7044C" w:rsidP="00804E6B">
            <w:pPr>
              <w:rPr>
                <w:rFonts w:ascii="Times" w:hAnsi="Times"/>
              </w:rPr>
            </w:pPr>
            <w:r w:rsidRPr="00C421E4">
              <w:rPr>
                <w:rFonts w:ascii="Times" w:hAnsi="Times"/>
              </w:rPr>
              <w:t>B</w:t>
            </w:r>
          </w:p>
        </w:tc>
        <w:tc>
          <w:tcPr>
            <w:tcW w:w="1300" w:type="dxa"/>
            <w:shd w:val="clear" w:color="auto" w:fill="auto"/>
            <w:noWrap/>
            <w:vAlign w:val="bottom"/>
            <w:hideMark/>
          </w:tcPr>
          <w:p w14:paraId="50D560C5" w14:textId="77777777" w:rsidR="00F7044C" w:rsidRPr="00C421E4" w:rsidRDefault="00F7044C" w:rsidP="00804E6B">
            <w:pPr>
              <w:rPr>
                <w:rFonts w:ascii="Times" w:hAnsi="Times"/>
              </w:rPr>
            </w:pPr>
            <w:r w:rsidRPr="00C421E4">
              <w:rPr>
                <w:rFonts w:ascii="Times" w:hAnsi="Times"/>
              </w:rPr>
              <w:t>Std. Error</w:t>
            </w:r>
          </w:p>
        </w:tc>
        <w:tc>
          <w:tcPr>
            <w:tcW w:w="1300" w:type="dxa"/>
            <w:shd w:val="clear" w:color="auto" w:fill="auto"/>
            <w:noWrap/>
            <w:vAlign w:val="bottom"/>
            <w:hideMark/>
          </w:tcPr>
          <w:p w14:paraId="24EE4447" w14:textId="77777777" w:rsidR="00F7044C" w:rsidRPr="00C421E4" w:rsidRDefault="00F7044C" w:rsidP="00804E6B">
            <w:pPr>
              <w:rPr>
                <w:rFonts w:ascii="Times" w:hAnsi="Times"/>
              </w:rPr>
            </w:pPr>
            <w:r w:rsidRPr="00C421E4">
              <w:rPr>
                <w:rFonts w:ascii="Times" w:hAnsi="Times"/>
              </w:rPr>
              <w:t>Beta</w:t>
            </w:r>
          </w:p>
        </w:tc>
        <w:tc>
          <w:tcPr>
            <w:tcW w:w="1300" w:type="dxa"/>
            <w:shd w:val="clear" w:color="auto" w:fill="auto"/>
            <w:noWrap/>
            <w:vAlign w:val="bottom"/>
            <w:hideMark/>
          </w:tcPr>
          <w:p w14:paraId="63BE220C" w14:textId="77777777" w:rsidR="00F7044C" w:rsidRPr="00C421E4" w:rsidRDefault="00F7044C" w:rsidP="00804E6B">
            <w:pPr>
              <w:rPr>
                <w:rFonts w:ascii="Times" w:hAnsi="Times"/>
              </w:rPr>
            </w:pPr>
            <w:r w:rsidRPr="00C421E4">
              <w:rPr>
                <w:rFonts w:ascii="Times" w:hAnsi="Times"/>
              </w:rPr>
              <w:t>t</w:t>
            </w:r>
          </w:p>
        </w:tc>
        <w:tc>
          <w:tcPr>
            <w:tcW w:w="1300" w:type="dxa"/>
            <w:shd w:val="clear" w:color="auto" w:fill="auto"/>
            <w:noWrap/>
            <w:vAlign w:val="bottom"/>
            <w:hideMark/>
          </w:tcPr>
          <w:p w14:paraId="102D006D" w14:textId="77777777" w:rsidR="00F7044C" w:rsidRPr="00C421E4" w:rsidRDefault="00F7044C" w:rsidP="00804E6B">
            <w:pPr>
              <w:rPr>
                <w:rFonts w:ascii="Times" w:hAnsi="Times"/>
              </w:rPr>
            </w:pPr>
            <w:r w:rsidRPr="00C421E4">
              <w:rPr>
                <w:rFonts w:ascii="Times" w:hAnsi="Times"/>
              </w:rPr>
              <w:t>Sig.</w:t>
            </w:r>
          </w:p>
        </w:tc>
      </w:tr>
      <w:tr w:rsidR="00F7044C" w:rsidRPr="00C421E4" w14:paraId="67240534" w14:textId="77777777" w:rsidTr="00804E6B">
        <w:trPr>
          <w:trHeight w:val="320"/>
        </w:trPr>
        <w:tc>
          <w:tcPr>
            <w:tcW w:w="8513" w:type="dxa"/>
            <w:gridSpan w:val="6"/>
            <w:shd w:val="clear" w:color="auto" w:fill="auto"/>
            <w:noWrap/>
            <w:vAlign w:val="bottom"/>
            <w:hideMark/>
          </w:tcPr>
          <w:p w14:paraId="322F9997"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47F39250" w14:textId="77777777" w:rsidTr="00804E6B">
        <w:trPr>
          <w:trHeight w:val="320"/>
        </w:trPr>
        <w:tc>
          <w:tcPr>
            <w:tcW w:w="2065" w:type="dxa"/>
            <w:shd w:val="clear" w:color="auto" w:fill="auto"/>
            <w:noWrap/>
            <w:vAlign w:val="bottom"/>
            <w:hideMark/>
          </w:tcPr>
          <w:p w14:paraId="6BE88370" w14:textId="77777777" w:rsidR="00F7044C" w:rsidRPr="00C421E4" w:rsidRDefault="00F7044C" w:rsidP="00804E6B">
            <w:pPr>
              <w:rPr>
                <w:rFonts w:ascii="Times" w:hAnsi="Times"/>
              </w:rPr>
            </w:pPr>
            <w:r w:rsidRPr="00C421E4">
              <w:rPr>
                <w:rFonts w:ascii="Times" w:hAnsi="Times"/>
              </w:rPr>
              <w:t>Valence</w:t>
            </w:r>
          </w:p>
        </w:tc>
        <w:tc>
          <w:tcPr>
            <w:tcW w:w="1248" w:type="dxa"/>
            <w:shd w:val="clear" w:color="auto" w:fill="auto"/>
            <w:noWrap/>
            <w:vAlign w:val="bottom"/>
            <w:hideMark/>
          </w:tcPr>
          <w:p w14:paraId="520760F0" w14:textId="77777777" w:rsidR="00F7044C" w:rsidRPr="00C421E4" w:rsidRDefault="00F7044C" w:rsidP="00804E6B">
            <w:pPr>
              <w:jc w:val="right"/>
              <w:rPr>
                <w:rFonts w:ascii="Times" w:hAnsi="Times" w:cs="Arial"/>
              </w:rPr>
            </w:pPr>
            <w:r w:rsidRPr="00C421E4">
              <w:rPr>
                <w:rFonts w:ascii="Times" w:hAnsi="Times" w:cs="Arial"/>
              </w:rPr>
              <w:t>0.208</w:t>
            </w:r>
          </w:p>
        </w:tc>
        <w:tc>
          <w:tcPr>
            <w:tcW w:w="1300" w:type="dxa"/>
            <w:shd w:val="clear" w:color="auto" w:fill="auto"/>
            <w:noWrap/>
            <w:vAlign w:val="bottom"/>
            <w:hideMark/>
          </w:tcPr>
          <w:p w14:paraId="001EBDC5" w14:textId="77777777" w:rsidR="00F7044C" w:rsidRPr="00C421E4" w:rsidRDefault="00F7044C" w:rsidP="00804E6B">
            <w:pPr>
              <w:jc w:val="right"/>
              <w:rPr>
                <w:rFonts w:ascii="Times" w:hAnsi="Times" w:cs="Arial"/>
              </w:rPr>
            </w:pPr>
            <w:r w:rsidRPr="00C421E4">
              <w:rPr>
                <w:rFonts w:ascii="Times" w:hAnsi="Times" w:cs="Arial"/>
              </w:rPr>
              <w:t>0.119</w:t>
            </w:r>
          </w:p>
        </w:tc>
        <w:tc>
          <w:tcPr>
            <w:tcW w:w="1300" w:type="dxa"/>
            <w:shd w:val="clear" w:color="auto" w:fill="auto"/>
            <w:noWrap/>
            <w:vAlign w:val="bottom"/>
            <w:hideMark/>
          </w:tcPr>
          <w:p w14:paraId="3662D53B" w14:textId="77777777" w:rsidR="00F7044C" w:rsidRPr="00C421E4" w:rsidRDefault="00F7044C" w:rsidP="00804E6B">
            <w:pPr>
              <w:jc w:val="right"/>
              <w:rPr>
                <w:rFonts w:ascii="Times" w:hAnsi="Times" w:cs="Arial"/>
              </w:rPr>
            </w:pPr>
            <w:r w:rsidRPr="00C421E4">
              <w:rPr>
                <w:rFonts w:ascii="Times" w:hAnsi="Times" w:cs="Arial"/>
              </w:rPr>
              <w:t>0.174</w:t>
            </w:r>
          </w:p>
        </w:tc>
        <w:tc>
          <w:tcPr>
            <w:tcW w:w="1300" w:type="dxa"/>
            <w:shd w:val="clear" w:color="auto" w:fill="auto"/>
            <w:noWrap/>
            <w:vAlign w:val="bottom"/>
            <w:hideMark/>
          </w:tcPr>
          <w:p w14:paraId="089B07CA" w14:textId="77777777" w:rsidR="00F7044C" w:rsidRPr="00C421E4" w:rsidRDefault="00F7044C" w:rsidP="00804E6B">
            <w:pPr>
              <w:jc w:val="right"/>
              <w:rPr>
                <w:rFonts w:ascii="Times" w:hAnsi="Times" w:cs="Arial"/>
              </w:rPr>
            </w:pPr>
            <w:r w:rsidRPr="00C421E4">
              <w:rPr>
                <w:rFonts w:ascii="Times" w:hAnsi="Times" w:cs="Arial"/>
              </w:rPr>
              <w:t>1.75</w:t>
            </w:r>
          </w:p>
        </w:tc>
        <w:tc>
          <w:tcPr>
            <w:tcW w:w="1300" w:type="dxa"/>
            <w:shd w:val="clear" w:color="auto" w:fill="auto"/>
            <w:noWrap/>
            <w:vAlign w:val="bottom"/>
            <w:hideMark/>
          </w:tcPr>
          <w:p w14:paraId="3E867998" w14:textId="77777777" w:rsidR="00F7044C" w:rsidRPr="00C421E4" w:rsidRDefault="00F7044C" w:rsidP="00804E6B">
            <w:pPr>
              <w:jc w:val="right"/>
              <w:rPr>
                <w:rFonts w:ascii="Times" w:hAnsi="Times" w:cs="Arial"/>
              </w:rPr>
            </w:pPr>
            <w:r w:rsidRPr="00C421E4">
              <w:rPr>
                <w:rFonts w:ascii="Times" w:hAnsi="Times" w:cs="Arial"/>
              </w:rPr>
              <w:t>0.084</w:t>
            </w:r>
          </w:p>
        </w:tc>
      </w:tr>
      <w:tr w:rsidR="00F7044C" w:rsidRPr="00C421E4" w14:paraId="31AA577B" w14:textId="77777777" w:rsidTr="00804E6B">
        <w:trPr>
          <w:trHeight w:val="320"/>
        </w:trPr>
        <w:tc>
          <w:tcPr>
            <w:tcW w:w="2065" w:type="dxa"/>
            <w:shd w:val="clear" w:color="auto" w:fill="auto"/>
            <w:noWrap/>
            <w:vAlign w:val="bottom"/>
            <w:hideMark/>
          </w:tcPr>
          <w:p w14:paraId="6640D596" w14:textId="77777777" w:rsidR="00F7044C" w:rsidRPr="00C421E4" w:rsidRDefault="00F7044C" w:rsidP="00804E6B">
            <w:pPr>
              <w:rPr>
                <w:rFonts w:ascii="Times" w:hAnsi="Times"/>
              </w:rPr>
            </w:pPr>
            <w:r w:rsidRPr="00C421E4">
              <w:rPr>
                <w:rFonts w:ascii="Times" w:hAnsi="Times"/>
              </w:rPr>
              <w:t>Arousal</w:t>
            </w:r>
          </w:p>
        </w:tc>
        <w:tc>
          <w:tcPr>
            <w:tcW w:w="1248" w:type="dxa"/>
            <w:shd w:val="clear" w:color="auto" w:fill="auto"/>
            <w:noWrap/>
            <w:vAlign w:val="bottom"/>
            <w:hideMark/>
          </w:tcPr>
          <w:p w14:paraId="604EC31E" w14:textId="77777777" w:rsidR="00F7044C" w:rsidRPr="00C421E4" w:rsidRDefault="00F7044C" w:rsidP="00804E6B">
            <w:pPr>
              <w:jc w:val="right"/>
              <w:rPr>
                <w:rFonts w:ascii="Times" w:hAnsi="Times"/>
              </w:rPr>
            </w:pPr>
            <w:r w:rsidRPr="00C421E4">
              <w:rPr>
                <w:rFonts w:ascii="Times" w:hAnsi="Times"/>
              </w:rPr>
              <w:t>-0.115</w:t>
            </w:r>
          </w:p>
        </w:tc>
        <w:tc>
          <w:tcPr>
            <w:tcW w:w="1300" w:type="dxa"/>
            <w:shd w:val="clear" w:color="auto" w:fill="auto"/>
            <w:noWrap/>
            <w:vAlign w:val="bottom"/>
            <w:hideMark/>
          </w:tcPr>
          <w:p w14:paraId="48A037C1" w14:textId="77777777" w:rsidR="00F7044C" w:rsidRPr="00C421E4" w:rsidRDefault="00F7044C" w:rsidP="00804E6B">
            <w:pPr>
              <w:jc w:val="right"/>
              <w:rPr>
                <w:rFonts w:ascii="Times" w:hAnsi="Times"/>
              </w:rPr>
            </w:pPr>
            <w:r w:rsidRPr="00C421E4">
              <w:rPr>
                <w:rFonts w:ascii="Times" w:hAnsi="Times"/>
              </w:rPr>
              <w:t>0.066</w:t>
            </w:r>
          </w:p>
        </w:tc>
        <w:tc>
          <w:tcPr>
            <w:tcW w:w="1300" w:type="dxa"/>
            <w:shd w:val="clear" w:color="auto" w:fill="auto"/>
            <w:noWrap/>
            <w:vAlign w:val="bottom"/>
            <w:hideMark/>
          </w:tcPr>
          <w:p w14:paraId="4587C97E" w14:textId="77777777" w:rsidR="00F7044C" w:rsidRPr="00C421E4" w:rsidRDefault="00F7044C" w:rsidP="00804E6B">
            <w:pPr>
              <w:jc w:val="right"/>
              <w:rPr>
                <w:rFonts w:ascii="Times" w:hAnsi="Times"/>
              </w:rPr>
            </w:pPr>
            <w:r w:rsidRPr="00C421E4">
              <w:rPr>
                <w:rFonts w:ascii="Times" w:hAnsi="Times"/>
              </w:rPr>
              <w:t>-0.172</w:t>
            </w:r>
          </w:p>
        </w:tc>
        <w:tc>
          <w:tcPr>
            <w:tcW w:w="1300" w:type="dxa"/>
            <w:shd w:val="clear" w:color="auto" w:fill="auto"/>
            <w:noWrap/>
            <w:vAlign w:val="bottom"/>
            <w:hideMark/>
          </w:tcPr>
          <w:p w14:paraId="0549D393" w14:textId="77777777" w:rsidR="00F7044C" w:rsidRPr="00C421E4" w:rsidRDefault="00F7044C" w:rsidP="00804E6B">
            <w:pPr>
              <w:jc w:val="right"/>
              <w:rPr>
                <w:rFonts w:ascii="Times" w:hAnsi="Times"/>
              </w:rPr>
            </w:pPr>
            <w:r w:rsidRPr="00C421E4">
              <w:rPr>
                <w:rFonts w:ascii="Times" w:hAnsi="Times"/>
              </w:rPr>
              <w:t>-1.729</w:t>
            </w:r>
          </w:p>
        </w:tc>
        <w:tc>
          <w:tcPr>
            <w:tcW w:w="1300" w:type="dxa"/>
            <w:shd w:val="clear" w:color="auto" w:fill="auto"/>
            <w:noWrap/>
            <w:vAlign w:val="bottom"/>
            <w:hideMark/>
          </w:tcPr>
          <w:p w14:paraId="7C4657FC" w14:textId="77777777" w:rsidR="00F7044C" w:rsidRPr="00C421E4" w:rsidRDefault="00F7044C" w:rsidP="00804E6B">
            <w:pPr>
              <w:jc w:val="right"/>
              <w:rPr>
                <w:rFonts w:ascii="Times" w:hAnsi="Times"/>
              </w:rPr>
            </w:pPr>
            <w:r w:rsidRPr="00C421E4">
              <w:rPr>
                <w:rFonts w:ascii="Times" w:hAnsi="Times"/>
              </w:rPr>
              <w:t>0.087</w:t>
            </w:r>
          </w:p>
        </w:tc>
      </w:tr>
      <w:tr w:rsidR="00F7044C" w:rsidRPr="00C421E4" w14:paraId="32A4BC89" w14:textId="77777777" w:rsidTr="00804E6B">
        <w:trPr>
          <w:trHeight w:val="320"/>
        </w:trPr>
        <w:tc>
          <w:tcPr>
            <w:tcW w:w="2065" w:type="dxa"/>
            <w:shd w:val="clear" w:color="auto" w:fill="auto"/>
            <w:noWrap/>
            <w:vAlign w:val="bottom"/>
            <w:hideMark/>
          </w:tcPr>
          <w:p w14:paraId="6EEAEA1D" w14:textId="77777777" w:rsidR="00F7044C" w:rsidRPr="00C421E4" w:rsidRDefault="00F7044C" w:rsidP="00804E6B">
            <w:pPr>
              <w:rPr>
                <w:rFonts w:ascii="Times" w:hAnsi="Times"/>
              </w:rPr>
            </w:pPr>
            <w:r w:rsidRPr="00C421E4">
              <w:rPr>
                <w:rFonts w:ascii="Times" w:hAnsi="Times"/>
              </w:rPr>
              <w:t>Skin conductance</w:t>
            </w:r>
          </w:p>
        </w:tc>
        <w:tc>
          <w:tcPr>
            <w:tcW w:w="1248" w:type="dxa"/>
            <w:shd w:val="clear" w:color="auto" w:fill="auto"/>
            <w:noWrap/>
            <w:vAlign w:val="bottom"/>
            <w:hideMark/>
          </w:tcPr>
          <w:p w14:paraId="452451F9" w14:textId="77777777" w:rsidR="00F7044C" w:rsidRPr="00C421E4" w:rsidRDefault="00F7044C" w:rsidP="00804E6B">
            <w:pPr>
              <w:jc w:val="right"/>
              <w:rPr>
                <w:rFonts w:ascii="Times" w:hAnsi="Times"/>
              </w:rPr>
            </w:pPr>
            <w:r w:rsidRPr="00C421E4">
              <w:rPr>
                <w:rFonts w:ascii="Times" w:hAnsi="Times"/>
              </w:rPr>
              <w:t>-0.039</w:t>
            </w:r>
          </w:p>
        </w:tc>
        <w:tc>
          <w:tcPr>
            <w:tcW w:w="1300" w:type="dxa"/>
            <w:shd w:val="clear" w:color="auto" w:fill="auto"/>
            <w:noWrap/>
            <w:vAlign w:val="bottom"/>
            <w:hideMark/>
          </w:tcPr>
          <w:p w14:paraId="1D69859E" w14:textId="77777777" w:rsidR="00F7044C" w:rsidRPr="00C421E4" w:rsidRDefault="00F7044C" w:rsidP="00804E6B">
            <w:pPr>
              <w:jc w:val="right"/>
              <w:rPr>
                <w:rFonts w:ascii="Times" w:hAnsi="Times"/>
              </w:rPr>
            </w:pPr>
            <w:r w:rsidRPr="00C421E4">
              <w:rPr>
                <w:rFonts w:ascii="Times" w:hAnsi="Times"/>
              </w:rPr>
              <w:t>0.072</w:t>
            </w:r>
          </w:p>
        </w:tc>
        <w:tc>
          <w:tcPr>
            <w:tcW w:w="1300" w:type="dxa"/>
            <w:shd w:val="clear" w:color="auto" w:fill="auto"/>
            <w:noWrap/>
            <w:vAlign w:val="bottom"/>
            <w:hideMark/>
          </w:tcPr>
          <w:p w14:paraId="7437AECD" w14:textId="77777777" w:rsidR="00F7044C" w:rsidRPr="00C421E4" w:rsidRDefault="00F7044C" w:rsidP="00804E6B">
            <w:pPr>
              <w:jc w:val="right"/>
              <w:rPr>
                <w:rFonts w:ascii="Times" w:hAnsi="Times"/>
              </w:rPr>
            </w:pPr>
            <w:r w:rsidRPr="00C421E4">
              <w:rPr>
                <w:rFonts w:ascii="Times" w:hAnsi="Times"/>
              </w:rPr>
              <w:t>-0.055</w:t>
            </w:r>
          </w:p>
        </w:tc>
        <w:tc>
          <w:tcPr>
            <w:tcW w:w="1300" w:type="dxa"/>
            <w:shd w:val="clear" w:color="auto" w:fill="auto"/>
            <w:noWrap/>
            <w:vAlign w:val="bottom"/>
            <w:hideMark/>
          </w:tcPr>
          <w:p w14:paraId="1739D55A" w14:textId="77777777" w:rsidR="00F7044C" w:rsidRPr="00C421E4" w:rsidRDefault="00F7044C" w:rsidP="00804E6B">
            <w:pPr>
              <w:jc w:val="right"/>
              <w:rPr>
                <w:rFonts w:ascii="Times" w:hAnsi="Times"/>
              </w:rPr>
            </w:pPr>
            <w:r w:rsidRPr="00C421E4">
              <w:rPr>
                <w:rFonts w:ascii="Times" w:hAnsi="Times"/>
              </w:rPr>
              <w:t>-0.536</w:t>
            </w:r>
          </w:p>
        </w:tc>
        <w:tc>
          <w:tcPr>
            <w:tcW w:w="1300" w:type="dxa"/>
            <w:shd w:val="clear" w:color="auto" w:fill="auto"/>
            <w:noWrap/>
            <w:vAlign w:val="bottom"/>
            <w:hideMark/>
          </w:tcPr>
          <w:p w14:paraId="20BAA04F" w14:textId="77777777" w:rsidR="00F7044C" w:rsidRPr="00C421E4" w:rsidRDefault="00F7044C" w:rsidP="00804E6B">
            <w:pPr>
              <w:jc w:val="right"/>
              <w:rPr>
                <w:rFonts w:ascii="Times" w:hAnsi="Times"/>
              </w:rPr>
            </w:pPr>
            <w:r w:rsidRPr="00C421E4">
              <w:rPr>
                <w:rFonts w:ascii="Times" w:hAnsi="Times"/>
              </w:rPr>
              <w:t>0.594</w:t>
            </w:r>
          </w:p>
        </w:tc>
      </w:tr>
      <w:tr w:rsidR="00F7044C" w:rsidRPr="00C421E4" w14:paraId="5D4506ED" w14:textId="77777777" w:rsidTr="00804E6B">
        <w:trPr>
          <w:trHeight w:val="320"/>
        </w:trPr>
        <w:tc>
          <w:tcPr>
            <w:tcW w:w="2065" w:type="dxa"/>
            <w:shd w:val="clear" w:color="auto" w:fill="auto"/>
            <w:noWrap/>
            <w:vAlign w:val="bottom"/>
            <w:hideMark/>
          </w:tcPr>
          <w:p w14:paraId="74E19255" w14:textId="77777777" w:rsidR="00F7044C" w:rsidRPr="00C421E4" w:rsidRDefault="00F7044C" w:rsidP="00804E6B">
            <w:pPr>
              <w:rPr>
                <w:rFonts w:ascii="Times" w:hAnsi="Times"/>
              </w:rPr>
            </w:pPr>
            <w:r w:rsidRPr="00C421E4">
              <w:rPr>
                <w:rFonts w:ascii="Times" w:hAnsi="Times"/>
              </w:rPr>
              <w:t>Corrugator tone</w:t>
            </w:r>
          </w:p>
        </w:tc>
        <w:tc>
          <w:tcPr>
            <w:tcW w:w="1248" w:type="dxa"/>
            <w:shd w:val="clear" w:color="auto" w:fill="auto"/>
            <w:noWrap/>
            <w:vAlign w:val="bottom"/>
            <w:hideMark/>
          </w:tcPr>
          <w:p w14:paraId="0CB7BA6C" w14:textId="77777777" w:rsidR="00F7044C" w:rsidRPr="00C421E4" w:rsidRDefault="00F7044C" w:rsidP="00804E6B">
            <w:pPr>
              <w:jc w:val="right"/>
              <w:rPr>
                <w:rFonts w:ascii="Times" w:hAnsi="Times"/>
              </w:rPr>
            </w:pPr>
            <w:r w:rsidRPr="00C421E4">
              <w:rPr>
                <w:rFonts w:ascii="Times" w:hAnsi="Times"/>
              </w:rPr>
              <w:t>0.001</w:t>
            </w:r>
          </w:p>
        </w:tc>
        <w:tc>
          <w:tcPr>
            <w:tcW w:w="1300" w:type="dxa"/>
            <w:shd w:val="clear" w:color="auto" w:fill="auto"/>
            <w:noWrap/>
            <w:vAlign w:val="bottom"/>
            <w:hideMark/>
          </w:tcPr>
          <w:p w14:paraId="7F77784E" w14:textId="77777777" w:rsidR="00F7044C" w:rsidRPr="00C421E4" w:rsidRDefault="00F7044C" w:rsidP="00804E6B">
            <w:pPr>
              <w:jc w:val="right"/>
              <w:rPr>
                <w:rFonts w:ascii="Times" w:hAnsi="Times"/>
              </w:rPr>
            </w:pPr>
            <w:r w:rsidRPr="00C421E4">
              <w:rPr>
                <w:rFonts w:ascii="Times" w:hAnsi="Times"/>
              </w:rPr>
              <w:t>0.001</w:t>
            </w:r>
          </w:p>
        </w:tc>
        <w:tc>
          <w:tcPr>
            <w:tcW w:w="1300" w:type="dxa"/>
            <w:shd w:val="clear" w:color="auto" w:fill="auto"/>
            <w:noWrap/>
            <w:vAlign w:val="bottom"/>
            <w:hideMark/>
          </w:tcPr>
          <w:p w14:paraId="254F3595" w14:textId="77777777" w:rsidR="00F7044C" w:rsidRPr="00C421E4" w:rsidRDefault="00F7044C" w:rsidP="00804E6B">
            <w:pPr>
              <w:jc w:val="right"/>
              <w:rPr>
                <w:rFonts w:ascii="Times" w:hAnsi="Times"/>
              </w:rPr>
            </w:pPr>
            <w:r w:rsidRPr="00C421E4">
              <w:rPr>
                <w:rFonts w:ascii="Times" w:hAnsi="Times"/>
              </w:rPr>
              <w:t>0.032</w:t>
            </w:r>
          </w:p>
        </w:tc>
        <w:tc>
          <w:tcPr>
            <w:tcW w:w="1300" w:type="dxa"/>
            <w:shd w:val="clear" w:color="auto" w:fill="auto"/>
            <w:noWrap/>
            <w:vAlign w:val="bottom"/>
            <w:hideMark/>
          </w:tcPr>
          <w:p w14:paraId="6AC768AC" w14:textId="77777777" w:rsidR="00F7044C" w:rsidRPr="00C421E4" w:rsidRDefault="00F7044C" w:rsidP="00804E6B">
            <w:pPr>
              <w:jc w:val="right"/>
              <w:rPr>
                <w:rFonts w:ascii="Times" w:hAnsi="Times"/>
              </w:rPr>
            </w:pPr>
            <w:r w:rsidRPr="00C421E4">
              <w:rPr>
                <w:rFonts w:ascii="Times" w:hAnsi="Times"/>
              </w:rPr>
              <w:t>0.306</w:t>
            </w:r>
          </w:p>
        </w:tc>
        <w:tc>
          <w:tcPr>
            <w:tcW w:w="1300" w:type="dxa"/>
            <w:shd w:val="clear" w:color="auto" w:fill="auto"/>
            <w:noWrap/>
            <w:vAlign w:val="bottom"/>
            <w:hideMark/>
          </w:tcPr>
          <w:p w14:paraId="7F077CA0" w14:textId="77777777" w:rsidR="00F7044C" w:rsidRPr="00C421E4" w:rsidRDefault="00F7044C" w:rsidP="00804E6B">
            <w:pPr>
              <w:jc w:val="right"/>
              <w:rPr>
                <w:rFonts w:ascii="Times" w:hAnsi="Times"/>
              </w:rPr>
            </w:pPr>
            <w:r w:rsidRPr="00C421E4">
              <w:rPr>
                <w:rFonts w:ascii="Times" w:hAnsi="Times"/>
              </w:rPr>
              <w:t>0.76</w:t>
            </w:r>
          </w:p>
        </w:tc>
      </w:tr>
      <w:tr w:rsidR="00F7044C" w:rsidRPr="00C421E4" w14:paraId="3F1FC5D6" w14:textId="77777777" w:rsidTr="00804E6B">
        <w:trPr>
          <w:trHeight w:val="320"/>
        </w:trPr>
        <w:tc>
          <w:tcPr>
            <w:tcW w:w="2065" w:type="dxa"/>
            <w:shd w:val="clear" w:color="auto" w:fill="auto"/>
            <w:noWrap/>
            <w:vAlign w:val="bottom"/>
            <w:hideMark/>
          </w:tcPr>
          <w:p w14:paraId="3C27953A" w14:textId="77777777" w:rsidR="00F7044C" w:rsidRPr="00C421E4" w:rsidRDefault="00F7044C" w:rsidP="00804E6B">
            <w:pPr>
              <w:rPr>
                <w:rFonts w:ascii="Times" w:hAnsi="Times"/>
              </w:rPr>
            </w:pPr>
            <w:r w:rsidRPr="00C421E4">
              <w:rPr>
                <w:rFonts w:ascii="Times" w:hAnsi="Times"/>
              </w:rPr>
              <w:t>Heart rate</w:t>
            </w:r>
          </w:p>
        </w:tc>
        <w:tc>
          <w:tcPr>
            <w:tcW w:w="1248" w:type="dxa"/>
            <w:shd w:val="clear" w:color="auto" w:fill="auto"/>
            <w:noWrap/>
            <w:vAlign w:val="bottom"/>
            <w:hideMark/>
          </w:tcPr>
          <w:p w14:paraId="5594B7D2" w14:textId="77777777" w:rsidR="00F7044C" w:rsidRPr="00C421E4" w:rsidRDefault="00F7044C" w:rsidP="00804E6B">
            <w:pPr>
              <w:jc w:val="right"/>
              <w:rPr>
                <w:rFonts w:ascii="Times" w:hAnsi="Times"/>
              </w:rPr>
            </w:pPr>
            <w:r w:rsidRPr="00C421E4">
              <w:rPr>
                <w:rFonts w:ascii="Times" w:hAnsi="Times"/>
              </w:rPr>
              <w:t>0.001</w:t>
            </w:r>
          </w:p>
        </w:tc>
        <w:tc>
          <w:tcPr>
            <w:tcW w:w="1300" w:type="dxa"/>
            <w:shd w:val="clear" w:color="auto" w:fill="auto"/>
            <w:noWrap/>
            <w:vAlign w:val="bottom"/>
            <w:hideMark/>
          </w:tcPr>
          <w:p w14:paraId="455CE6C1" w14:textId="77777777" w:rsidR="00F7044C" w:rsidRPr="00C421E4" w:rsidRDefault="00F7044C" w:rsidP="00804E6B">
            <w:pPr>
              <w:jc w:val="right"/>
              <w:rPr>
                <w:rFonts w:ascii="Times" w:hAnsi="Times"/>
              </w:rPr>
            </w:pPr>
            <w:r w:rsidRPr="00C421E4">
              <w:rPr>
                <w:rFonts w:ascii="Times" w:hAnsi="Times"/>
              </w:rPr>
              <w:t>0.011</w:t>
            </w:r>
          </w:p>
        </w:tc>
        <w:tc>
          <w:tcPr>
            <w:tcW w:w="1300" w:type="dxa"/>
            <w:shd w:val="clear" w:color="auto" w:fill="auto"/>
            <w:noWrap/>
            <w:vAlign w:val="bottom"/>
            <w:hideMark/>
          </w:tcPr>
          <w:p w14:paraId="180D506F" w14:textId="77777777" w:rsidR="00F7044C" w:rsidRPr="00C421E4" w:rsidRDefault="00F7044C" w:rsidP="00804E6B">
            <w:pPr>
              <w:jc w:val="right"/>
              <w:rPr>
                <w:rFonts w:ascii="Times" w:hAnsi="Times"/>
              </w:rPr>
            </w:pPr>
            <w:r w:rsidRPr="00C421E4">
              <w:rPr>
                <w:rFonts w:ascii="Times" w:hAnsi="Times"/>
              </w:rPr>
              <w:t>0.005</w:t>
            </w:r>
          </w:p>
        </w:tc>
        <w:tc>
          <w:tcPr>
            <w:tcW w:w="1300" w:type="dxa"/>
            <w:shd w:val="clear" w:color="auto" w:fill="auto"/>
            <w:noWrap/>
            <w:vAlign w:val="bottom"/>
            <w:hideMark/>
          </w:tcPr>
          <w:p w14:paraId="51D36F64" w14:textId="77777777" w:rsidR="00F7044C" w:rsidRPr="00C421E4" w:rsidRDefault="00F7044C" w:rsidP="00804E6B">
            <w:pPr>
              <w:jc w:val="right"/>
              <w:rPr>
                <w:rFonts w:ascii="Times" w:hAnsi="Times"/>
              </w:rPr>
            </w:pPr>
            <w:r w:rsidRPr="00C421E4">
              <w:rPr>
                <w:rFonts w:ascii="Times" w:hAnsi="Times"/>
              </w:rPr>
              <w:t>0.048</w:t>
            </w:r>
          </w:p>
        </w:tc>
        <w:tc>
          <w:tcPr>
            <w:tcW w:w="1300" w:type="dxa"/>
            <w:shd w:val="clear" w:color="auto" w:fill="auto"/>
            <w:noWrap/>
            <w:vAlign w:val="bottom"/>
            <w:hideMark/>
          </w:tcPr>
          <w:p w14:paraId="37652A97" w14:textId="77777777" w:rsidR="00F7044C" w:rsidRPr="00C421E4" w:rsidRDefault="00F7044C" w:rsidP="00804E6B">
            <w:pPr>
              <w:jc w:val="right"/>
              <w:rPr>
                <w:rFonts w:ascii="Times" w:hAnsi="Times"/>
              </w:rPr>
            </w:pPr>
            <w:r w:rsidRPr="00C421E4">
              <w:rPr>
                <w:rFonts w:ascii="Times" w:hAnsi="Times"/>
              </w:rPr>
              <w:t>0.962</w:t>
            </w:r>
          </w:p>
        </w:tc>
      </w:tr>
      <w:tr w:rsidR="00F7044C" w:rsidRPr="00C421E4" w14:paraId="246B954B" w14:textId="77777777" w:rsidTr="00804E6B">
        <w:trPr>
          <w:trHeight w:val="320"/>
        </w:trPr>
        <w:tc>
          <w:tcPr>
            <w:tcW w:w="8513" w:type="dxa"/>
            <w:gridSpan w:val="6"/>
            <w:shd w:val="clear" w:color="auto" w:fill="auto"/>
            <w:noWrap/>
            <w:vAlign w:val="bottom"/>
            <w:hideMark/>
          </w:tcPr>
          <w:p w14:paraId="40F57A8F"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328C99AB" w14:textId="77777777" w:rsidTr="00804E6B">
        <w:trPr>
          <w:trHeight w:val="320"/>
        </w:trPr>
        <w:tc>
          <w:tcPr>
            <w:tcW w:w="2065" w:type="dxa"/>
            <w:shd w:val="clear" w:color="auto" w:fill="auto"/>
            <w:noWrap/>
            <w:vAlign w:val="bottom"/>
            <w:hideMark/>
          </w:tcPr>
          <w:p w14:paraId="4E4B33D0" w14:textId="77777777" w:rsidR="00F7044C" w:rsidRPr="00C421E4" w:rsidRDefault="00F7044C" w:rsidP="00804E6B">
            <w:pPr>
              <w:rPr>
                <w:rFonts w:ascii="Times" w:hAnsi="Times"/>
              </w:rPr>
            </w:pPr>
            <w:r w:rsidRPr="00C421E4">
              <w:rPr>
                <w:rFonts w:ascii="Times" w:hAnsi="Times"/>
              </w:rPr>
              <w:t>Valence</w:t>
            </w:r>
          </w:p>
        </w:tc>
        <w:tc>
          <w:tcPr>
            <w:tcW w:w="1248" w:type="dxa"/>
            <w:shd w:val="clear" w:color="auto" w:fill="auto"/>
            <w:noWrap/>
            <w:vAlign w:val="bottom"/>
            <w:hideMark/>
          </w:tcPr>
          <w:p w14:paraId="360F9D09" w14:textId="77777777" w:rsidR="00F7044C" w:rsidRPr="00C421E4" w:rsidRDefault="00F7044C" w:rsidP="00804E6B">
            <w:pPr>
              <w:jc w:val="right"/>
              <w:rPr>
                <w:rFonts w:ascii="Times" w:hAnsi="Times" w:cs="Arial"/>
              </w:rPr>
            </w:pPr>
            <w:r w:rsidRPr="00C421E4">
              <w:rPr>
                <w:rFonts w:ascii="Times" w:hAnsi="Times" w:cs="Arial"/>
              </w:rPr>
              <w:t>-0.278</w:t>
            </w:r>
          </w:p>
        </w:tc>
        <w:tc>
          <w:tcPr>
            <w:tcW w:w="1300" w:type="dxa"/>
            <w:shd w:val="clear" w:color="auto" w:fill="auto"/>
            <w:noWrap/>
            <w:vAlign w:val="bottom"/>
            <w:hideMark/>
          </w:tcPr>
          <w:p w14:paraId="10084062" w14:textId="77777777" w:rsidR="00F7044C" w:rsidRPr="00C421E4" w:rsidRDefault="00F7044C" w:rsidP="00804E6B">
            <w:pPr>
              <w:jc w:val="right"/>
              <w:rPr>
                <w:rFonts w:ascii="Times" w:hAnsi="Times" w:cs="Arial"/>
              </w:rPr>
            </w:pPr>
            <w:r w:rsidRPr="00C421E4">
              <w:rPr>
                <w:rFonts w:ascii="Times" w:hAnsi="Times" w:cs="Arial"/>
              </w:rPr>
              <w:t>0.121</w:t>
            </w:r>
          </w:p>
        </w:tc>
        <w:tc>
          <w:tcPr>
            <w:tcW w:w="1300" w:type="dxa"/>
            <w:shd w:val="clear" w:color="auto" w:fill="auto"/>
            <w:noWrap/>
            <w:vAlign w:val="bottom"/>
            <w:hideMark/>
          </w:tcPr>
          <w:p w14:paraId="279AA879" w14:textId="77777777" w:rsidR="00F7044C" w:rsidRPr="00C421E4" w:rsidRDefault="00F7044C" w:rsidP="00804E6B">
            <w:pPr>
              <w:jc w:val="right"/>
              <w:rPr>
                <w:rFonts w:ascii="Times" w:hAnsi="Times" w:cs="Arial"/>
              </w:rPr>
            </w:pPr>
            <w:r w:rsidRPr="00C421E4">
              <w:rPr>
                <w:rFonts w:ascii="Times" w:hAnsi="Times" w:cs="Arial"/>
              </w:rPr>
              <w:t>-0.225</w:t>
            </w:r>
          </w:p>
        </w:tc>
        <w:tc>
          <w:tcPr>
            <w:tcW w:w="1300" w:type="dxa"/>
            <w:shd w:val="clear" w:color="auto" w:fill="auto"/>
            <w:noWrap/>
            <w:vAlign w:val="bottom"/>
            <w:hideMark/>
          </w:tcPr>
          <w:p w14:paraId="733DFEA0" w14:textId="77777777" w:rsidR="00F7044C" w:rsidRPr="00C421E4" w:rsidRDefault="00F7044C" w:rsidP="00804E6B">
            <w:pPr>
              <w:jc w:val="right"/>
              <w:rPr>
                <w:rFonts w:ascii="Times" w:hAnsi="Times" w:cs="Arial"/>
              </w:rPr>
            </w:pPr>
            <w:r w:rsidRPr="00C421E4">
              <w:rPr>
                <w:rFonts w:ascii="Times" w:hAnsi="Times" w:cs="Arial"/>
              </w:rPr>
              <w:t>-2.305</w:t>
            </w:r>
          </w:p>
        </w:tc>
        <w:tc>
          <w:tcPr>
            <w:tcW w:w="1300" w:type="dxa"/>
            <w:shd w:val="clear" w:color="auto" w:fill="auto"/>
            <w:noWrap/>
            <w:vAlign w:val="bottom"/>
            <w:hideMark/>
          </w:tcPr>
          <w:p w14:paraId="2C5E23B5" w14:textId="77777777" w:rsidR="00F7044C" w:rsidRPr="00C421E4" w:rsidRDefault="00F7044C" w:rsidP="00804E6B">
            <w:pPr>
              <w:jc w:val="right"/>
              <w:rPr>
                <w:rFonts w:ascii="Times" w:hAnsi="Times" w:cs="Arial"/>
              </w:rPr>
            </w:pPr>
            <w:r w:rsidRPr="00C421E4">
              <w:rPr>
                <w:rFonts w:ascii="Times" w:hAnsi="Times" w:cs="Arial"/>
              </w:rPr>
              <w:t>0.024</w:t>
            </w:r>
          </w:p>
        </w:tc>
      </w:tr>
      <w:tr w:rsidR="00F7044C" w:rsidRPr="00C421E4" w14:paraId="4383494C" w14:textId="77777777" w:rsidTr="00804E6B">
        <w:trPr>
          <w:trHeight w:val="320"/>
        </w:trPr>
        <w:tc>
          <w:tcPr>
            <w:tcW w:w="2065" w:type="dxa"/>
            <w:shd w:val="clear" w:color="auto" w:fill="auto"/>
            <w:noWrap/>
            <w:vAlign w:val="bottom"/>
            <w:hideMark/>
          </w:tcPr>
          <w:p w14:paraId="56EFF077" w14:textId="77777777" w:rsidR="00F7044C" w:rsidRPr="00C421E4" w:rsidRDefault="00F7044C" w:rsidP="00804E6B">
            <w:pPr>
              <w:rPr>
                <w:rFonts w:ascii="Times" w:hAnsi="Times"/>
                <w:b/>
              </w:rPr>
            </w:pPr>
            <w:r w:rsidRPr="00C421E4">
              <w:rPr>
                <w:rFonts w:ascii="Times" w:hAnsi="Times"/>
                <w:b/>
              </w:rPr>
              <w:t>Arousal</w:t>
            </w:r>
          </w:p>
        </w:tc>
        <w:tc>
          <w:tcPr>
            <w:tcW w:w="1248" w:type="dxa"/>
            <w:shd w:val="clear" w:color="auto" w:fill="auto"/>
            <w:noWrap/>
            <w:vAlign w:val="bottom"/>
            <w:hideMark/>
          </w:tcPr>
          <w:p w14:paraId="4DE8D9AD" w14:textId="77777777" w:rsidR="00F7044C" w:rsidRPr="00C421E4" w:rsidRDefault="00F7044C" w:rsidP="00804E6B">
            <w:pPr>
              <w:jc w:val="right"/>
              <w:rPr>
                <w:rFonts w:ascii="Times" w:hAnsi="Times"/>
                <w:b/>
                <w:bCs/>
              </w:rPr>
            </w:pPr>
            <w:r w:rsidRPr="00C421E4">
              <w:rPr>
                <w:rFonts w:ascii="Times" w:hAnsi="Times"/>
                <w:b/>
                <w:bCs/>
              </w:rPr>
              <w:t>-0.163</w:t>
            </w:r>
          </w:p>
        </w:tc>
        <w:tc>
          <w:tcPr>
            <w:tcW w:w="1300" w:type="dxa"/>
            <w:shd w:val="clear" w:color="auto" w:fill="auto"/>
            <w:noWrap/>
            <w:vAlign w:val="bottom"/>
            <w:hideMark/>
          </w:tcPr>
          <w:p w14:paraId="78F39085" w14:textId="77777777" w:rsidR="00F7044C" w:rsidRPr="00C421E4" w:rsidRDefault="00F7044C" w:rsidP="00804E6B">
            <w:pPr>
              <w:jc w:val="right"/>
              <w:rPr>
                <w:rFonts w:ascii="Times" w:hAnsi="Times"/>
                <w:b/>
                <w:bCs/>
              </w:rPr>
            </w:pPr>
            <w:r w:rsidRPr="00C421E4">
              <w:rPr>
                <w:rFonts w:ascii="Times" w:hAnsi="Times"/>
                <w:b/>
                <w:bCs/>
              </w:rPr>
              <w:t>0.053</w:t>
            </w:r>
          </w:p>
        </w:tc>
        <w:tc>
          <w:tcPr>
            <w:tcW w:w="1300" w:type="dxa"/>
            <w:shd w:val="clear" w:color="auto" w:fill="auto"/>
            <w:noWrap/>
            <w:vAlign w:val="bottom"/>
            <w:hideMark/>
          </w:tcPr>
          <w:p w14:paraId="32FC33E1" w14:textId="77777777" w:rsidR="00F7044C" w:rsidRPr="00C421E4" w:rsidRDefault="00F7044C" w:rsidP="00804E6B">
            <w:pPr>
              <w:jc w:val="right"/>
              <w:rPr>
                <w:rFonts w:ascii="Times" w:hAnsi="Times"/>
                <w:b/>
                <w:bCs/>
              </w:rPr>
            </w:pPr>
            <w:r w:rsidRPr="00C421E4">
              <w:rPr>
                <w:rFonts w:ascii="Times" w:hAnsi="Times"/>
                <w:b/>
                <w:bCs/>
              </w:rPr>
              <w:t>-0.292</w:t>
            </w:r>
          </w:p>
        </w:tc>
        <w:tc>
          <w:tcPr>
            <w:tcW w:w="1300" w:type="dxa"/>
            <w:shd w:val="clear" w:color="auto" w:fill="auto"/>
            <w:noWrap/>
            <w:vAlign w:val="bottom"/>
            <w:hideMark/>
          </w:tcPr>
          <w:p w14:paraId="105F186E" w14:textId="77777777" w:rsidR="00F7044C" w:rsidRPr="00C421E4" w:rsidRDefault="00F7044C" w:rsidP="00804E6B">
            <w:pPr>
              <w:jc w:val="right"/>
              <w:rPr>
                <w:rFonts w:ascii="Times" w:hAnsi="Times"/>
                <w:b/>
                <w:bCs/>
              </w:rPr>
            </w:pPr>
            <w:r w:rsidRPr="00C421E4">
              <w:rPr>
                <w:rFonts w:ascii="Times" w:hAnsi="Times"/>
                <w:b/>
                <w:bCs/>
              </w:rPr>
              <w:t>-3.067</w:t>
            </w:r>
          </w:p>
        </w:tc>
        <w:tc>
          <w:tcPr>
            <w:tcW w:w="1300" w:type="dxa"/>
            <w:shd w:val="clear" w:color="auto" w:fill="auto"/>
            <w:noWrap/>
            <w:vAlign w:val="bottom"/>
            <w:hideMark/>
          </w:tcPr>
          <w:p w14:paraId="2B38F7B3" w14:textId="77777777" w:rsidR="00F7044C" w:rsidRPr="00C421E4" w:rsidRDefault="00F7044C" w:rsidP="00804E6B">
            <w:pPr>
              <w:jc w:val="right"/>
              <w:rPr>
                <w:rFonts w:ascii="Times" w:hAnsi="Times"/>
                <w:b/>
                <w:bCs/>
              </w:rPr>
            </w:pPr>
            <w:r w:rsidRPr="00C421E4">
              <w:rPr>
                <w:rFonts w:ascii="Times" w:hAnsi="Times"/>
                <w:b/>
                <w:bCs/>
              </w:rPr>
              <w:t>0.003</w:t>
            </w:r>
          </w:p>
        </w:tc>
      </w:tr>
      <w:tr w:rsidR="00F7044C" w:rsidRPr="00C421E4" w14:paraId="4CC99C11" w14:textId="77777777" w:rsidTr="00804E6B">
        <w:trPr>
          <w:trHeight w:val="320"/>
        </w:trPr>
        <w:tc>
          <w:tcPr>
            <w:tcW w:w="2065" w:type="dxa"/>
            <w:shd w:val="clear" w:color="auto" w:fill="auto"/>
            <w:noWrap/>
            <w:vAlign w:val="bottom"/>
            <w:hideMark/>
          </w:tcPr>
          <w:p w14:paraId="1E9FB616" w14:textId="77777777" w:rsidR="00F7044C" w:rsidRPr="00C421E4" w:rsidRDefault="00F7044C" w:rsidP="00804E6B">
            <w:pPr>
              <w:rPr>
                <w:rFonts w:ascii="Times" w:hAnsi="Times"/>
              </w:rPr>
            </w:pPr>
            <w:r w:rsidRPr="00C421E4">
              <w:rPr>
                <w:rFonts w:ascii="Times" w:hAnsi="Times"/>
              </w:rPr>
              <w:t>Skin conductance</w:t>
            </w:r>
          </w:p>
        </w:tc>
        <w:tc>
          <w:tcPr>
            <w:tcW w:w="1248" w:type="dxa"/>
            <w:shd w:val="clear" w:color="auto" w:fill="auto"/>
            <w:noWrap/>
            <w:vAlign w:val="bottom"/>
            <w:hideMark/>
          </w:tcPr>
          <w:p w14:paraId="70193CC9" w14:textId="77777777" w:rsidR="00F7044C" w:rsidRPr="00C421E4" w:rsidRDefault="00F7044C" w:rsidP="00804E6B">
            <w:pPr>
              <w:jc w:val="right"/>
              <w:rPr>
                <w:rFonts w:ascii="Times" w:hAnsi="Times"/>
              </w:rPr>
            </w:pPr>
            <w:r w:rsidRPr="00C421E4">
              <w:rPr>
                <w:rFonts w:ascii="Times" w:hAnsi="Times"/>
              </w:rPr>
              <w:t>0.148</w:t>
            </w:r>
          </w:p>
        </w:tc>
        <w:tc>
          <w:tcPr>
            <w:tcW w:w="1300" w:type="dxa"/>
            <w:shd w:val="clear" w:color="auto" w:fill="auto"/>
            <w:noWrap/>
            <w:vAlign w:val="bottom"/>
            <w:hideMark/>
          </w:tcPr>
          <w:p w14:paraId="133DE036" w14:textId="77777777" w:rsidR="00F7044C" w:rsidRPr="00C421E4" w:rsidRDefault="00F7044C" w:rsidP="00804E6B">
            <w:pPr>
              <w:jc w:val="right"/>
              <w:rPr>
                <w:rFonts w:ascii="Times" w:hAnsi="Times"/>
              </w:rPr>
            </w:pPr>
            <w:r w:rsidRPr="00C421E4">
              <w:rPr>
                <w:rFonts w:ascii="Times" w:hAnsi="Times"/>
              </w:rPr>
              <w:t>0.315</w:t>
            </w:r>
          </w:p>
        </w:tc>
        <w:tc>
          <w:tcPr>
            <w:tcW w:w="1300" w:type="dxa"/>
            <w:shd w:val="clear" w:color="auto" w:fill="auto"/>
            <w:noWrap/>
            <w:vAlign w:val="bottom"/>
            <w:hideMark/>
          </w:tcPr>
          <w:p w14:paraId="47CF2E64" w14:textId="77777777" w:rsidR="00F7044C" w:rsidRPr="00C421E4" w:rsidRDefault="00F7044C" w:rsidP="00804E6B">
            <w:pPr>
              <w:jc w:val="right"/>
              <w:rPr>
                <w:rFonts w:ascii="Times" w:hAnsi="Times"/>
              </w:rPr>
            </w:pPr>
            <w:r w:rsidRPr="00C421E4">
              <w:rPr>
                <w:rFonts w:ascii="Times" w:hAnsi="Times"/>
              </w:rPr>
              <w:t>0.048</w:t>
            </w:r>
          </w:p>
        </w:tc>
        <w:tc>
          <w:tcPr>
            <w:tcW w:w="1300" w:type="dxa"/>
            <w:shd w:val="clear" w:color="auto" w:fill="auto"/>
            <w:noWrap/>
            <w:vAlign w:val="bottom"/>
            <w:hideMark/>
          </w:tcPr>
          <w:p w14:paraId="723383B3" w14:textId="77777777" w:rsidR="00F7044C" w:rsidRPr="00C421E4" w:rsidRDefault="00F7044C" w:rsidP="00804E6B">
            <w:pPr>
              <w:jc w:val="right"/>
              <w:rPr>
                <w:rFonts w:ascii="Times" w:hAnsi="Times"/>
              </w:rPr>
            </w:pPr>
            <w:r w:rsidRPr="00C421E4">
              <w:rPr>
                <w:rFonts w:ascii="Times" w:hAnsi="Times"/>
              </w:rPr>
              <w:t>0.471</w:t>
            </w:r>
          </w:p>
        </w:tc>
        <w:tc>
          <w:tcPr>
            <w:tcW w:w="1300" w:type="dxa"/>
            <w:shd w:val="clear" w:color="auto" w:fill="auto"/>
            <w:noWrap/>
            <w:vAlign w:val="bottom"/>
            <w:hideMark/>
          </w:tcPr>
          <w:p w14:paraId="3D504DE8" w14:textId="77777777" w:rsidR="00F7044C" w:rsidRPr="00C421E4" w:rsidRDefault="00F7044C" w:rsidP="00804E6B">
            <w:pPr>
              <w:jc w:val="right"/>
              <w:rPr>
                <w:rFonts w:ascii="Times" w:hAnsi="Times"/>
              </w:rPr>
            </w:pPr>
            <w:r w:rsidRPr="00C421E4">
              <w:rPr>
                <w:rFonts w:ascii="Times" w:hAnsi="Times"/>
              </w:rPr>
              <w:t>0.639</w:t>
            </w:r>
          </w:p>
        </w:tc>
      </w:tr>
      <w:tr w:rsidR="00F7044C" w:rsidRPr="00C421E4" w14:paraId="434A701D" w14:textId="77777777" w:rsidTr="00804E6B">
        <w:trPr>
          <w:trHeight w:val="320"/>
        </w:trPr>
        <w:tc>
          <w:tcPr>
            <w:tcW w:w="2065" w:type="dxa"/>
            <w:shd w:val="clear" w:color="auto" w:fill="auto"/>
            <w:noWrap/>
            <w:vAlign w:val="bottom"/>
            <w:hideMark/>
          </w:tcPr>
          <w:p w14:paraId="6D750965" w14:textId="77777777" w:rsidR="00F7044C" w:rsidRPr="00C421E4" w:rsidRDefault="00F7044C" w:rsidP="00804E6B">
            <w:pPr>
              <w:rPr>
                <w:rFonts w:ascii="Times" w:hAnsi="Times"/>
              </w:rPr>
            </w:pPr>
            <w:r w:rsidRPr="00C421E4">
              <w:rPr>
                <w:rFonts w:ascii="Times" w:hAnsi="Times"/>
              </w:rPr>
              <w:t>Zygomaticus tone</w:t>
            </w:r>
          </w:p>
        </w:tc>
        <w:tc>
          <w:tcPr>
            <w:tcW w:w="1248" w:type="dxa"/>
            <w:shd w:val="clear" w:color="auto" w:fill="auto"/>
            <w:noWrap/>
            <w:vAlign w:val="bottom"/>
            <w:hideMark/>
          </w:tcPr>
          <w:p w14:paraId="3DF663FF" w14:textId="77777777" w:rsidR="00F7044C" w:rsidRPr="00C421E4" w:rsidRDefault="00F7044C" w:rsidP="00804E6B">
            <w:pPr>
              <w:jc w:val="right"/>
              <w:rPr>
                <w:rFonts w:ascii="Times" w:hAnsi="Times"/>
              </w:rPr>
            </w:pPr>
            <w:r w:rsidRPr="00C421E4">
              <w:rPr>
                <w:rFonts w:ascii="Times" w:hAnsi="Times"/>
              </w:rPr>
              <w:t>-0.032</w:t>
            </w:r>
          </w:p>
        </w:tc>
        <w:tc>
          <w:tcPr>
            <w:tcW w:w="1300" w:type="dxa"/>
            <w:shd w:val="clear" w:color="auto" w:fill="auto"/>
            <w:noWrap/>
            <w:vAlign w:val="bottom"/>
            <w:hideMark/>
          </w:tcPr>
          <w:p w14:paraId="306714AA" w14:textId="77777777" w:rsidR="00F7044C" w:rsidRPr="00C421E4" w:rsidRDefault="00F7044C" w:rsidP="00804E6B">
            <w:pPr>
              <w:jc w:val="right"/>
              <w:rPr>
                <w:rFonts w:ascii="Times" w:hAnsi="Times"/>
              </w:rPr>
            </w:pPr>
            <w:r w:rsidRPr="00C421E4">
              <w:rPr>
                <w:rFonts w:ascii="Times" w:hAnsi="Times"/>
              </w:rPr>
              <w:t>0.079</w:t>
            </w:r>
          </w:p>
        </w:tc>
        <w:tc>
          <w:tcPr>
            <w:tcW w:w="1300" w:type="dxa"/>
            <w:shd w:val="clear" w:color="auto" w:fill="auto"/>
            <w:noWrap/>
            <w:vAlign w:val="bottom"/>
            <w:hideMark/>
          </w:tcPr>
          <w:p w14:paraId="7D908E3A" w14:textId="77777777" w:rsidR="00F7044C" w:rsidRPr="00C421E4" w:rsidRDefault="00F7044C" w:rsidP="00804E6B">
            <w:pPr>
              <w:jc w:val="right"/>
              <w:rPr>
                <w:rFonts w:ascii="Times" w:hAnsi="Times"/>
              </w:rPr>
            </w:pPr>
            <w:r w:rsidRPr="00C421E4">
              <w:rPr>
                <w:rFonts w:ascii="Times" w:hAnsi="Times"/>
              </w:rPr>
              <w:t>-0.044</w:t>
            </w:r>
          </w:p>
        </w:tc>
        <w:tc>
          <w:tcPr>
            <w:tcW w:w="1300" w:type="dxa"/>
            <w:shd w:val="clear" w:color="auto" w:fill="auto"/>
            <w:noWrap/>
            <w:vAlign w:val="bottom"/>
            <w:hideMark/>
          </w:tcPr>
          <w:p w14:paraId="2DAD4A6C" w14:textId="77777777" w:rsidR="00F7044C" w:rsidRPr="00C421E4" w:rsidRDefault="00F7044C" w:rsidP="00804E6B">
            <w:pPr>
              <w:jc w:val="right"/>
              <w:rPr>
                <w:rFonts w:ascii="Times" w:hAnsi="Times"/>
              </w:rPr>
            </w:pPr>
            <w:r w:rsidRPr="00C421E4">
              <w:rPr>
                <w:rFonts w:ascii="Times" w:hAnsi="Times"/>
              </w:rPr>
              <w:t>-0.41</w:t>
            </w:r>
          </w:p>
        </w:tc>
        <w:tc>
          <w:tcPr>
            <w:tcW w:w="1300" w:type="dxa"/>
            <w:shd w:val="clear" w:color="auto" w:fill="auto"/>
            <w:noWrap/>
            <w:vAlign w:val="bottom"/>
            <w:hideMark/>
          </w:tcPr>
          <w:p w14:paraId="6C0CD4BE" w14:textId="77777777" w:rsidR="00F7044C" w:rsidRPr="00C421E4" w:rsidRDefault="00F7044C" w:rsidP="00804E6B">
            <w:pPr>
              <w:jc w:val="right"/>
              <w:rPr>
                <w:rFonts w:ascii="Times" w:hAnsi="Times"/>
              </w:rPr>
            </w:pPr>
            <w:r w:rsidRPr="00C421E4">
              <w:rPr>
                <w:rFonts w:ascii="Times" w:hAnsi="Times"/>
              </w:rPr>
              <w:t>0.683</w:t>
            </w:r>
          </w:p>
        </w:tc>
      </w:tr>
      <w:tr w:rsidR="00F7044C" w:rsidRPr="00C421E4" w14:paraId="72FA239E" w14:textId="77777777" w:rsidTr="00804E6B">
        <w:trPr>
          <w:trHeight w:val="320"/>
        </w:trPr>
        <w:tc>
          <w:tcPr>
            <w:tcW w:w="2065" w:type="dxa"/>
            <w:shd w:val="clear" w:color="auto" w:fill="auto"/>
            <w:noWrap/>
            <w:vAlign w:val="bottom"/>
            <w:hideMark/>
          </w:tcPr>
          <w:p w14:paraId="19BBE260" w14:textId="77777777" w:rsidR="00F7044C" w:rsidRPr="00C421E4" w:rsidRDefault="00F7044C" w:rsidP="00804E6B">
            <w:pPr>
              <w:rPr>
                <w:rFonts w:ascii="Times" w:hAnsi="Times"/>
              </w:rPr>
            </w:pPr>
            <w:r w:rsidRPr="00C421E4">
              <w:rPr>
                <w:rFonts w:ascii="Times" w:hAnsi="Times"/>
              </w:rPr>
              <w:t>Heart rate</w:t>
            </w:r>
          </w:p>
        </w:tc>
        <w:tc>
          <w:tcPr>
            <w:tcW w:w="1248" w:type="dxa"/>
            <w:shd w:val="clear" w:color="auto" w:fill="auto"/>
            <w:noWrap/>
            <w:vAlign w:val="bottom"/>
            <w:hideMark/>
          </w:tcPr>
          <w:p w14:paraId="57E84E8C" w14:textId="77777777" w:rsidR="00F7044C" w:rsidRPr="00C421E4" w:rsidRDefault="00F7044C" w:rsidP="00804E6B">
            <w:pPr>
              <w:jc w:val="right"/>
              <w:rPr>
                <w:rFonts w:ascii="Times" w:hAnsi="Times"/>
              </w:rPr>
            </w:pPr>
            <w:r w:rsidRPr="00C421E4">
              <w:rPr>
                <w:rFonts w:ascii="Times" w:hAnsi="Times"/>
              </w:rPr>
              <w:t>-0.001</w:t>
            </w:r>
          </w:p>
        </w:tc>
        <w:tc>
          <w:tcPr>
            <w:tcW w:w="1300" w:type="dxa"/>
            <w:shd w:val="clear" w:color="auto" w:fill="auto"/>
            <w:noWrap/>
            <w:vAlign w:val="bottom"/>
            <w:hideMark/>
          </w:tcPr>
          <w:p w14:paraId="061A2A41" w14:textId="77777777" w:rsidR="00F7044C" w:rsidRPr="00C421E4" w:rsidRDefault="00F7044C" w:rsidP="00804E6B">
            <w:pPr>
              <w:jc w:val="right"/>
              <w:rPr>
                <w:rFonts w:ascii="Times" w:hAnsi="Times"/>
              </w:rPr>
            </w:pPr>
            <w:r w:rsidRPr="00C421E4">
              <w:rPr>
                <w:rFonts w:ascii="Times" w:hAnsi="Times"/>
              </w:rPr>
              <w:t>0.01</w:t>
            </w:r>
          </w:p>
        </w:tc>
        <w:tc>
          <w:tcPr>
            <w:tcW w:w="1300" w:type="dxa"/>
            <w:shd w:val="clear" w:color="auto" w:fill="auto"/>
            <w:noWrap/>
            <w:vAlign w:val="bottom"/>
            <w:hideMark/>
          </w:tcPr>
          <w:p w14:paraId="34D3A77A" w14:textId="77777777" w:rsidR="00F7044C" w:rsidRPr="00C421E4" w:rsidRDefault="00F7044C" w:rsidP="00804E6B">
            <w:pPr>
              <w:jc w:val="right"/>
              <w:rPr>
                <w:rFonts w:ascii="Times" w:hAnsi="Times"/>
              </w:rPr>
            </w:pPr>
            <w:r w:rsidRPr="00C421E4">
              <w:rPr>
                <w:rFonts w:ascii="Times" w:hAnsi="Times"/>
              </w:rPr>
              <w:t>-0.009</w:t>
            </w:r>
          </w:p>
        </w:tc>
        <w:tc>
          <w:tcPr>
            <w:tcW w:w="1300" w:type="dxa"/>
            <w:shd w:val="clear" w:color="auto" w:fill="auto"/>
            <w:noWrap/>
            <w:vAlign w:val="bottom"/>
            <w:hideMark/>
          </w:tcPr>
          <w:p w14:paraId="36CCBF13" w14:textId="77777777" w:rsidR="00F7044C" w:rsidRPr="00C421E4" w:rsidRDefault="00F7044C" w:rsidP="00804E6B">
            <w:pPr>
              <w:jc w:val="right"/>
              <w:rPr>
                <w:rFonts w:ascii="Times" w:hAnsi="Times"/>
              </w:rPr>
            </w:pPr>
            <w:r w:rsidRPr="00C421E4">
              <w:rPr>
                <w:rFonts w:ascii="Times" w:hAnsi="Times"/>
              </w:rPr>
              <w:t>-0.085</w:t>
            </w:r>
          </w:p>
        </w:tc>
        <w:tc>
          <w:tcPr>
            <w:tcW w:w="1300" w:type="dxa"/>
            <w:shd w:val="clear" w:color="auto" w:fill="auto"/>
            <w:noWrap/>
            <w:vAlign w:val="bottom"/>
            <w:hideMark/>
          </w:tcPr>
          <w:p w14:paraId="67CB07E1" w14:textId="77777777" w:rsidR="00F7044C" w:rsidRPr="00C421E4" w:rsidRDefault="00F7044C" w:rsidP="00804E6B">
            <w:pPr>
              <w:jc w:val="right"/>
              <w:rPr>
                <w:rFonts w:ascii="Times" w:hAnsi="Times"/>
              </w:rPr>
            </w:pPr>
            <w:r w:rsidRPr="00C421E4">
              <w:rPr>
                <w:rFonts w:ascii="Times" w:hAnsi="Times"/>
              </w:rPr>
              <w:t>0.933</w:t>
            </w:r>
          </w:p>
        </w:tc>
      </w:tr>
      <w:tr w:rsidR="00F7044C" w:rsidRPr="00C421E4" w14:paraId="779522CC" w14:textId="77777777" w:rsidTr="00804E6B">
        <w:trPr>
          <w:trHeight w:val="320"/>
        </w:trPr>
        <w:tc>
          <w:tcPr>
            <w:tcW w:w="8513" w:type="dxa"/>
            <w:gridSpan w:val="6"/>
            <w:shd w:val="clear" w:color="auto" w:fill="auto"/>
            <w:noWrap/>
            <w:vAlign w:val="bottom"/>
            <w:hideMark/>
          </w:tcPr>
          <w:p w14:paraId="01355F49"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28CB7D3A" w14:textId="77777777" w:rsidTr="00804E6B">
        <w:trPr>
          <w:trHeight w:val="320"/>
        </w:trPr>
        <w:tc>
          <w:tcPr>
            <w:tcW w:w="2065" w:type="dxa"/>
            <w:shd w:val="clear" w:color="auto" w:fill="auto"/>
            <w:noWrap/>
            <w:vAlign w:val="bottom"/>
            <w:hideMark/>
          </w:tcPr>
          <w:p w14:paraId="2F64DD8E" w14:textId="77777777" w:rsidR="00F7044C" w:rsidRPr="00C421E4" w:rsidRDefault="00F7044C" w:rsidP="00804E6B">
            <w:pPr>
              <w:rPr>
                <w:rFonts w:ascii="Times" w:hAnsi="Times"/>
              </w:rPr>
            </w:pPr>
            <w:r w:rsidRPr="00C421E4">
              <w:rPr>
                <w:rFonts w:ascii="Times" w:hAnsi="Times"/>
              </w:rPr>
              <w:t>Valence</w:t>
            </w:r>
          </w:p>
        </w:tc>
        <w:tc>
          <w:tcPr>
            <w:tcW w:w="1248" w:type="dxa"/>
            <w:shd w:val="clear" w:color="auto" w:fill="auto"/>
            <w:noWrap/>
            <w:vAlign w:val="bottom"/>
            <w:hideMark/>
          </w:tcPr>
          <w:p w14:paraId="4B944FC0" w14:textId="77777777" w:rsidR="00F7044C" w:rsidRPr="00C421E4" w:rsidRDefault="00F7044C" w:rsidP="00804E6B">
            <w:pPr>
              <w:jc w:val="right"/>
              <w:rPr>
                <w:rFonts w:ascii="Times" w:hAnsi="Times"/>
              </w:rPr>
            </w:pPr>
            <w:r w:rsidRPr="00C421E4">
              <w:rPr>
                <w:rFonts w:ascii="Times" w:hAnsi="Times"/>
              </w:rPr>
              <w:t>0.01</w:t>
            </w:r>
          </w:p>
        </w:tc>
        <w:tc>
          <w:tcPr>
            <w:tcW w:w="1300" w:type="dxa"/>
            <w:shd w:val="clear" w:color="auto" w:fill="auto"/>
            <w:noWrap/>
            <w:vAlign w:val="bottom"/>
            <w:hideMark/>
          </w:tcPr>
          <w:p w14:paraId="13C45750" w14:textId="77777777" w:rsidR="00F7044C" w:rsidRPr="00C421E4" w:rsidRDefault="00F7044C" w:rsidP="00804E6B">
            <w:pPr>
              <w:jc w:val="right"/>
              <w:rPr>
                <w:rFonts w:ascii="Times" w:hAnsi="Times"/>
              </w:rPr>
            </w:pPr>
            <w:r w:rsidRPr="00C421E4">
              <w:rPr>
                <w:rFonts w:ascii="Times" w:hAnsi="Times"/>
              </w:rPr>
              <w:t>0.138</w:t>
            </w:r>
          </w:p>
        </w:tc>
        <w:tc>
          <w:tcPr>
            <w:tcW w:w="1300" w:type="dxa"/>
            <w:shd w:val="clear" w:color="auto" w:fill="auto"/>
            <w:noWrap/>
            <w:vAlign w:val="bottom"/>
            <w:hideMark/>
          </w:tcPr>
          <w:p w14:paraId="6E565461" w14:textId="77777777" w:rsidR="00F7044C" w:rsidRPr="00C421E4" w:rsidRDefault="00F7044C" w:rsidP="00804E6B">
            <w:pPr>
              <w:jc w:val="right"/>
              <w:rPr>
                <w:rFonts w:ascii="Times" w:hAnsi="Times"/>
              </w:rPr>
            </w:pPr>
            <w:r w:rsidRPr="00C421E4">
              <w:rPr>
                <w:rFonts w:ascii="Times" w:hAnsi="Times"/>
              </w:rPr>
              <w:t>0.007</w:t>
            </w:r>
          </w:p>
        </w:tc>
        <w:tc>
          <w:tcPr>
            <w:tcW w:w="1300" w:type="dxa"/>
            <w:shd w:val="clear" w:color="auto" w:fill="auto"/>
            <w:noWrap/>
            <w:vAlign w:val="bottom"/>
            <w:hideMark/>
          </w:tcPr>
          <w:p w14:paraId="00EFEF8C" w14:textId="77777777" w:rsidR="00F7044C" w:rsidRPr="00C421E4" w:rsidRDefault="00F7044C" w:rsidP="00804E6B">
            <w:pPr>
              <w:jc w:val="right"/>
              <w:rPr>
                <w:rFonts w:ascii="Times" w:hAnsi="Times"/>
              </w:rPr>
            </w:pPr>
            <w:r w:rsidRPr="00C421E4">
              <w:rPr>
                <w:rFonts w:ascii="Times" w:hAnsi="Times"/>
              </w:rPr>
              <w:t>0.072</w:t>
            </w:r>
          </w:p>
        </w:tc>
        <w:tc>
          <w:tcPr>
            <w:tcW w:w="1300" w:type="dxa"/>
            <w:shd w:val="clear" w:color="auto" w:fill="auto"/>
            <w:noWrap/>
            <w:vAlign w:val="bottom"/>
            <w:hideMark/>
          </w:tcPr>
          <w:p w14:paraId="0FC58D54" w14:textId="77777777" w:rsidR="00F7044C" w:rsidRPr="00C421E4" w:rsidRDefault="00F7044C" w:rsidP="00804E6B">
            <w:pPr>
              <w:jc w:val="right"/>
              <w:rPr>
                <w:rFonts w:ascii="Times" w:hAnsi="Times"/>
              </w:rPr>
            </w:pPr>
            <w:r w:rsidRPr="00C421E4">
              <w:rPr>
                <w:rFonts w:ascii="Times" w:hAnsi="Times"/>
              </w:rPr>
              <w:t>0.943</w:t>
            </w:r>
          </w:p>
        </w:tc>
      </w:tr>
      <w:tr w:rsidR="00F7044C" w:rsidRPr="00C421E4" w14:paraId="6649F2CE" w14:textId="77777777" w:rsidTr="00804E6B">
        <w:trPr>
          <w:trHeight w:val="320"/>
        </w:trPr>
        <w:tc>
          <w:tcPr>
            <w:tcW w:w="2065" w:type="dxa"/>
            <w:shd w:val="clear" w:color="auto" w:fill="auto"/>
            <w:noWrap/>
            <w:vAlign w:val="bottom"/>
            <w:hideMark/>
          </w:tcPr>
          <w:p w14:paraId="218FD168" w14:textId="77777777" w:rsidR="00F7044C" w:rsidRPr="00C421E4" w:rsidRDefault="00F7044C" w:rsidP="00804E6B">
            <w:pPr>
              <w:rPr>
                <w:rFonts w:ascii="Times" w:hAnsi="Times"/>
              </w:rPr>
            </w:pPr>
            <w:r w:rsidRPr="00C421E4">
              <w:rPr>
                <w:rFonts w:ascii="Times" w:hAnsi="Times"/>
              </w:rPr>
              <w:t>Arousal</w:t>
            </w:r>
          </w:p>
        </w:tc>
        <w:tc>
          <w:tcPr>
            <w:tcW w:w="1248" w:type="dxa"/>
            <w:shd w:val="clear" w:color="auto" w:fill="auto"/>
            <w:noWrap/>
            <w:vAlign w:val="bottom"/>
            <w:hideMark/>
          </w:tcPr>
          <w:p w14:paraId="25614EDF" w14:textId="77777777" w:rsidR="00F7044C" w:rsidRPr="00C421E4" w:rsidRDefault="00F7044C" w:rsidP="00804E6B">
            <w:pPr>
              <w:jc w:val="right"/>
              <w:rPr>
                <w:rFonts w:ascii="Times" w:hAnsi="Times"/>
              </w:rPr>
            </w:pPr>
            <w:r w:rsidRPr="00C421E4">
              <w:rPr>
                <w:rFonts w:ascii="Times" w:hAnsi="Times"/>
              </w:rPr>
              <w:t>0.015</w:t>
            </w:r>
          </w:p>
        </w:tc>
        <w:tc>
          <w:tcPr>
            <w:tcW w:w="1300" w:type="dxa"/>
            <w:shd w:val="clear" w:color="auto" w:fill="auto"/>
            <w:noWrap/>
            <w:vAlign w:val="bottom"/>
            <w:hideMark/>
          </w:tcPr>
          <w:p w14:paraId="211B992B" w14:textId="77777777" w:rsidR="00F7044C" w:rsidRPr="00C421E4" w:rsidRDefault="00F7044C" w:rsidP="00804E6B">
            <w:pPr>
              <w:jc w:val="right"/>
              <w:rPr>
                <w:rFonts w:ascii="Times" w:hAnsi="Times"/>
              </w:rPr>
            </w:pPr>
            <w:r w:rsidRPr="00C421E4">
              <w:rPr>
                <w:rFonts w:ascii="Times" w:hAnsi="Times"/>
              </w:rPr>
              <w:t>0.065</w:t>
            </w:r>
          </w:p>
        </w:tc>
        <w:tc>
          <w:tcPr>
            <w:tcW w:w="1300" w:type="dxa"/>
            <w:shd w:val="clear" w:color="auto" w:fill="auto"/>
            <w:noWrap/>
            <w:vAlign w:val="bottom"/>
            <w:hideMark/>
          </w:tcPr>
          <w:p w14:paraId="3ACFC1C7" w14:textId="77777777" w:rsidR="00F7044C" w:rsidRPr="00C421E4" w:rsidRDefault="00F7044C" w:rsidP="00804E6B">
            <w:pPr>
              <w:jc w:val="right"/>
              <w:rPr>
                <w:rFonts w:ascii="Times" w:hAnsi="Times"/>
              </w:rPr>
            </w:pPr>
            <w:r w:rsidRPr="00C421E4">
              <w:rPr>
                <w:rFonts w:ascii="Times" w:hAnsi="Times"/>
              </w:rPr>
              <w:t>0.023</w:t>
            </w:r>
          </w:p>
        </w:tc>
        <w:tc>
          <w:tcPr>
            <w:tcW w:w="1300" w:type="dxa"/>
            <w:shd w:val="clear" w:color="auto" w:fill="auto"/>
            <w:noWrap/>
            <w:vAlign w:val="bottom"/>
            <w:hideMark/>
          </w:tcPr>
          <w:p w14:paraId="4F49C57F" w14:textId="77777777" w:rsidR="00F7044C" w:rsidRPr="00C421E4" w:rsidRDefault="00F7044C" w:rsidP="00804E6B">
            <w:pPr>
              <w:jc w:val="right"/>
              <w:rPr>
                <w:rFonts w:ascii="Times" w:hAnsi="Times"/>
              </w:rPr>
            </w:pPr>
            <w:r w:rsidRPr="00C421E4">
              <w:rPr>
                <w:rFonts w:ascii="Times" w:hAnsi="Times"/>
              </w:rPr>
              <w:t>0.224</w:t>
            </w:r>
          </w:p>
        </w:tc>
        <w:tc>
          <w:tcPr>
            <w:tcW w:w="1300" w:type="dxa"/>
            <w:shd w:val="clear" w:color="auto" w:fill="auto"/>
            <w:noWrap/>
            <w:vAlign w:val="bottom"/>
            <w:hideMark/>
          </w:tcPr>
          <w:p w14:paraId="5C2A8555" w14:textId="77777777" w:rsidR="00F7044C" w:rsidRPr="00C421E4" w:rsidRDefault="00F7044C" w:rsidP="00804E6B">
            <w:pPr>
              <w:jc w:val="right"/>
              <w:rPr>
                <w:rFonts w:ascii="Times" w:hAnsi="Times"/>
              </w:rPr>
            </w:pPr>
            <w:r w:rsidRPr="00C421E4">
              <w:rPr>
                <w:rFonts w:ascii="Times" w:hAnsi="Times"/>
              </w:rPr>
              <w:t>0.823</w:t>
            </w:r>
          </w:p>
        </w:tc>
      </w:tr>
      <w:tr w:rsidR="00F7044C" w:rsidRPr="00C421E4" w14:paraId="4591F01E" w14:textId="77777777" w:rsidTr="00804E6B">
        <w:trPr>
          <w:trHeight w:val="320"/>
        </w:trPr>
        <w:tc>
          <w:tcPr>
            <w:tcW w:w="2065" w:type="dxa"/>
            <w:shd w:val="clear" w:color="auto" w:fill="auto"/>
            <w:noWrap/>
            <w:vAlign w:val="bottom"/>
            <w:hideMark/>
          </w:tcPr>
          <w:p w14:paraId="3DF4BC60" w14:textId="77777777" w:rsidR="00F7044C" w:rsidRPr="00C421E4" w:rsidRDefault="00F7044C" w:rsidP="00804E6B">
            <w:pPr>
              <w:rPr>
                <w:rFonts w:ascii="Times" w:hAnsi="Times"/>
              </w:rPr>
            </w:pPr>
            <w:r w:rsidRPr="00C421E4">
              <w:rPr>
                <w:rFonts w:ascii="Times" w:hAnsi="Times"/>
              </w:rPr>
              <w:t>Skin conductance</w:t>
            </w:r>
          </w:p>
        </w:tc>
        <w:tc>
          <w:tcPr>
            <w:tcW w:w="1248" w:type="dxa"/>
            <w:shd w:val="clear" w:color="auto" w:fill="auto"/>
            <w:noWrap/>
            <w:vAlign w:val="bottom"/>
            <w:hideMark/>
          </w:tcPr>
          <w:p w14:paraId="70EB8C28" w14:textId="77777777" w:rsidR="00F7044C" w:rsidRPr="00C421E4" w:rsidRDefault="00F7044C" w:rsidP="00804E6B">
            <w:pPr>
              <w:jc w:val="right"/>
              <w:rPr>
                <w:rFonts w:ascii="Times" w:hAnsi="Times"/>
              </w:rPr>
            </w:pPr>
            <w:r w:rsidRPr="00C421E4">
              <w:rPr>
                <w:rFonts w:ascii="Times" w:hAnsi="Times"/>
              </w:rPr>
              <w:t>0.042</w:t>
            </w:r>
          </w:p>
        </w:tc>
        <w:tc>
          <w:tcPr>
            <w:tcW w:w="1300" w:type="dxa"/>
            <w:shd w:val="clear" w:color="auto" w:fill="auto"/>
            <w:noWrap/>
            <w:vAlign w:val="bottom"/>
            <w:hideMark/>
          </w:tcPr>
          <w:p w14:paraId="176CE035" w14:textId="77777777" w:rsidR="00F7044C" w:rsidRPr="00C421E4" w:rsidRDefault="00F7044C" w:rsidP="00804E6B">
            <w:pPr>
              <w:jc w:val="right"/>
              <w:rPr>
                <w:rFonts w:ascii="Times" w:hAnsi="Times"/>
              </w:rPr>
            </w:pPr>
            <w:r w:rsidRPr="00C421E4">
              <w:rPr>
                <w:rFonts w:ascii="Times" w:hAnsi="Times"/>
              </w:rPr>
              <w:t>0.074</w:t>
            </w:r>
          </w:p>
        </w:tc>
        <w:tc>
          <w:tcPr>
            <w:tcW w:w="1300" w:type="dxa"/>
            <w:shd w:val="clear" w:color="auto" w:fill="auto"/>
            <w:noWrap/>
            <w:vAlign w:val="bottom"/>
            <w:hideMark/>
          </w:tcPr>
          <w:p w14:paraId="46E20687" w14:textId="77777777" w:rsidR="00F7044C" w:rsidRPr="00C421E4" w:rsidRDefault="00F7044C" w:rsidP="00804E6B">
            <w:pPr>
              <w:jc w:val="right"/>
              <w:rPr>
                <w:rFonts w:ascii="Times" w:hAnsi="Times"/>
              </w:rPr>
            </w:pPr>
            <w:r w:rsidRPr="00C421E4">
              <w:rPr>
                <w:rFonts w:ascii="Times" w:hAnsi="Times"/>
              </w:rPr>
              <w:t>0.058</w:t>
            </w:r>
          </w:p>
        </w:tc>
        <w:tc>
          <w:tcPr>
            <w:tcW w:w="1300" w:type="dxa"/>
            <w:shd w:val="clear" w:color="auto" w:fill="auto"/>
            <w:noWrap/>
            <w:vAlign w:val="bottom"/>
            <w:hideMark/>
          </w:tcPr>
          <w:p w14:paraId="68214880" w14:textId="77777777" w:rsidR="00F7044C" w:rsidRPr="00C421E4" w:rsidRDefault="00F7044C" w:rsidP="00804E6B">
            <w:pPr>
              <w:jc w:val="right"/>
              <w:rPr>
                <w:rFonts w:ascii="Times" w:hAnsi="Times"/>
              </w:rPr>
            </w:pPr>
            <w:r w:rsidRPr="00C421E4">
              <w:rPr>
                <w:rFonts w:ascii="Times" w:hAnsi="Times"/>
              </w:rPr>
              <w:t>0.566</w:t>
            </w:r>
          </w:p>
        </w:tc>
        <w:tc>
          <w:tcPr>
            <w:tcW w:w="1300" w:type="dxa"/>
            <w:shd w:val="clear" w:color="auto" w:fill="auto"/>
            <w:noWrap/>
            <w:vAlign w:val="bottom"/>
            <w:hideMark/>
          </w:tcPr>
          <w:p w14:paraId="5FE74013" w14:textId="77777777" w:rsidR="00F7044C" w:rsidRPr="00C421E4" w:rsidRDefault="00F7044C" w:rsidP="00804E6B">
            <w:pPr>
              <w:jc w:val="right"/>
              <w:rPr>
                <w:rFonts w:ascii="Times" w:hAnsi="Times"/>
              </w:rPr>
            </w:pPr>
            <w:r w:rsidRPr="00C421E4">
              <w:rPr>
                <w:rFonts w:ascii="Times" w:hAnsi="Times"/>
              </w:rPr>
              <w:t>0.573</w:t>
            </w:r>
          </w:p>
        </w:tc>
      </w:tr>
      <w:tr w:rsidR="00F7044C" w:rsidRPr="00C421E4" w14:paraId="25F964E3" w14:textId="77777777" w:rsidTr="00804E6B">
        <w:trPr>
          <w:trHeight w:val="320"/>
        </w:trPr>
        <w:tc>
          <w:tcPr>
            <w:tcW w:w="2065" w:type="dxa"/>
            <w:shd w:val="clear" w:color="auto" w:fill="auto"/>
            <w:noWrap/>
            <w:vAlign w:val="bottom"/>
            <w:hideMark/>
          </w:tcPr>
          <w:p w14:paraId="0AB5993A" w14:textId="77777777" w:rsidR="00F7044C" w:rsidRPr="00C421E4" w:rsidRDefault="00F7044C" w:rsidP="00804E6B">
            <w:pPr>
              <w:rPr>
                <w:rFonts w:ascii="Times" w:hAnsi="Times"/>
              </w:rPr>
            </w:pPr>
            <w:r w:rsidRPr="00C421E4">
              <w:rPr>
                <w:rFonts w:ascii="Times" w:hAnsi="Times"/>
              </w:rPr>
              <w:t>Corrugator tone</w:t>
            </w:r>
          </w:p>
        </w:tc>
        <w:tc>
          <w:tcPr>
            <w:tcW w:w="1248" w:type="dxa"/>
            <w:shd w:val="clear" w:color="auto" w:fill="auto"/>
            <w:noWrap/>
            <w:vAlign w:val="bottom"/>
            <w:hideMark/>
          </w:tcPr>
          <w:p w14:paraId="73C3EFE1" w14:textId="77777777" w:rsidR="00F7044C" w:rsidRPr="00C421E4" w:rsidRDefault="00F7044C" w:rsidP="00804E6B">
            <w:pPr>
              <w:jc w:val="right"/>
              <w:rPr>
                <w:rFonts w:ascii="Times" w:hAnsi="Times"/>
              </w:rPr>
            </w:pPr>
            <w:r w:rsidRPr="00C421E4">
              <w:rPr>
                <w:rFonts w:ascii="Times" w:hAnsi="Times"/>
              </w:rPr>
              <w:t>-0.059</w:t>
            </w:r>
          </w:p>
        </w:tc>
        <w:tc>
          <w:tcPr>
            <w:tcW w:w="1300" w:type="dxa"/>
            <w:shd w:val="clear" w:color="auto" w:fill="auto"/>
            <w:noWrap/>
            <w:vAlign w:val="bottom"/>
            <w:hideMark/>
          </w:tcPr>
          <w:p w14:paraId="3ED67237" w14:textId="77777777" w:rsidR="00F7044C" w:rsidRPr="00C421E4" w:rsidRDefault="00F7044C" w:rsidP="00804E6B">
            <w:pPr>
              <w:jc w:val="right"/>
              <w:rPr>
                <w:rFonts w:ascii="Times" w:hAnsi="Times"/>
              </w:rPr>
            </w:pPr>
            <w:r w:rsidRPr="00C421E4">
              <w:rPr>
                <w:rFonts w:ascii="Times" w:hAnsi="Times"/>
              </w:rPr>
              <w:t>0.163</w:t>
            </w:r>
          </w:p>
        </w:tc>
        <w:tc>
          <w:tcPr>
            <w:tcW w:w="1300" w:type="dxa"/>
            <w:shd w:val="clear" w:color="auto" w:fill="auto"/>
            <w:noWrap/>
            <w:vAlign w:val="bottom"/>
            <w:hideMark/>
          </w:tcPr>
          <w:p w14:paraId="43E87BFA" w14:textId="77777777" w:rsidR="00F7044C" w:rsidRPr="00C421E4" w:rsidRDefault="00F7044C" w:rsidP="00804E6B">
            <w:pPr>
              <w:jc w:val="right"/>
              <w:rPr>
                <w:rFonts w:ascii="Times" w:hAnsi="Times"/>
              </w:rPr>
            </w:pPr>
            <w:r w:rsidRPr="00C421E4">
              <w:rPr>
                <w:rFonts w:ascii="Times" w:hAnsi="Times"/>
              </w:rPr>
              <w:t>-0.039</w:t>
            </w:r>
          </w:p>
        </w:tc>
        <w:tc>
          <w:tcPr>
            <w:tcW w:w="1300" w:type="dxa"/>
            <w:shd w:val="clear" w:color="auto" w:fill="auto"/>
            <w:noWrap/>
            <w:vAlign w:val="bottom"/>
            <w:hideMark/>
          </w:tcPr>
          <w:p w14:paraId="48E8F10C" w14:textId="77777777" w:rsidR="00F7044C" w:rsidRPr="00C421E4" w:rsidRDefault="00F7044C" w:rsidP="00804E6B">
            <w:pPr>
              <w:jc w:val="right"/>
              <w:rPr>
                <w:rFonts w:ascii="Times" w:hAnsi="Times"/>
              </w:rPr>
            </w:pPr>
            <w:r w:rsidRPr="00C421E4">
              <w:rPr>
                <w:rFonts w:ascii="Times" w:hAnsi="Times"/>
              </w:rPr>
              <w:t>-0.36</w:t>
            </w:r>
          </w:p>
        </w:tc>
        <w:tc>
          <w:tcPr>
            <w:tcW w:w="1300" w:type="dxa"/>
            <w:shd w:val="clear" w:color="auto" w:fill="auto"/>
            <w:noWrap/>
            <w:vAlign w:val="bottom"/>
            <w:hideMark/>
          </w:tcPr>
          <w:p w14:paraId="2B744149" w14:textId="77777777" w:rsidR="00F7044C" w:rsidRPr="00C421E4" w:rsidRDefault="00F7044C" w:rsidP="00804E6B">
            <w:pPr>
              <w:jc w:val="right"/>
              <w:rPr>
                <w:rFonts w:ascii="Times" w:hAnsi="Times"/>
              </w:rPr>
            </w:pPr>
            <w:r w:rsidRPr="00C421E4">
              <w:rPr>
                <w:rFonts w:ascii="Times" w:hAnsi="Times"/>
              </w:rPr>
              <w:t>0.72</w:t>
            </w:r>
          </w:p>
        </w:tc>
      </w:tr>
      <w:tr w:rsidR="00F7044C" w:rsidRPr="00C421E4" w14:paraId="3049DE0F" w14:textId="77777777" w:rsidTr="00804E6B">
        <w:trPr>
          <w:trHeight w:val="320"/>
        </w:trPr>
        <w:tc>
          <w:tcPr>
            <w:tcW w:w="2065" w:type="dxa"/>
            <w:shd w:val="clear" w:color="auto" w:fill="auto"/>
            <w:noWrap/>
            <w:vAlign w:val="bottom"/>
            <w:hideMark/>
          </w:tcPr>
          <w:p w14:paraId="6BA02A5C" w14:textId="77777777" w:rsidR="00F7044C" w:rsidRPr="00C421E4" w:rsidRDefault="00F7044C" w:rsidP="00804E6B">
            <w:pPr>
              <w:rPr>
                <w:rFonts w:ascii="Times" w:hAnsi="Times"/>
              </w:rPr>
            </w:pPr>
            <w:r w:rsidRPr="00C421E4">
              <w:rPr>
                <w:rFonts w:ascii="Times" w:hAnsi="Times"/>
              </w:rPr>
              <w:t>Heart rate</w:t>
            </w:r>
          </w:p>
        </w:tc>
        <w:tc>
          <w:tcPr>
            <w:tcW w:w="1248" w:type="dxa"/>
            <w:shd w:val="clear" w:color="auto" w:fill="auto"/>
            <w:noWrap/>
            <w:vAlign w:val="bottom"/>
            <w:hideMark/>
          </w:tcPr>
          <w:p w14:paraId="7A85F9B7" w14:textId="77777777" w:rsidR="00F7044C" w:rsidRPr="00C421E4" w:rsidRDefault="00F7044C" w:rsidP="00804E6B">
            <w:pPr>
              <w:jc w:val="right"/>
              <w:rPr>
                <w:rFonts w:ascii="Times" w:hAnsi="Times"/>
              </w:rPr>
            </w:pPr>
            <w:r w:rsidRPr="00C421E4">
              <w:rPr>
                <w:rFonts w:ascii="Times" w:hAnsi="Times"/>
              </w:rPr>
              <w:t>0.006</w:t>
            </w:r>
          </w:p>
        </w:tc>
        <w:tc>
          <w:tcPr>
            <w:tcW w:w="1300" w:type="dxa"/>
            <w:shd w:val="clear" w:color="auto" w:fill="auto"/>
            <w:noWrap/>
            <w:vAlign w:val="bottom"/>
            <w:hideMark/>
          </w:tcPr>
          <w:p w14:paraId="00C9C9B6" w14:textId="77777777" w:rsidR="00F7044C" w:rsidRPr="00C421E4" w:rsidRDefault="00F7044C" w:rsidP="00804E6B">
            <w:pPr>
              <w:jc w:val="right"/>
              <w:rPr>
                <w:rFonts w:ascii="Times" w:hAnsi="Times"/>
              </w:rPr>
            </w:pPr>
            <w:r w:rsidRPr="00C421E4">
              <w:rPr>
                <w:rFonts w:ascii="Times" w:hAnsi="Times"/>
              </w:rPr>
              <w:t>0.01</w:t>
            </w:r>
          </w:p>
        </w:tc>
        <w:tc>
          <w:tcPr>
            <w:tcW w:w="1300" w:type="dxa"/>
            <w:shd w:val="clear" w:color="auto" w:fill="auto"/>
            <w:noWrap/>
            <w:vAlign w:val="bottom"/>
            <w:hideMark/>
          </w:tcPr>
          <w:p w14:paraId="584BF1B4" w14:textId="77777777" w:rsidR="00F7044C" w:rsidRPr="00C421E4" w:rsidRDefault="00F7044C" w:rsidP="00804E6B">
            <w:pPr>
              <w:jc w:val="right"/>
              <w:rPr>
                <w:rFonts w:ascii="Times" w:hAnsi="Times"/>
              </w:rPr>
            </w:pPr>
            <w:r w:rsidRPr="00C421E4">
              <w:rPr>
                <w:rFonts w:ascii="Times" w:hAnsi="Times"/>
              </w:rPr>
              <w:t>0.062</w:t>
            </w:r>
          </w:p>
        </w:tc>
        <w:tc>
          <w:tcPr>
            <w:tcW w:w="1300" w:type="dxa"/>
            <w:shd w:val="clear" w:color="auto" w:fill="auto"/>
            <w:noWrap/>
            <w:vAlign w:val="bottom"/>
            <w:hideMark/>
          </w:tcPr>
          <w:p w14:paraId="74847522" w14:textId="77777777" w:rsidR="00F7044C" w:rsidRPr="00C421E4" w:rsidRDefault="00F7044C" w:rsidP="00804E6B">
            <w:pPr>
              <w:jc w:val="right"/>
              <w:rPr>
                <w:rFonts w:ascii="Times" w:hAnsi="Times"/>
              </w:rPr>
            </w:pPr>
            <w:r w:rsidRPr="00C421E4">
              <w:rPr>
                <w:rFonts w:ascii="Times" w:hAnsi="Times"/>
              </w:rPr>
              <w:t>0.576</w:t>
            </w:r>
          </w:p>
        </w:tc>
        <w:tc>
          <w:tcPr>
            <w:tcW w:w="1300" w:type="dxa"/>
            <w:shd w:val="clear" w:color="auto" w:fill="auto"/>
            <w:noWrap/>
            <w:vAlign w:val="bottom"/>
            <w:hideMark/>
          </w:tcPr>
          <w:p w14:paraId="188E907E" w14:textId="77777777" w:rsidR="00F7044C" w:rsidRPr="00C421E4" w:rsidRDefault="00F7044C" w:rsidP="00804E6B">
            <w:pPr>
              <w:jc w:val="right"/>
              <w:rPr>
                <w:rFonts w:ascii="Times" w:hAnsi="Times"/>
              </w:rPr>
            </w:pPr>
            <w:r w:rsidRPr="00C421E4">
              <w:rPr>
                <w:rFonts w:ascii="Times" w:hAnsi="Times"/>
              </w:rPr>
              <w:t>0.566</w:t>
            </w:r>
          </w:p>
        </w:tc>
      </w:tr>
      <w:tr w:rsidR="00F7044C" w:rsidRPr="00C421E4" w14:paraId="3E72169F" w14:textId="77777777" w:rsidTr="00804E6B">
        <w:trPr>
          <w:trHeight w:val="320"/>
        </w:trPr>
        <w:tc>
          <w:tcPr>
            <w:tcW w:w="8513" w:type="dxa"/>
            <w:gridSpan w:val="6"/>
            <w:shd w:val="clear" w:color="auto" w:fill="auto"/>
            <w:noWrap/>
            <w:vAlign w:val="bottom"/>
            <w:hideMark/>
          </w:tcPr>
          <w:p w14:paraId="1CD8A657"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39A4974A" w14:textId="77777777" w:rsidTr="00804E6B">
        <w:trPr>
          <w:trHeight w:val="320"/>
        </w:trPr>
        <w:tc>
          <w:tcPr>
            <w:tcW w:w="2065" w:type="dxa"/>
            <w:shd w:val="clear" w:color="auto" w:fill="auto"/>
            <w:noWrap/>
            <w:vAlign w:val="bottom"/>
            <w:hideMark/>
          </w:tcPr>
          <w:p w14:paraId="39DAA263" w14:textId="77777777" w:rsidR="00F7044C" w:rsidRPr="00C421E4" w:rsidRDefault="00F7044C" w:rsidP="00804E6B">
            <w:pPr>
              <w:rPr>
                <w:rFonts w:ascii="Times" w:hAnsi="Times"/>
              </w:rPr>
            </w:pPr>
            <w:r w:rsidRPr="00C421E4">
              <w:rPr>
                <w:rFonts w:ascii="Times" w:hAnsi="Times"/>
              </w:rPr>
              <w:t>Valence</w:t>
            </w:r>
          </w:p>
        </w:tc>
        <w:tc>
          <w:tcPr>
            <w:tcW w:w="1248" w:type="dxa"/>
            <w:shd w:val="clear" w:color="auto" w:fill="auto"/>
            <w:noWrap/>
            <w:vAlign w:val="bottom"/>
            <w:hideMark/>
          </w:tcPr>
          <w:p w14:paraId="13947487" w14:textId="77777777" w:rsidR="00F7044C" w:rsidRPr="00C421E4" w:rsidRDefault="00F7044C" w:rsidP="00804E6B">
            <w:pPr>
              <w:jc w:val="right"/>
              <w:rPr>
                <w:rFonts w:ascii="Times" w:hAnsi="Times"/>
              </w:rPr>
            </w:pPr>
            <w:r w:rsidRPr="00C421E4">
              <w:rPr>
                <w:rFonts w:ascii="Times" w:hAnsi="Times"/>
              </w:rPr>
              <w:t>0.067</w:t>
            </w:r>
          </w:p>
        </w:tc>
        <w:tc>
          <w:tcPr>
            <w:tcW w:w="1300" w:type="dxa"/>
            <w:shd w:val="clear" w:color="auto" w:fill="auto"/>
            <w:noWrap/>
            <w:vAlign w:val="bottom"/>
            <w:hideMark/>
          </w:tcPr>
          <w:p w14:paraId="41471A3D" w14:textId="77777777" w:rsidR="00F7044C" w:rsidRPr="00C421E4" w:rsidRDefault="00F7044C" w:rsidP="00804E6B">
            <w:pPr>
              <w:jc w:val="right"/>
              <w:rPr>
                <w:rFonts w:ascii="Times" w:hAnsi="Times"/>
              </w:rPr>
            </w:pPr>
            <w:r w:rsidRPr="00C421E4">
              <w:rPr>
                <w:rFonts w:ascii="Times" w:hAnsi="Times"/>
              </w:rPr>
              <w:t>0.129</w:t>
            </w:r>
          </w:p>
        </w:tc>
        <w:tc>
          <w:tcPr>
            <w:tcW w:w="1300" w:type="dxa"/>
            <w:shd w:val="clear" w:color="auto" w:fill="auto"/>
            <w:noWrap/>
            <w:vAlign w:val="bottom"/>
            <w:hideMark/>
          </w:tcPr>
          <w:p w14:paraId="5FC65CAB" w14:textId="77777777" w:rsidR="00F7044C" w:rsidRPr="00C421E4" w:rsidRDefault="00F7044C" w:rsidP="00804E6B">
            <w:pPr>
              <w:jc w:val="right"/>
              <w:rPr>
                <w:rFonts w:ascii="Times" w:hAnsi="Times"/>
              </w:rPr>
            </w:pPr>
            <w:r w:rsidRPr="00C421E4">
              <w:rPr>
                <w:rFonts w:ascii="Times" w:hAnsi="Times"/>
              </w:rPr>
              <w:t>0.052</w:t>
            </w:r>
          </w:p>
        </w:tc>
        <w:tc>
          <w:tcPr>
            <w:tcW w:w="1300" w:type="dxa"/>
            <w:shd w:val="clear" w:color="auto" w:fill="auto"/>
            <w:noWrap/>
            <w:vAlign w:val="bottom"/>
            <w:hideMark/>
          </w:tcPr>
          <w:p w14:paraId="57DDE309" w14:textId="77777777" w:rsidR="00F7044C" w:rsidRPr="00C421E4" w:rsidRDefault="00F7044C" w:rsidP="00804E6B">
            <w:pPr>
              <w:jc w:val="right"/>
              <w:rPr>
                <w:rFonts w:ascii="Times" w:hAnsi="Times"/>
              </w:rPr>
            </w:pPr>
            <w:r w:rsidRPr="00C421E4">
              <w:rPr>
                <w:rFonts w:ascii="Times" w:hAnsi="Times"/>
              </w:rPr>
              <w:t>0.521</w:t>
            </w:r>
          </w:p>
        </w:tc>
        <w:tc>
          <w:tcPr>
            <w:tcW w:w="1300" w:type="dxa"/>
            <w:shd w:val="clear" w:color="auto" w:fill="auto"/>
            <w:noWrap/>
            <w:vAlign w:val="bottom"/>
            <w:hideMark/>
          </w:tcPr>
          <w:p w14:paraId="765BC514" w14:textId="77777777" w:rsidR="00F7044C" w:rsidRPr="00C421E4" w:rsidRDefault="00F7044C" w:rsidP="00804E6B">
            <w:pPr>
              <w:jc w:val="right"/>
              <w:rPr>
                <w:rFonts w:ascii="Times" w:hAnsi="Times"/>
              </w:rPr>
            </w:pPr>
            <w:r w:rsidRPr="00C421E4">
              <w:rPr>
                <w:rFonts w:ascii="Times" w:hAnsi="Times"/>
              </w:rPr>
              <w:t>0.604</w:t>
            </w:r>
          </w:p>
        </w:tc>
      </w:tr>
      <w:tr w:rsidR="00F7044C" w:rsidRPr="00C421E4" w14:paraId="064F0681" w14:textId="77777777" w:rsidTr="00804E6B">
        <w:trPr>
          <w:trHeight w:val="320"/>
        </w:trPr>
        <w:tc>
          <w:tcPr>
            <w:tcW w:w="2065" w:type="dxa"/>
            <w:shd w:val="clear" w:color="auto" w:fill="auto"/>
            <w:noWrap/>
            <w:vAlign w:val="bottom"/>
            <w:hideMark/>
          </w:tcPr>
          <w:p w14:paraId="7A4CB1A5" w14:textId="77777777" w:rsidR="00F7044C" w:rsidRPr="00C421E4" w:rsidRDefault="00F7044C" w:rsidP="00804E6B">
            <w:pPr>
              <w:rPr>
                <w:rFonts w:ascii="Times" w:hAnsi="Times"/>
              </w:rPr>
            </w:pPr>
            <w:r w:rsidRPr="00C421E4">
              <w:rPr>
                <w:rFonts w:ascii="Times" w:hAnsi="Times"/>
              </w:rPr>
              <w:t>Arousal</w:t>
            </w:r>
          </w:p>
        </w:tc>
        <w:tc>
          <w:tcPr>
            <w:tcW w:w="1248" w:type="dxa"/>
            <w:shd w:val="clear" w:color="auto" w:fill="auto"/>
            <w:noWrap/>
            <w:vAlign w:val="bottom"/>
            <w:hideMark/>
          </w:tcPr>
          <w:p w14:paraId="6B47F6E2" w14:textId="77777777" w:rsidR="00F7044C" w:rsidRPr="00C421E4" w:rsidRDefault="00F7044C" w:rsidP="00804E6B">
            <w:pPr>
              <w:jc w:val="right"/>
              <w:rPr>
                <w:rFonts w:ascii="Times" w:hAnsi="Times"/>
              </w:rPr>
            </w:pPr>
            <w:r w:rsidRPr="00C421E4">
              <w:rPr>
                <w:rFonts w:ascii="Times" w:hAnsi="Times"/>
              </w:rPr>
              <w:t>-0.027</w:t>
            </w:r>
          </w:p>
        </w:tc>
        <w:tc>
          <w:tcPr>
            <w:tcW w:w="1300" w:type="dxa"/>
            <w:shd w:val="clear" w:color="auto" w:fill="auto"/>
            <w:noWrap/>
            <w:vAlign w:val="bottom"/>
            <w:hideMark/>
          </w:tcPr>
          <w:p w14:paraId="42D72454" w14:textId="77777777" w:rsidR="00F7044C" w:rsidRPr="00C421E4" w:rsidRDefault="00F7044C" w:rsidP="00804E6B">
            <w:pPr>
              <w:jc w:val="right"/>
              <w:rPr>
                <w:rFonts w:ascii="Times" w:hAnsi="Times"/>
              </w:rPr>
            </w:pPr>
            <w:r w:rsidRPr="00C421E4">
              <w:rPr>
                <w:rFonts w:ascii="Times" w:hAnsi="Times"/>
              </w:rPr>
              <w:t>0.066</w:t>
            </w:r>
          </w:p>
        </w:tc>
        <w:tc>
          <w:tcPr>
            <w:tcW w:w="1300" w:type="dxa"/>
            <w:shd w:val="clear" w:color="auto" w:fill="auto"/>
            <w:noWrap/>
            <w:vAlign w:val="bottom"/>
            <w:hideMark/>
          </w:tcPr>
          <w:p w14:paraId="52997777" w14:textId="77777777" w:rsidR="00F7044C" w:rsidRPr="00C421E4" w:rsidRDefault="00F7044C" w:rsidP="00804E6B">
            <w:pPr>
              <w:jc w:val="right"/>
              <w:rPr>
                <w:rFonts w:ascii="Times" w:hAnsi="Times"/>
              </w:rPr>
            </w:pPr>
            <w:r w:rsidRPr="00C421E4">
              <w:rPr>
                <w:rFonts w:ascii="Times" w:hAnsi="Times"/>
              </w:rPr>
              <w:t>-0.04</w:t>
            </w:r>
          </w:p>
        </w:tc>
        <w:tc>
          <w:tcPr>
            <w:tcW w:w="1300" w:type="dxa"/>
            <w:shd w:val="clear" w:color="auto" w:fill="auto"/>
            <w:noWrap/>
            <w:vAlign w:val="bottom"/>
            <w:hideMark/>
          </w:tcPr>
          <w:p w14:paraId="6488FEF9" w14:textId="77777777" w:rsidR="00F7044C" w:rsidRPr="00C421E4" w:rsidRDefault="00F7044C" w:rsidP="00804E6B">
            <w:pPr>
              <w:jc w:val="right"/>
              <w:rPr>
                <w:rFonts w:ascii="Times" w:hAnsi="Times"/>
              </w:rPr>
            </w:pPr>
            <w:r w:rsidRPr="00C421E4">
              <w:rPr>
                <w:rFonts w:ascii="Times" w:hAnsi="Times"/>
              </w:rPr>
              <w:t>-0.401</w:t>
            </w:r>
          </w:p>
        </w:tc>
        <w:tc>
          <w:tcPr>
            <w:tcW w:w="1300" w:type="dxa"/>
            <w:shd w:val="clear" w:color="auto" w:fill="auto"/>
            <w:noWrap/>
            <w:vAlign w:val="bottom"/>
            <w:hideMark/>
          </w:tcPr>
          <w:p w14:paraId="76AA8220" w14:textId="77777777" w:rsidR="00F7044C" w:rsidRPr="00C421E4" w:rsidRDefault="00F7044C" w:rsidP="00804E6B">
            <w:pPr>
              <w:jc w:val="right"/>
              <w:rPr>
                <w:rFonts w:ascii="Times" w:hAnsi="Times"/>
              </w:rPr>
            </w:pPr>
            <w:r w:rsidRPr="00C421E4">
              <w:rPr>
                <w:rFonts w:ascii="Times" w:hAnsi="Times"/>
              </w:rPr>
              <w:t>0.689</w:t>
            </w:r>
          </w:p>
        </w:tc>
      </w:tr>
      <w:tr w:rsidR="00F7044C" w:rsidRPr="00C421E4" w14:paraId="4611784F" w14:textId="77777777" w:rsidTr="00804E6B">
        <w:trPr>
          <w:trHeight w:val="320"/>
        </w:trPr>
        <w:tc>
          <w:tcPr>
            <w:tcW w:w="2065" w:type="dxa"/>
            <w:shd w:val="clear" w:color="auto" w:fill="auto"/>
            <w:noWrap/>
            <w:vAlign w:val="bottom"/>
            <w:hideMark/>
          </w:tcPr>
          <w:p w14:paraId="20B94687" w14:textId="77777777" w:rsidR="00F7044C" w:rsidRPr="00C421E4" w:rsidRDefault="00F7044C" w:rsidP="00804E6B">
            <w:pPr>
              <w:rPr>
                <w:rFonts w:ascii="Times" w:hAnsi="Times"/>
              </w:rPr>
            </w:pPr>
            <w:r w:rsidRPr="00C421E4">
              <w:rPr>
                <w:rFonts w:ascii="Times" w:hAnsi="Times"/>
              </w:rPr>
              <w:t>Skin conductance</w:t>
            </w:r>
          </w:p>
        </w:tc>
        <w:tc>
          <w:tcPr>
            <w:tcW w:w="1248" w:type="dxa"/>
            <w:shd w:val="clear" w:color="auto" w:fill="auto"/>
            <w:noWrap/>
            <w:vAlign w:val="bottom"/>
            <w:hideMark/>
          </w:tcPr>
          <w:p w14:paraId="7ED35D57" w14:textId="77777777" w:rsidR="00F7044C" w:rsidRPr="00C421E4" w:rsidRDefault="00F7044C" w:rsidP="00804E6B">
            <w:pPr>
              <w:jc w:val="right"/>
              <w:rPr>
                <w:rFonts w:ascii="Times" w:hAnsi="Times"/>
              </w:rPr>
            </w:pPr>
            <w:r w:rsidRPr="00C421E4">
              <w:rPr>
                <w:rFonts w:ascii="Times" w:hAnsi="Times"/>
              </w:rPr>
              <w:t>-0.142</w:t>
            </w:r>
          </w:p>
        </w:tc>
        <w:tc>
          <w:tcPr>
            <w:tcW w:w="1300" w:type="dxa"/>
            <w:shd w:val="clear" w:color="auto" w:fill="auto"/>
            <w:noWrap/>
            <w:vAlign w:val="bottom"/>
            <w:hideMark/>
          </w:tcPr>
          <w:p w14:paraId="0DB0CA92" w14:textId="77777777" w:rsidR="00F7044C" w:rsidRPr="00C421E4" w:rsidRDefault="00F7044C" w:rsidP="00804E6B">
            <w:pPr>
              <w:jc w:val="right"/>
              <w:rPr>
                <w:rFonts w:ascii="Times" w:hAnsi="Times"/>
              </w:rPr>
            </w:pPr>
            <w:r w:rsidRPr="00C421E4">
              <w:rPr>
                <w:rFonts w:ascii="Times" w:hAnsi="Times"/>
              </w:rPr>
              <w:t>0.337</w:t>
            </w:r>
          </w:p>
        </w:tc>
        <w:tc>
          <w:tcPr>
            <w:tcW w:w="1300" w:type="dxa"/>
            <w:shd w:val="clear" w:color="auto" w:fill="auto"/>
            <w:noWrap/>
            <w:vAlign w:val="bottom"/>
            <w:hideMark/>
          </w:tcPr>
          <w:p w14:paraId="5257EF2C" w14:textId="77777777" w:rsidR="00F7044C" w:rsidRPr="00C421E4" w:rsidRDefault="00F7044C" w:rsidP="00804E6B">
            <w:pPr>
              <w:jc w:val="right"/>
              <w:rPr>
                <w:rFonts w:ascii="Times" w:hAnsi="Times"/>
              </w:rPr>
            </w:pPr>
            <w:r w:rsidRPr="00C421E4">
              <w:rPr>
                <w:rFonts w:ascii="Times" w:hAnsi="Times"/>
              </w:rPr>
              <w:t>-0.044</w:t>
            </w:r>
          </w:p>
        </w:tc>
        <w:tc>
          <w:tcPr>
            <w:tcW w:w="1300" w:type="dxa"/>
            <w:shd w:val="clear" w:color="auto" w:fill="auto"/>
            <w:noWrap/>
            <w:vAlign w:val="bottom"/>
            <w:hideMark/>
          </w:tcPr>
          <w:p w14:paraId="127F444D" w14:textId="77777777" w:rsidR="00F7044C" w:rsidRPr="00C421E4" w:rsidRDefault="00F7044C" w:rsidP="00804E6B">
            <w:pPr>
              <w:jc w:val="right"/>
              <w:rPr>
                <w:rFonts w:ascii="Times" w:hAnsi="Times"/>
              </w:rPr>
            </w:pPr>
            <w:r w:rsidRPr="00C421E4">
              <w:rPr>
                <w:rFonts w:ascii="Times" w:hAnsi="Times"/>
              </w:rPr>
              <w:t>-0.422</w:t>
            </w:r>
          </w:p>
        </w:tc>
        <w:tc>
          <w:tcPr>
            <w:tcW w:w="1300" w:type="dxa"/>
            <w:shd w:val="clear" w:color="auto" w:fill="auto"/>
            <w:noWrap/>
            <w:vAlign w:val="bottom"/>
            <w:hideMark/>
          </w:tcPr>
          <w:p w14:paraId="376C053B" w14:textId="77777777" w:rsidR="00F7044C" w:rsidRPr="00C421E4" w:rsidRDefault="00F7044C" w:rsidP="00804E6B">
            <w:pPr>
              <w:jc w:val="right"/>
              <w:rPr>
                <w:rFonts w:ascii="Times" w:hAnsi="Times"/>
              </w:rPr>
            </w:pPr>
            <w:r w:rsidRPr="00C421E4">
              <w:rPr>
                <w:rFonts w:ascii="Times" w:hAnsi="Times"/>
              </w:rPr>
              <w:t>0.674</w:t>
            </w:r>
          </w:p>
        </w:tc>
      </w:tr>
      <w:tr w:rsidR="00F7044C" w:rsidRPr="00C421E4" w14:paraId="5A6EA060" w14:textId="77777777" w:rsidTr="00804E6B">
        <w:trPr>
          <w:trHeight w:val="320"/>
        </w:trPr>
        <w:tc>
          <w:tcPr>
            <w:tcW w:w="2065" w:type="dxa"/>
            <w:shd w:val="clear" w:color="auto" w:fill="auto"/>
            <w:noWrap/>
            <w:vAlign w:val="bottom"/>
            <w:hideMark/>
          </w:tcPr>
          <w:p w14:paraId="27413A4E" w14:textId="77777777" w:rsidR="00F7044C" w:rsidRPr="00C421E4" w:rsidRDefault="00F7044C" w:rsidP="00804E6B">
            <w:pPr>
              <w:rPr>
                <w:rFonts w:ascii="Times" w:hAnsi="Times"/>
                <w:b/>
                <w:bCs/>
              </w:rPr>
            </w:pPr>
            <w:r w:rsidRPr="00C421E4">
              <w:rPr>
                <w:rFonts w:ascii="Times" w:hAnsi="Times"/>
                <w:b/>
                <w:bCs/>
              </w:rPr>
              <w:t>Zygomaticus tone</w:t>
            </w:r>
          </w:p>
        </w:tc>
        <w:tc>
          <w:tcPr>
            <w:tcW w:w="1248" w:type="dxa"/>
            <w:shd w:val="clear" w:color="auto" w:fill="auto"/>
            <w:noWrap/>
            <w:vAlign w:val="bottom"/>
            <w:hideMark/>
          </w:tcPr>
          <w:p w14:paraId="0C668061" w14:textId="77777777" w:rsidR="00F7044C" w:rsidRPr="00C421E4" w:rsidRDefault="00F7044C" w:rsidP="00804E6B">
            <w:pPr>
              <w:jc w:val="right"/>
              <w:rPr>
                <w:rFonts w:ascii="Times" w:hAnsi="Times"/>
                <w:b/>
                <w:bCs/>
              </w:rPr>
            </w:pPr>
            <w:r w:rsidRPr="00C421E4">
              <w:rPr>
                <w:rFonts w:ascii="Times" w:hAnsi="Times"/>
                <w:b/>
                <w:bCs/>
              </w:rPr>
              <w:t>0.156</w:t>
            </w:r>
          </w:p>
        </w:tc>
        <w:tc>
          <w:tcPr>
            <w:tcW w:w="1300" w:type="dxa"/>
            <w:shd w:val="clear" w:color="auto" w:fill="auto"/>
            <w:noWrap/>
            <w:vAlign w:val="bottom"/>
            <w:hideMark/>
          </w:tcPr>
          <w:p w14:paraId="5357CC00" w14:textId="77777777" w:rsidR="00F7044C" w:rsidRPr="00C421E4" w:rsidRDefault="00F7044C" w:rsidP="00804E6B">
            <w:pPr>
              <w:jc w:val="right"/>
              <w:rPr>
                <w:rFonts w:ascii="Times" w:hAnsi="Times"/>
                <w:b/>
                <w:bCs/>
              </w:rPr>
            </w:pPr>
            <w:r w:rsidRPr="00C421E4">
              <w:rPr>
                <w:rFonts w:ascii="Times" w:hAnsi="Times"/>
                <w:b/>
                <w:bCs/>
              </w:rPr>
              <w:t>0.058</w:t>
            </w:r>
          </w:p>
        </w:tc>
        <w:tc>
          <w:tcPr>
            <w:tcW w:w="1300" w:type="dxa"/>
            <w:shd w:val="clear" w:color="auto" w:fill="auto"/>
            <w:noWrap/>
            <w:vAlign w:val="bottom"/>
            <w:hideMark/>
          </w:tcPr>
          <w:p w14:paraId="6A39EFC5" w14:textId="77777777" w:rsidR="00F7044C" w:rsidRPr="00C421E4" w:rsidRDefault="00F7044C" w:rsidP="00804E6B">
            <w:pPr>
              <w:jc w:val="right"/>
              <w:rPr>
                <w:rFonts w:ascii="Times" w:hAnsi="Times"/>
                <w:b/>
                <w:bCs/>
              </w:rPr>
            </w:pPr>
            <w:r w:rsidRPr="00C421E4">
              <w:rPr>
                <w:rFonts w:ascii="Times" w:hAnsi="Times"/>
                <w:b/>
                <w:bCs/>
              </w:rPr>
              <w:t>0.273</w:t>
            </w:r>
          </w:p>
        </w:tc>
        <w:tc>
          <w:tcPr>
            <w:tcW w:w="1300" w:type="dxa"/>
            <w:shd w:val="clear" w:color="auto" w:fill="auto"/>
            <w:noWrap/>
            <w:vAlign w:val="bottom"/>
            <w:hideMark/>
          </w:tcPr>
          <w:p w14:paraId="4BB03541" w14:textId="77777777" w:rsidR="00F7044C" w:rsidRPr="00C421E4" w:rsidRDefault="00F7044C" w:rsidP="00804E6B">
            <w:pPr>
              <w:jc w:val="right"/>
              <w:rPr>
                <w:rFonts w:ascii="Times" w:hAnsi="Times"/>
                <w:b/>
                <w:bCs/>
              </w:rPr>
            </w:pPr>
            <w:r w:rsidRPr="00C421E4">
              <w:rPr>
                <w:rFonts w:ascii="Times" w:hAnsi="Times"/>
                <w:b/>
                <w:bCs/>
              </w:rPr>
              <w:t>2.672</w:t>
            </w:r>
          </w:p>
        </w:tc>
        <w:tc>
          <w:tcPr>
            <w:tcW w:w="1300" w:type="dxa"/>
            <w:shd w:val="clear" w:color="auto" w:fill="auto"/>
            <w:noWrap/>
            <w:vAlign w:val="bottom"/>
            <w:hideMark/>
          </w:tcPr>
          <w:p w14:paraId="41F7CC8A" w14:textId="77777777" w:rsidR="00F7044C" w:rsidRPr="00C421E4" w:rsidRDefault="00F7044C" w:rsidP="00804E6B">
            <w:pPr>
              <w:jc w:val="right"/>
              <w:rPr>
                <w:rFonts w:ascii="Times" w:hAnsi="Times"/>
                <w:b/>
                <w:bCs/>
              </w:rPr>
            </w:pPr>
            <w:r w:rsidRPr="00C421E4">
              <w:rPr>
                <w:rFonts w:ascii="Times" w:hAnsi="Times"/>
                <w:b/>
                <w:bCs/>
              </w:rPr>
              <w:t>0.009</w:t>
            </w:r>
          </w:p>
        </w:tc>
      </w:tr>
      <w:tr w:rsidR="00F7044C" w:rsidRPr="00C421E4" w14:paraId="342D0B99" w14:textId="77777777" w:rsidTr="00804E6B">
        <w:trPr>
          <w:trHeight w:val="320"/>
        </w:trPr>
        <w:tc>
          <w:tcPr>
            <w:tcW w:w="2065" w:type="dxa"/>
            <w:shd w:val="clear" w:color="auto" w:fill="auto"/>
            <w:noWrap/>
            <w:vAlign w:val="bottom"/>
            <w:hideMark/>
          </w:tcPr>
          <w:p w14:paraId="610B5F56" w14:textId="77777777" w:rsidR="00F7044C" w:rsidRPr="00C421E4" w:rsidRDefault="00F7044C" w:rsidP="00804E6B">
            <w:pPr>
              <w:rPr>
                <w:rFonts w:ascii="Times" w:hAnsi="Times"/>
              </w:rPr>
            </w:pPr>
            <w:r w:rsidRPr="00C421E4">
              <w:rPr>
                <w:rFonts w:ascii="Times" w:hAnsi="Times"/>
              </w:rPr>
              <w:t>Heart rate</w:t>
            </w:r>
          </w:p>
        </w:tc>
        <w:tc>
          <w:tcPr>
            <w:tcW w:w="1248" w:type="dxa"/>
            <w:shd w:val="clear" w:color="auto" w:fill="auto"/>
            <w:noWrap/>
            <w:vAlign w:val="bottom"/>
            <w:hideMark/>
          </w:tcPr>
          <w:p w14:paraId="0C5545A1" w14:textId="77777777" w:rsidR="00F7044C" w:rsidRPr="00C421E4" w:rsidRDefault="00F7044C" w:rsidP="00804E6B">
            <w:pPr>
              <w:jc w:val="right"/>
              <w:rPr>
                <w:rFonts w:ascii="Times" w:hAnsi="Times"/>
              </w:rPr>
            </w:pPr>
            <w:r w:rsidRPr="00C421E4">
              <w:rPr>
                <w:rFonts w:ascii="Times" w:hAnsi="Times"/>
              </w:rPr>
              <w:t>0.001</w:t>
            </w:r>
          </w:p>
        </w:tc>
        <w:tc>
          <w:tcPr>
            <w:tcW w:w="1300" w:type="dxa"/>
            <w:shd w:val="clear" w:color="auto" w:fill="auto"/>
            <w:noWrap/>
            <w:vAlign w:val="bottom"/>
            <w:hideMark/>
          </w:tcPr>
          <w:p w14:paraId="3E5CEDBB" w14:textId="77777777" w:rsidR="00F7044C" w:rsidRPr="00C421E4" w:rsidRDefault="00F7044C" w:rsidP="00804E6B">
            <w:pPr>
              <w:jc w:val="right"/>
              <w:rPr>
                <w:rFonts w:ascii="Times" w:hAnsi="Times"/>
              </w:rPr>
            </w:pPr>
            <w:r w:rsidRPr="00C421E4">
              <w:rPr>
                <w:rFonts w:ascii="Times" w:hAnsi="Times"/>
              </w:rPr>
              <w:t>0.009</w:t>
            </w:r>
          </w:p>
        </w:tc>
        <w:tc>
          <w:tcPr>
            <w:tcW w:w="1300" w:type="dxa"/>
            <w:shd w:val="clear" w:color="auto" w:fill="auto"/>
            <w:noWrap/>
            <w:vAlign w:val="bottom"/>
            <w:hideMark/>
          </w:tcPr>
          <w:p w14:paraId="0E18FA46" w14:textId="77777777" w:rsidR="00F7044C" w:rsidRPr="00C421E4" w:rsidRDefault="00F7044C" w:rsidP="00804E6B">
            <w:pPr>
              <w:jc w:val="right"/>
              <w:rPr>
                <w:rFonts w:ascii="Times" w:hAnsi="Times"/>
              </w:rPr>
            </w:pPr>
            <w:r w:rsidRPr="00C421E4">
              <w:rPr>
                <w:rFonts w:ascii="Times" w:hAnsi="Times"/>
              </w:rPr>
              <w:t>-0.004</w:t>
            </w:r>
          </w:p>
        </w:tc>
        <w:tc>
          <w:tcPr>
            <w:tcW w:w="1300" w:type="dxa"/>
            <w:shd w:val="clear" w:color="auto" w:fill="auto"/>
            <w:noWrap/>
            <w:vAlign w:val="bottom"/>
            <w:hideMark/>
          </w:tcPr>
          <w:p w14:paraId="6F461303" w14:textId="77777777" w:rsidR="00F7044C" w:rsidRPr="00C421E4" w:rsidRDefault="00F7044C" w:rsidP="00804E6B">
            <w:pPr>
              <w:jc w:val="right"/>
              <w:rPr>
                <w:rFonts w:ascii="Times" w:hAnsi="Times"/>
              </w:rPr>
            </w:pPr>
            <w:r w:rsidRPr="00C421E4">
              <w:rPr>
                <w:rFonts w:ascii="Times" w:hAnsi="Times"/>
              </w:rPr>
              <w:t>-0.034</w:t>
            </w:r>
          </w:p>
        </w:tc>
        <w:tc>
          <w:tcPr>
            <w:tcW w:w="1300" w:type="dxa"/>
            <w:shd w:val="clear" w:color="auto" w:fill="auto"/>
            <w:noWrap/>
            <w:vAlign w:val="bottom"/>
            <w:hideMark/>
          </w:tcPr>
          <w:p w14:paraId="6E545425" w14:textId="77777777" w:rsidR="00F7044C" w:rsidRPr="00C421E4" w:rsidRDefault="00F7044C" w:rsidP="00804E6B">
            <w:pPr>
              <w:jc w:val="right"/>
              <w:rPr>
                <w:rFonts w:ascii="Times" w:hAnsi="Times"/>
              </w:rPr>
            </w:pPr>
            <w:r w:rsidRPr="00C421E4">
              <w:rPr>
                <w:rFonts w:ascii="Times" w:hAnsi="Times"/>
              </w:rPr>
              <w:t>0.973</w:t>
            </w:r>
          </w:p>
        </w:tc>
      </w:tr>
    </w:tbl>
    <w:p w14:paraId="3F22C5AC" w14:textId="77777777" w:rsidR="00F7044C" w:rsidRPr="00C421E4" w:rsidRDefault="00F7044C" w:rsidP="00F7044C">
      <w:pPr>
        <w:rPr>
          <w:rFonts w:ascii="Times" w:hAnsi="Times"/>
        </w:rPr>
      </w:pPr>
    </w:p>
    <w:p w14:paraId="34063033" w14:textId="77777777" w:rsidR="00F7044C" w:rsidRPr="00C421E4" w:rsidRDefault="00F7044C" w:rsidP="00F7044C">
      <w:pPr>
        <w:spacing w:line="480" w:lineRule="auto"/>
        <w:rPr>
          <w:rFonts w:ascii="Times" w:hAnsi="Times"/>
        </w:rPr>
      </w:pPr>
      <w:r>
        <w:rPr>
          <w:rFonts w:ascii="Times" w:hAnsi="Times"/>
        </w:rPr>
        <w:t>Table 9</w:t>
      </w:r>
      <w:r w:rsidRPr="00C421E4">
        <w:rPr>
          <w:rFonts w:ascii="Times" w:hAnsi="Times"/>
        </w:rPr>
        <w:t xml:space="preserve">: Regression results for main effects predicting the combined outcome measure. Bold indicates statistical significance. </w:t>
      </w:r>
    </w:p>
    <w:p w14:paraId="6C73F0C3" w14:textId="77777777" w:rsidR="00F7044C" w:rsidRPr="00C421E4" w:rsidRDefault="00F7044C" w:rsidP="00F7044C">
      <w:pPr>
        <w:rPr>
          <w:rFonts w:ascii="Times" w:hAnsi="Times"/>
        </w:rPr>
      </w:pPr>
      <w:r w:rsidRPr="00C421E4">
        <w:rPr>
          <w:rFonts w:ascii="Times" w:hAnsi="Times"/>
        </w:rPr>
        <w:br w:type="page"/>
      </w:r>
    </w:p>
    <w:tbl>
      <w:tblPr>
        <w:tblW w:w="8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996"/>
        <w:gridCol w:w="1300"/>
        <w:gridCol w:w="1300"/>
        <w:gridCol w:w="1300"/>
        <w:gridCol w:w="1300"/>
      </w:tblGrid>
      <w:tr w:rsidR="00F7044C" w:rsidRPr="00C421E4" w14:paraId="35C3E078" w14:textId="77777777" w:rsidTr="00804E6B">
        <w:trPr>
          <w:trHeight w:val="320"/>
        </w:trPr>
        <w:tc>
          <w:tcPr>
            <w:tcW w:w="2065" w:type="dxa"/>
            <w:shd w:val="clear" w:color="auto" w:fill="auto"/>
            <w:noWrap/>
            <w:vAlign w:val="bottom"/>
            <w:hideMark/>
          </w:tcPr>
          <w:p w14:paraId="36E859AF" w14:textId="77777777" w:rsidR="00F7044C" w:rsidRPr="00C421E4" w:rsidRDefault="00F7044C" w:rsidP="00804E6B">
            <w:pPr>
              <w:rPr>
                <w:rFonts w:ascii="Times" w:hAnsi="Times"/>
              </w:rPr>
            </w:pPr>
          </w:p>
        </w:tc>
        <w:tc>
          <w:tcPr>
            <w:tcW w:w="996" w:type="dxa"/>
            <w:shd w:val="clear" w:color="auto" w:fill="auto"/>
            <w:noWrap/>
            <w:vAlign w:val="bottom"/>
            <w:hideMark/>
          </w:tcPr>
          <w:p w14:paraId="0AC55755" w14:textId="77777777" w:rsidR="00F7044C" w:rsidRPr="00C421E4" w:rsidRDefault="00F7044C" w:rsidP="00804E6B">
            <w:pPr>
              <w:rPr>
                <w:rFonts w:ascii="Times" w:hAnsi="Times"/>
              </w:rPr>
            </w:pPr>
            <w:r w:rsidRPr="00C421E4">
              <w:rPr>
                <w:rFonts w:ascii="Times" w:hAnsi="Times"/>
              </w:rPr>
              <w:t>B</w:t>
            </w:r>
          </w:p>
        </w:tc>
        <w:tc>
          <w:tcPr>
            <w:tcW w:w="1300" w:type="dxa"/>
            <w:shd w:val="clear" w:color="auto" w:fill="auto"/>
            <w:noWrap/>
            <w:vAlign w:val="bottom"/>
            <w:hideMark/>
          </w:tcPr>
          <w:p w14:paraId="4FB419AA" w14:textId="77777777" w:rsidR="00F7044C" w:rsidRPr="00C421E4" w:rsidRDefault="00F7044C" w:rsidP="00804E6B">
            <w:pPr>
              <w:rPr>
                <w:rFonts w:ascii="Times" w:hAnsi="Times"/>
              </w:rPr>
            </w:pPr>
            <w:r w:rsidRPr="00C421E4">
              <w:rPr>
                <w:rFonts w:ascii="Times" w:hAnsi="Times"/>
              </w:rPr>
              <w:t>Std. Error</w:t>
            </w:r>
          </w:p>
        </w:tc>
        <w:tc>
          <w:tcPr>
            <w:tcW w:w="1300" w:type="dxa"/>
            <w:shd w:val="clear" w:color="auto" w:fill="auto"/>
            <w:noWrap/>
            <w:vAlign w:val="bottom"/>
            <w:hideMark/>
          </w:tcPr>
          <w:p w14:paraId="4B497B07" w14:textId="77777777" w:rsidR="00F7044C" w:rsidRPr="00C421E4" w:rsidRDefault="00F7044C" w:rsidP="00804E6B">
            <w:pPr>
              <w:rPr>
                <w:rFonts w:ascii="Times" w:hAnsi="Times"/>
              </w:rPr>
            </w:pPr>
            <w:r w:rsidRPr="00C421E4">
              <w:rPr>
                <w:rFonts w:ascii="Times" w:hAnsi="Times"/>
              </w:rPr>
              <w:t>Beta</w:t>
            </w:r>
          </w:p>
        </w:tc>
        <w:tc>
          <w:tcPr>
            <w:tcW w:w="1300" w:type="dxa"/>
            <w:shd w:val="clear" w:color="auto" w:fill="auto"/>
            <w:noWrap/>
            <w:vAlign w:val="bottom"/>
            <w:hideMark/>
          </w:tcPr>
          <w:p w14:paraId="5D01A770" w14:textId="77777777" w:rsidR="00F7044C" w:rsidRPr="00C421E4" w:rsidRDefault="00F7044C" w:rsidP="00804E6B">
            <w:pPr>
              <w:rPr>
                <w:rFonts w:ascii="Times" w:hAnsi="Times"/>
              </w:rPr>
            </w:pPr>
            <w:r w:rsidRPr="00C421E4">
              <w:rPr>
                <w:rFonts w:ascii="Times" w:hAnsi="Times"/>
              </w:rPr>
              <w:t>t</w:t>
            </w:r>
          </w:p>
        </w:tc>
        <w:tc>
          <w:tcPr>
            <w:tcW w:w="1300" w:type="dxa"/>
            <w:shd w:val="clear" w:color="auto" w:fill="auto"/>
            <w:noWrap/>
            <w:vAlign w:val="bottom"/>
            <w:hideMark/>
          </w:tcPr>
          <w:p w14:paraId="2381631C" w14:textId="77777777" w:rsidR="00F7044C" w:rsidRPr="00C421E4" w:rsidRDefault="00F7044C" w:rsidP="00804E6B">
            <w:pPr>
              <w:rPr>
                <w:rFonts w:ascii="Times" w:hAnsi="Times"/>
              </w:rPr>
            </w:pPr>
            <w:r w:rsidRPr="00C421E4">
              <w:rPr>
                <w:rFonts w:ascii="Times" w:hAnsi="Times"/>
              </w:rPr>
              <w:t>Sig.</w:t>
            </w:r>
          </w:p>
        </w:tc>
      </w:tr>
      <w:tr w:rsidR="00F7044C" w:rsidRPr="00C421E4" w14:paraId="7C6471A1" w14:textId="77777777" w:rsidTr="00804E6B">
        <w:trPr>
          <w:trHeight w:val="320"/>
        </w:trPr>
        <w:tc>
          <w:tcPr>
            <w:tcW w:w="8261" w:type="dxa"/>
            <w:gridSpan w:val="6"/>
            <w:shd w:val="clear" w:color="auto" w:fill="auto"/>
            <w:noWrap/>
            <w:vAlign w:val="bottom"/>
            <w:hideMark/>
          </w:tcPr>
          <w:p w14:paraId="36873762"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1495A0E3" w14:textId="77777777" w:rsidTr="00804E6B">
        <w:trPr>
          <w:trHeight w:val="320"/>
        </w:trPr>
        <w:tc>
          <w:tcPr>
            <w:tcW w:w="2065" w:type="dxa"/>
            <w:shd w:val="clear" w:color="auto" w:fill="auto"/>
            <w:noWrap/>
            <w:vAlign w:val="bottom"/>
            <w:hideMark/>
          </w:tcPr>
          <w:p w14:paraId="3468352F" w14:textId="77777777" w:rsidR="00F7044C" w:rsidRPr="00C421E4" w:rsidRDefault="00F7044C" w:rsidP="00804E6B">
            <w:pPr>
              <w:rPr>
                <w:rFonts w:ascii="Times" w:hAnsi="Times"/>
              </w:rPr>
            </w:pPr>
            <w:r w:rsidRPr="00C421E4">
              <w:rPr>
                <w:rFonts w:ascii="Times" w:hAnsi="Times"/>
              </w:rPr>
              <w:t>Valence</w:t>
            </w:r>
          </w:p>
        </w:tc>
        <w:tc>
          <w:tcPr>
            <w:tcW w:w="996" w:type="dxa"/>
            <w:shd w:val="clear" w:color="auto" w:fill="auto"/>
            <w:noWrap/>
            <w:vAlign w:val="bottom"/>
            <w:hideMark/>
          </w:tcPr>
          <w:p w14:paraId="1CCD241E" w14:textId="77777777" w:rsidR="00F7044C" w:rsidRPr="00C421E4" w:rsidRDefault="00F7044C" w:rsidP="00804E6B">
            <w:pPr>
              <w:jc w:val="right"/>
              <w:rPr>
                <w:rFonts w:ascii="Times" w:hAnsi="Times"/>
              </w:rPr>
            </w:pPr>
            <w:r w:rsidRPr="00C421E4">
              <w:rPr>
                <w:rFonts w:ascii="Times" w:hAnsi="Times"/>
              </w:rPr>
              <w:t>-0.127</w:t>
            </w:r>
          </w:p>
        </w:tc>
        <w:tc>
          <w:tcPr>
            <w:tcW w:w="1300" w:type="dxa"/>
            <w:shd w:val="clear" w:color="auto" w:fill="auto"/>
            <w:noWrap/>
            <w:vAlign w:val="bottom"/>
            <w:hideMark/>
          </w:tcPr>
          <w:p w14:paraId="04EF56CA" w14:textId="77777777" w:rsidR="00F7044C" w:rsidRPr="00C421E4" w:rsidRDefault="00F7044C" w:rsidP="00804E6B">
            <w:pPr>
              <w:jc w:val="right"/>
              <w:rPr>
                <w:rFonts w:ascii="Times" w:hAnsi="Times"/>
              </w:rPr>
            </w:pPr>
            <w:r w:rsidRPr="00C421E4">
              <w:rPr>
                <w:rFonts w:ascii="Times" w:hAnsi="Times"/>
              </w:rPr>
              <w:t>0.308</w:t>
            </w:r>
          </w:p>
        </w:tc>
        <w:tc>
          <w:tcPr>
            <w:tcW w:w="1300" w:type="dxa"/>
            <w:shd w:val="clear" w:color="auto" w:fill="auto"/>
            <w:noWrap/>
            <w:vAlign w:val="bottom"/>
            <w:hideMark/>
          </w:tcPr>
          <w:p w14:paraId="6CE12639" w14:textId="77777777" w:rsidR="00F7044C" w:rsidRPr="00C421E4" w:rsidRDefault="00F7044C" w:rsidP="00804E6B">
            <w:pPr>
              <w:jc w:val="right"/>
              <w:rPr>
                <w:rFonts w:ascii="Times" w:hAnsi="Times"/>
              </w:rPr>
            </w:pPr>
            <w:r w:rsidRPr="00C421E4">
              <w:rPr>
                <w:rFonts w:ascii="Times" w:hAnsi="Times"/>
              </w:rPr>
              <w:t>-0.175</w:t>
            </w:r>
          </w:p>
        </w:tc>
        <w:tc>
          <w:tcPr>
            <w:tcW w:w="1300" w:type="dxa"/>
            <w:shd w:val="clear" w:color="auto" w:fill="auto"/>
            <w:noWrap/>
            <w:vAlign w:val="bottom"/>
            <w:hideMark/>
          </w:tcPr>
          <w:p w14:paraId="1484444F" w14:textId="77777777" w:rsidR="00F7044C" w:rsidRPr="00C421E4" w:rsidRDefault="00F7044C" w:rsidP="00804E6B">
            <w:pPr>
              <w:jc w:val="right"/>
              <w:rPr>
                <w:rFonts w:ascii="Times" w:hAnsi="Times"/>
              </w:rPr>
            </w:pPr>
            <w:r w:rsidRPr="00C421E4">
              <w:rPr>
                <w:rFonts w:ascii="Times" w:hAnsi="Times"/>
              </w:rPr>
              <w:t>-0.411</w:t>
            </w:r>
          </w:p>
        </w:tc>
        <w:tc>
          <w:tcPr>
            <w:tcW w:w="1300" w:type="dxa"/>
            <w:shd w:val="clear" w:color="auto" w:fill="auto"/>
            <w:noWrap/>
            <w:vAlign w:val="bottom"/>
            <w:hideMark/>
          </w:tcPr>
          <w:p w14:paraId="313D37E2" w14:textId="77777777" w:rsidR="00F7044C" w:rsidRPr="00C421E4" w:rsidRDefault="00F7044C" w:rsidP="00804E6B">
            <w:pPr>
              <w:jc w:val="right"/>
              <w:rPr>
                <w:rFonts w:ascii="Times" w:hAnsi="Times"/>
              </w:rPr>
            </w:pPr>
            <w:r w:rsidRPr="00C421E4">
              <w:rPr>
                <w:rFonts w:ascii="Times" w:hAnsi="Times"/>
              </w:rPr>
              <w:t>0.682</w:t>
            </w:r>
          </w:p>
        </w:tc>
      </w:tr>
      <w:tr w:rsidR="00F7044C" w:rsidRPr="00C421E4" w14:paraId="277ABFE9" w14:textId="77777777" w:rsidTr="00804E6B">
        <w:trPr>
          <w:trHeight w:val="320"/>
        </w:trPr>
        <w:tc>
          <w:tcPr>
            <w:tcW w:w="2065" w:type="dxa"/>
            <w:shd w:val="clear" w:color="auto" w:fill="auto"/>
            <w:noWrap/>
            <w:vAlign w:val="bottom"/>
            <w:hideMark/>
          </w:tcPr>
          <w:p w14:paraId="4B49D864" w14:textId="77777777" w:rsidR="00F7044C" w:rsidRPr="00C421E4" w:rsidRDefault="00F7044C" w:rsidP="00804E6B">
            <w:pPr>
              <w:rPr>
                <w:rFonts w:ascii="Times" w:hAnsi="Times"/>
              </w:rPr>
            </w:pPr>
            <w:r w:rsidRPr="00C421E4">
              <w:rPr>
                <w:rFonts w:ascii="Times" w:hAnsi="Times"/>
              </w:rPr>
              <w:t>Arousal</w:t>
            </w:r>
          </w:p>
        </w:tc>
        <w:tc>
          <w:tcPr>
            <w:tcW w:w="996" w:type="dxa"/>
            <w:shd w:val="clear" w:color="auto" w:fill="auto"/>
            <w:noWrap/>
            <w:vAlign w:val="bottom"/>
            <w:hideMark/>
          </w:tcPr>
          <w:p w14:paraId="6AFF4972" w14:textId="77777777" w:rsidR="00F7044C" w:rsidRPr="00C421E4" w:rsidRDefault="00F7044C" w:rsidP="00804E6B">
            <w:pPr>
              <w:jc w:val="right"/>
              <w:rPr>
                <w:rFonts w:ascii="Times" w:hAnsi="Times"/>
              </w:rPr>
            </w:pPr>
            <w:r w:rsidRPr="00C421E4">
              <w:rPr>
                <w:rFonts w:ascii="Times" w:hAnsi="Times"/>
              </w:rPr>
              <w:t>0.386</w:t>
            </w:r>
          </w:p>
        </w:tc>
        <w:tc>
          <w:tcPr>
            <w:tcW w:w="1300" w:type="dxa"/>
            <w:shd w:val="clear" w:color="auto" w:fill="auto"/>
            <w:noWrap/>
            <w:vAlign w:val="bottom"/>
            <w:hideMark/>
          </w:tcPr>
          <w:p w14:paraId="5EB18170" w14:textId="77777777" w:rsidR="00F7044C" w:rsidRPr="00C421E4" w:rsidRDefault="00F7044C" w:rsidP="00804E6B">
            <w:pPr>
              <w:jc w:val="right"/>
              <w:rPr>
                <w:rFonts w:ascii="Times" w:hAnsi="Times"/>
              </w:rPr>
            </w:pPr>
            <w:r w:rsidRPr="00C421E4">
              <w:rPr>
                <w:rFonts w:ascii="Times" w:hAnsi="Times"/>
              </w:rPr>
              <w:t>0.168</w:t>
            </w:r>
          </w:p>
        </w:tc>
        <w:tc>
          <w:tcPr>
            <w:tcW w:w="1300" w:type="dxa"/>
            <w:shd w:val="clear" w:color="auto" w:fill="auto"/>
            <w:noWrap/>
            <w:vAlign w:val="bottom"/>
            <w:hideMark/>
          </w:tcPr>
          <w:p w14:paraId="5ABF9C99" w14:textId="77777777" w:rsidR="00F7044C" w:rsidRPr="00C421E4" w:rsidRDefault="00F7044C" w:rsidP="00804E6B">
            <w:pPr>
              <w:jc w:val="right"/>
              <w:rPr>
                <w:rFonts w:ascii="Times" w:hAnsi="Times"/>
              </w:rPr>
            </w:pPr>
            <w:r w:rsidRPr="00C421E4">
              <w:rPr>
                <w:rFonts w:ascii="Times" w:hAnsi="Times"/>
              </w:rPr>
              <w:t>1.011</w:t>
            </w:r>
          </w:p>
        </w:tc>
        <w:tc>
          <w:tcPr>
            <w:tcW w:w="1300" w:type="dxa"/>
            <w:shd w:val="clear" w:color="auto" w:fill="auto"/>
            <w:noWrap/>
            <w:vAlign w:val="bottom"/>
            <w:hideMark/>
          </w:tcPr>
          <w:p w14:paraId="03E77D8A" w14:textId="77777777" w:rsidR="00F7044C" w:rsidRPr="00C421E4" w:rsidRDefault="00F7044C" w:rsidP="00804E6B">
            <w:pPr>
              <w:jc w:val="right"/>
              <w:rPr>
                <w:rFonts w:ascii="Times" w:hAnsi="Times"/>
              </w:rPr>
            </w:pPr>
            <w:r w:rsidRPr="00C421E4">
              <w:rPr>
                <w:rFonts w:ascii="Times" w:hAnsi="Times"/>
              </w:rPr>
              <w:t>2.301</w:t>
            </w:r>
          </w:p>
        </w:tc>
        <w:tc>
          <w:tcPr>
            <w:tcW w:w="1300" w:type="dxa"/>
            <w:shd w:val="clear" w:color="auto" w:fill="auto"/>
            <w:noWrap/>
            <w:vAlign w:val="bottom"/>
            <w:hideMark/>
          </w:tcPr>
          <w:p w14:paraId="62C7D672" w14:textId="77777777" w:rsidR="00F7044C" w:rsidRPr="00C421E4" w:rsidRDefault="00F7044C" w:rsidP="00804E6B">
            <w:pPr>
              <w:jc w:val="right"/>
              <w:rPr>
                <w:rFonts w:ascii="Times" w:hAnsi="Times"/>
              </w:rPr>
            </w:pPr>
            <w:r w:rsidRPr="00C421E4">
              <w:rPr>
                <w:rFonts w:ascii="Times" w:hAnsi="Times"/>
              </w:rPr>
              <w:t>0.024</w:t>
            </w:r>
          </w:p>
        </w:tc>
      </w:tr>
      <w:tr w:rsidR="00F7044C" w:rsidRPr="00C421E4" w14:paraId="7FEFE0BC" w14:textId="77777777" w:rsidTr="00804E6B">
        <w:trPr>
          <w:trHeight w:val="320"/>
        </w:trPr>
        <w:tc>
          <w:tcPr>
            <w:tcW w:w="2065" w:type="dxa"/>
            <w:shd w:val="clear" w:color="auto" w:fill="auto"/>
            <w:noWrap/>
            <w:vAlign w:val="bottom"/>
            <w:hideMark/>
          </w:tcPr>
          <w:p w14:paraId="2B212816" w14:textId="77777777" w:rsidR="00F7044C" w:rsidRPr="00C421E4" w:rsidRDefault="00F7044C" w:rsidP="00804E6B">
            <w:pPr>
              <w:rPr>
                <w:rFonts w:ascii="Times" w:hAnsi="Times"/>
              </w:rPr>
            </w:pPr>
            <w:r w:rsidRPr="00C421E4">
              <w:rPr>
                <w:rFonts w:ascii="Times" w:hAnsi="Times"/>
              </w:rPr>
              <w:t>Skin conductance</w:t>
            </w:r>
          </w:p>
        </w:tc>
        <w:tc>
          <w:tcPr>
            <w:tcW w:w="996" w:type="dxa"/>
            <w:shd w:val="clear" w:color="auto" w:fill="auto"/>
            <w:noWrap/>
            <w:vAlign w:val="bottom"/>
            <w:hideMark/>
          </w:tcPr>
          <w:p w14:paraId="320B90AF" w14:textId="77777777" w:rsidR="00F7044C" w:rsidRPr="00C421E4" w:rsidRDefault="00F7044C" w:rsidP="00804E6B">
            <w:pPr>
              <w:jc w:val="right"/>
              <w:rPr>
                <w:rFonts w:ascii="Times" w:hAnsi="Times"/>
              </w:rPr>
            </w:pPr>
            <w:r w:rsidRPr="00C421E4">
              <w:rPr>
                <w:rFonts w:ascii="Times" w:hAnsi="Times"/>
              </w:rPr>
              <w:t>-0.362</w:t>
            </w:r>
          </w:p>
        </w:tc>
        <w:tc>
          <w:tcPr>
            <w:tcW w:w="1300" w:type="dxa"/>
            <w:shd w:val="clear" w:color="auto" w:fill="auto"/>
            <w:noWrap/>
            <w:vAlign w:val="bottom"/>
            <w:hideMark/>
          </w:tcPr>
          <w:p w14:paraId="00BA685D" w14:textId="77777777" w:rsidR="00F7044C" w:rsidRPr="00C421E4" w:rsidRDefault="00F7044C" w:rsidP="00804E6B">
            <w:pPr>
              <w:jc w:val="right"/>
              <w:rPr>
                <w:rFonts w:ascii="Times" w:hAnsi="Times"/>
              </w:rPr>
            </w:pPr>
            <w:r w:rsidRPr="00C421E4">
              <w:rPr>
                <w:rFonts w:ascii="Times" w:hAnsi="Times"/>
              </w:rPr>
              <w:t>0.51</w:t>
            </w:r>
          </w:p>
        </w:tc>
        <w:tc>
          <w:tcPr>
            <w:tcW w:w="1300" w:type="dxa"/>
            <w:shd w:val="clear" w:color="auto" w:fill="auto"/>
            <w:noWrap/>
            <w:vAlign w:val="bottom"/>
            <w:hideMark/>
          </w:tcPr>
          <w:p w14:paraId="0A4262A6" w14:textId="77777777" w:rsidR="00F7044C" w:rsidRPr="00C421E4" w:rsidRDefault="00F7044C" w:rsidP="00804E6B">
            <w:pPr>
              <w:jc w:val="right"/>
              <w:rPr>
                <w:rFonts w:ascii="Times" w:hAnsi="Times"/>
              </w:rPr>
            </w:pPr>
            <w:r w:rsidRPr="00C421E4">
              <w:rPr>
                <w:rFonts w:ascii="Times" w:hAnsi="Times"/>
              </w:rPr>
              <w:t>-0.085</w:t>
            </w:r>
          </w:p>
        </w:tc>
        <w:tc>
          <w:tcPr>
            <w:tcW w:w="1300" w:type="dxa"/>
            <w:shd w:val="clear" w:color="auto" w:fill="auto"/>
            <w:noWrap/>
            <w:vAlign w:val="bottom"/>
            <w:hideMark/>
          </w:tcPr>
          <w:p w14:paraId="2FCF29E3" w14:textId="77777777" w:rsidR="00F7044C" w:rsidRPr="00C421E4" w:rsidRDefault="00F7044C" w:rsidP="00804E6B">
            <w:pPr>
              <w:jc w:val="right"/>
              <w:rPr>
                <w:rFonts w:ascii="Times" w:hAnsi="Times"/>
              </w:rPr>
            </w:pPr>
            <w:r w:rsidRPr="00C421E4">
              <w:rPr>
                <w:rFonts w:ascii="Times" w:hAnsi="Times"/>
              </w:rPr>
              <w:t>-0.709</w:t>
            </w:r>
          </w:p>
        </w:tc>
        <w:tc>
          <w:tcPr>
            <w:tcW w:w="1300" w:type="dxa"/>
            <w:shd w:val="clear" w:color="auto" w:fill="auto"/>
            <w:noWrap/>
            <w:vAlign w:val="bottom"/>
            <w:hideMark/>
          </w:tcPr>
          <w:p w14:paraId="3986B58E" w14:textId="77777777" w:rsidR="00F7044C" w:rsidRPr="00C421E4" w:rsidRDefault="00F7044C" w:rsidP="00804E6B">
            <w:pPr>
              <w:jc w:val="right"/>
              <w:rPr>
                <w:rFonts w:ascii="Times" w:hAnsi="Times"/>
              </w:rPr>
            </w:pPr>
            <w:r w:rsidRPr="00C421E4">
              <w:rPr>
                <w:rFonts w:ascii="Times" w:hAnsi="Times"/>
              </w:rPr>
              <w:t>0.48</w:t>
            </w:r>
          </w:p>
        </w:tc>
      </w:tr>
      <w:tr w:rsidR="00F7044C" w:rsidRPr="00C421E4" w14:paraId="00739679" w14:textId="77777777" w:rsidTr="00804E6B">
        <w:trPr>
          <w:trHeight w:val="320"/>
        </w:trPr>
        <w:tc>
          <w:tcPr>
            <w:tcW w:w="2065" w:type="dxa"/>
            <w:shd w:val="clear" w:color="auto" w:fill="auto"/>
            <w:noWrap/>
            <w:vAlign w:val="bottom"/>
            <w:hideMark/>
          </w:tcPr>
          <w:p w14:paraId="308D9438" w14:textId="77777777" w:rsidR="00F7044C" w:rsidRPr="00C421E4" w:rsidRDefault="00F7044C" w:rsidP="00804E6B">
            <w:pPr>
              <w:rPr>
                <w:rFonts w:ascii="Times" w:hAnsi="Times"/>
              </w:rPr>
            </w:pPr>
            <w:r w:rsidRPr="00C421E4">
              <w:rPr>
                <w:rFonts w:ascii="Times" w:hAnsi="Times"/>
              </w:rPr>
              <w:t>Corrugator tone</w:t>
            </w:r>
          </w:p>
        </w:tc>
        <w:tc>
          <w:tcPr>
            <w:tcW w:w="996" w:type="dxa"/>
            <w:shd w:val="clear" w:color="auto" w:fill="auto"/>
            <w:noWrap/>
            <w:vAlign w:val="bottom"/>
            <w:hideMark/>
          </w:tcPr>
          <w:p w14:paraId="427BEF00" w14:textId="77777777" w:rsidR="00F7044C" w:rsidRPr="00C421E4" w:rsidRDefault="00F7044C" w:rsidP="00804E6B">
            <w:pPr>
              <w:jc w:val="right"/>
              <w:rPr>
                <w:rFonts w:ascii="Times" w:hAnsi="Times"/>
              </w:rPr>
            </w:pPr>
            <w:r w:rsidRPr="00C421E4">
              <w:rPr>
                <w:rFonts w:ascii="Times" w:hAnsi="Times"/>
              </w:rPr>
              <w:t>0.558</w:t>
            </w:r>
          </w:p>
        </w:tc>
        <w:tc>
          <w:tcPr>
            <w:tcW w:w="1300" w:type="dxa"/>
            <w:shd w:val="clear" w:color="auto" w:fill="auto"/>
            <w:noWrap/>
            <w:vAlign w:val="bottom"/>
            <w:hideMark/>
          </w:tcPr>
          <w:p w14:paraId="278CB7DB" w14:textId="77777777" w:rsidR="00F7044C" w:rsidRPr="00C421E4" w:rsidRDefault="00F7044C" w:rsidP="00804E6B">
            <w:pPr>
              <w:jc w:val="right"/>
              <w:rPr>
                <w:rFonts w:ascii="Times" w:hAnsi="Times"/>
              </w:rPr>
            </w:pPr>
            <w:r w:rsidRPr="00C421E4">
              <w:rPr>
                <w:rFonts w:ascii="Times" w:hAnsi="Times"/>
              </w:rPr>
              <w:t>0.272</w:t>
            </w:r>
          </w:p>
        </w:tc>
        <w:tc>
          <w:tcPr>
            <w:tcW w:w="1300" w:type="dxa"/>
            <w:shd w:val="clear" w:color="auto" w:fill="auto"/>
            <w:noWrap/>
            <w:vAlign w:val="bottom"/>
            <w:hideMark/>
          </w:tcPr>
          <w:p w14:paraId="5C7612C4" w14:textId="77777777" w:rsidR="00F7044C" w:rsidRPr="00C421E4" w:rsidRDefault="00F7044C" w:rsidP="00804E6B">
            <w:pPr>
              <w:jc w:val="right"/>
              <w:rPr>
                <w:rFonts w:ascii="Times" w:hAnsi="Times"/>
              </w:rPr>
            </w:pPr>
            <w:r w:rsidRPr="00C421E4">
              <w:rPr>
                <w:rFonts w:ascii="Times" w:hAnsi="Times"/>
              </w:rPr>
              <w:t>0.768</w:t>
            </w:r>
          </w:p>
        </w:tc>
        <w:tc>
          <w:tcPr>
            <w:tcW w:w="1300" w:type="dxa"/>
            <w:shd w:val="clear" w:color="auto" w:fill="auto"/>
            <w:noWrap/>
            <w:vAlign w:val="bottom"/>
            <w:hideMark/>
          </w:tcPr>
          <w:p w14:paraId="38BACA9C" w14:textId="77777777" w:rsidR="00F7044C" w:rsidRPr="00C421E4" w:rsidRDefault="00F7044C" w:rsidP="00804E6B">
            <w:pPr>
              <w:jc w:val="right"/>
              <w:rPr>
                <w:rFonts w:ascii="Times" w:hAnsi="Times"/>
              </w:rPr>
            </w:pPr>
            <w:r w:rsidRPr="00C421E4">
              <w:rPr>
                <w:rFonts w:ascii="Times" w:hAnsi="Times"/>
              </w:rPr>
              <w:t>2.05</w:t>
            </w:r>
          </w:p>
        </w:tc>
        <w:tc>
          <w:tcPr>
            <w:tcW w:w="1300" w:type="dxa"/>
            <w:shd w:val="clear" w:color="auto" w:fill="auto"/>
            <w:noWrap/>
            <w:vAlign w:val="bottom"/>
            <w:hideMark/>
          </w:tcPr>
          <w:p w14:paraId="70FBA19A" w14:textId="77777777" w:rsidR="00F7044C" w:rsidRPr="00C421E4" w:rsidRDefault="00F7044C" w:rsidP="00804E6B">
            <w:pPr>
              <w:jc w:val="right"/>
              <w:rPr>
                <w:rFonts w:ascii="Times" w:hAnsi="Times"/>
              </w:rPr>
            </w:pPr>
            <w:r w:rsidRPr="00C421E4">
              <w:rPr>
                <w:rFonts w:ascii="Times" w:hAnsi="Times"/>
              </w:rPr>
              <w:t>0.044</w:t>
            </w:r>
          </w:p>
        </w:tc>
      </w:tr>
      <w:tr w:rsidR="00F7044C" w:rsidRPr="00C421E4" w14:paraId="7A79D432" w14:textId="77777777" w:rsidTr="00804E6B">
        <w:trPr>
          <w:trHeight w:val="320"/>
        </w:trPr>
        <w:tc>
          <w:tcPr>
            <w:tcW w:w="2065" w:type="dxa"/>
            <w:shd w:val="clear" w:color="auto" w:fill="auto"/>
            <w:noWrap/>
            <w:vAlign w:val="bottom"/>
            <w:hideMark/>
          </w:tcPr>
          <w:p w14:paraId="6D604771" w14:textId="77777777" w:rsidR="00F7044C" w:rsidRPr="00C421E4" w:rsidRDefault="00F7044C" w:rsidP="00804E6B">
            <w:pPr>
              <w:rPr>
                <w:rFonts w:ascii="Times" w:hAnsi="Times"/>
              </w:rPr>
            </w:pPr>
            <w:r w:rsidRPr="00C421E4">
              <w:rPr>
                <w:rFonts w:ascii="Times" w:hAnsi="Times"/>
              </w:rPr>
              <w:t>Heart rate</w:t>
            </w:r>
          </w:p>
        </w:tc>
        <w:tc>
          <w:tcPr>
            <w:tcW w:w="996" w:type="dxa"/>
            <w:shd w:val="clear" w:color="auto" w:fill="auto"/>
            <w:noWrap/>
            <w:vAlign w:val="bottom"/>
            <w:hideMark/>
          </w:tcPr>
          <w:p w14:paraId="21A1AFB1" w14:textId="77777777" w:rsidR="00F7044C" w:rsidRPr="00C421E4" w:rsidRDefault="00F7044C" w:rsidP="00804E6B">
            <w:pPr>
              <w:jc w:val="right"/>
              <w:rPr>
                <w:rFonts w:ascii="Times" w:hAnsi="Times"/>
              </w:rPr>
            </w:pPr>
            <w:r w:rsidRPr="00C421E4">
              <w:rPr>
                <w:rFonts w:ascii="Times" w:hAnsi="Times"/>
              </w:rPr>
              <w:t>0.017</w:t>
            </w:r>
          </w:p>
        </w:tc>
        <w:tc>
          <w:tcPr>
            <w:tcW w:w="1300" w:type="dxa"/>
            <w:shd w:val="clear" w:color="auto" w:fill="auto"/>
            <w:noWrap/>
            <w:vAlign w:val="bottom"/>
            <w:hideMark/>
          </w:tcPr>
          <w:p w14:paraId="52DDDF0F" w14:textId="77777777" w:rsidR="00F7044C" w:rsidRPr="00C421E4" w:rsidRDefault="00F7044C" w:rsidP="00804E6B">
            <w:pPr>
              <w:jc w:val="right"/>
              <w:rPr>
                <w:rFonts w:ascii="Times" w:hAnsi="Times"/>
              </w:rPr>
            </w:pPr>
            <w:r w:rsidRPr="00C421E4">
              <w:rPr>
                <w:rFonts w:ascii="Times" w:hAnsi="Times"/>
              </w:rPr>
              <w:t>0.029</w:t>
            </w:r>
          </w:p>
        </w:tc>
        <w:tc>
          <w:tcPr>
            <w:tcW w:w="1300" w:type="dxa"/>
            <w:shd w:val="clear" w:color="auto" w:fill="auto"/>
            <w:noWrap/>
            <w:vAlign w:val="bottom"/>
            <w:hideMark/>
          </w:tcPr>
          <w:p w14:paraId="24C32069" w14:textId="77777777" w:rsidR="00F7044C" w:rsidRPr="00C421E4" w:rsidRDefault="00F7044C" w:rsidP="00804E6B">
            <w:pPr>
              <w:jc w:val="right"/>
              <w:rPr>
                <w:rFonts w:ascii="Times" w:hAnsi="Times"/>
              </w:rPr>
            </w:pPr>
            <w:r w:rsidRPr="00C421E4">
              <w:rPr>
                <w:rFonts w:ascii="Times" w:hAnsi="Times"/>
              </w:rPr>
              <w:t>0.087</w:t>
            </w:r>
          </w:p>
        </w:tc>
        <w:tc>
          <w:tcPr>
            <w:tcW w:w="1300" w:type="dxa"/>
            <w:shd w:val="clear" w:color="auto" w:fill="auto"/>
            <w:noWrap/>
            <w:vAlign w:val="bottom"/>
            <w:hideMark/>
          </w:tcPr>
          <w:p w14:paraId="6CBF2D70" w14:textId="77777777" w:rsidR="00F7044C" w:rsidRPr="00C421E4" w:rsidRDefault="00F7044C" w:rsidP="00804E6B">
            <w:pPr>
              <w:jc w:val="right"/>
              <w:rPr>
                <w:rFonts w:ascii="Times" w:hAnsi="Times"/>
              </w:rPr>
            </w:pPr>
            <w:r w:rsidRPr="00C421E4">
              <w:rPr>
                <w:rFonts w:ascii="Times" w:hAnsi="Times"/>
              </w:rPr>
              <w:t>0.567</w:t>
            </w:r>
          </w:p>
        </w:tc>
        <w:tc>
          <w:tcPr>
            <w:tcW w:w="1300" w:type="dxa"/>
            <w:shd w:val="clear" w:color="auto" w:fill="auto"/>
            <w:noWrap/>
            <w:vAlign w:val="bottom"/>
            <w:hideMark/>
          </w:tcPr>
          <w:p w14:paraId="7D3F24F5" w14:textId="77777777" w:rsidR="00F7044C" w:rsidRPr="00C421E4" w:rsidRDefault="00F7044C" w:rsidP="00804E6B">
            <w:pPr>
              <w:jc w:val="right"/>
              <w:rPr>
                <w:rFonts w:ascii="Times" w:hAnsi="Times"/>
              </w:rPr>
            </w:pPr>
            <w:r w:rsidRPr="00C421E4">
              <w:rPr>
                <w:rFonts w:ascii="Times" w:hAnsi="Times"/>
              </w:rPr>
              <w:t>0.572</w:t>
            </w:r>
          </w:p>
        </w:tc>
      </w:tr>
      <w:tr w:rsidR="00F7044C" w:rsidRPr="00C421E4" w14:paraId="410ABD50" w14:textId="77777777" w:rsidTr="00804E6B">
        <w:trPr>
          <w:trHeight w:val="320"/>
        </w:trPr>
        <w:tc>
          <w:tcPr>
            <w:tcW w:w="8261" w:type="dxa"/>
            <w:gridSpan w:val="6"/>
            <w:shd w:val="clear" w:color="auto" w:fill="auto"/>
            <w:noWrap/>
            <w:vAlign w:val="bottom"/>
            <w:hideMark/>
          </w:tcPr>
          <w:p w14:paraId="2ECE727C"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6EB97153" w14:textId="77777777" w:rsidTr="00804E6B">
        <w:trPr>
          <w:trHeight w:val="320"/>
        </w:trPr>
        <w:tc>
          <w:tcPr>
            <w:tcW w:w="2065" w:type="dxa"/>
            <w:shd w:val="clear" w:color="auto" w:fill="auto"/>
            <w:noWrap/>
            <w:vAlign w:val="bottom"/>
            <w:hideMark/>
          </w:tcPr>
          <w:p w14:paraId="540D7DBA" w14:textId="77777777" w:rsidR="00F7044C" w:rsidRPr="00C421E4" w:rsidRDefault="00F7044C" w:rsidP="00804E6B">
            <w:pPr>
              <w:rPr>
                <w:rFonts w:ascii="Times" w:hAnsi="Times"/>
              </w:rPr>
            </w:pPr>
            <w:r w:rsidRPr="00C421E4">
              <w:rPr>
                <w:rFonts w:ascii="Times" w:hAnsi="Times"/>
              </w:rPr>
              <w:t>Valence</w:t>
            </w:r>
          </w:p>
        </w:tc>
        <w:tc>
          <w:tcPr>
            <w:tcW w:w="996" w:type="dxa"/>
            <w:shd w:val="clear" w:color="auto" w:fill="auto"/>
            <w:noWrap/>
            <w:vAlign w:val="bottom"/>
            <w:hideMark/>
          </w:tcPr>
          <w:p w14:paraId="249D3658" w14:textId="77777777" w:rsidR="00F7044C" w:rsidRPr="00C421E4" w:rsidRDefault="00F7044C" w:rsidP="00804E6B">
            <w:pPr>
              <w:jc w:val="right"/>
              <w:rPr>
                <w:rFonts w:ascii="Times" w:hAnsi="Times"/>
              </w:rPr>
            </w:pPr>
            <w:r w:rsidRPr="00C421E4">
              <w:rPr>
                <w:rFonts w:ascii="Times" w:hAnsi="Times"/>
              </w:rPr>
              <w:t>0.153</w:t>
            </w:r>
          </w:p>
        </w:tc>
        <w:tc>
          <w:tcPr>
            <w:tcW w:w="1300" w:type="dxa"/>
            <w:shd w:val="clear" w:color="auto" w:fill="auto"/>
            <w:noWrap/>
            <w:vAlign w:val="bottom"/>
            <w:hideMark/>
          </w:tcPr>
          <w:p w14:paraId="3E3A856B" w14:textId="77777777" w:rsidR="00F7044C" w:rsidRPr="00C421E4" w:rsidRDefault="00F7044C" w:rsidP="00804E6B">
            <w:pPr>
              <w:jc w:val="right"/>
              <w:rPr>
                <w:rFonts w:ascii="Times" w:hAnsi="Times"/>
              </w:rPr>
            </w:pPr>
            <w:r w:rsidRPr="00C421E4">
              <w:rPr>
                <w:rFonts w:ascii="Times" w:hAnsi="Times"/>
              </w:rPr>
              <w:t>0.334</w:t>
            </w:r>
          </w:p>
        </w:tc>
        <w:tc>
          <w:tcPr>
            <w:tcW w:w="1300" w:type="dxa"/>
            <w:shd w:val="clear" w:color="auto" w:fill="auto"/>
            <w:noWrap/>
            <w:vAlign w:val="bottom"/>
            <w:hideMark/>
          </w:tcPr>
          <w:p w14:paraId="661D1D3B" w14:textId="77777777" w:rsidR="00F7044C" w:rsidRPr="00C421E4" w:rsidRDefault="00F7044C" w:rsidP="00804E6B">
            <w:pPr>
              <w:jc w:val="right"/>
              <w:rPr>
                <w:rFonts w:ascii="Times" w:hAnsi="Times"/>
              </w:rPr>
            </w:pPr>
            <w:r w:rsidRPr="00C421E4">
              <w:rPr>
                <w:rFonts w:ascii="Times" w:hAnsi="Times"/>
              </w:rPr>
              <w:t>0.434</w:t>
            </w:r>
          </w:p>
        </w:tc>
        <w:tc>
          <w:tcPr>
            <w:tcW w:w="1300" w:type="dxa"/>
            <w:shd w:val="clear" w:color="auto" w:fill="auto"/>
            <w:noWrap/>
            <w:vAlign w:val="bottom"/>
            <w:hideMark/>
          </w:tcPr>
          <w:p w14:paraId="05F74597" w14:textId="77777777" w:rsidR="00F7044C" w:rsidRPr="00C421E4" w:rsidRDefault="00F7044C" w:rsidP="00804E6B">
            <w:pPr>
              <w:jc w:val="right"/>
              <w:rPr>
                <w:rFonts w:ascii="Times" w:hAnsi="Times"/>
              </w:rPr>
            </w:pPr>
            <w:r w:rsidRPr="00C421E4">
              <w:rPr>
                <w:rFonts w:ascii="Times" w:hAnsi="Times"/>
              </w:rPr>
              <w:t>0.459</w:t>
            </w:r>
          </w:p>
        </w:tc>
        <w:tc>
          <w:tcPr>
            <w:tcW w:w="1300" w:type="dxa"/>
            <w:shd w:val="clear" w:color="auto" w:fill="auto"/>
            <w:noWrap/>
            <w:vAlign w:val="bottom"/>
            <w:hideMark/>
          </w:tcPr>
          <w:p w14:paraId="7A356D92" w14:textId="77777777" w:rsidR="00F7044C" w:rsidRPr="00C421E4" w:rsidRDefault="00F7044C" w:rsidP="00804E6B">
            <w:pPr>
              <w:jc w:val="right"/>
              <w:rPr>
                <w:rFonts w:ascii="Times" w:hAnsi="Times"/>
              </w:rPr>
            </w:pPr>
            <w:r w:rsidRPr="00C421E4">
              <w:rPr>
                <w:rFonts w:ascii="Times" w:hAnsi="Times"/>
              </w:rPr>
              <w:t>0.647</w:t>
            </w:r>
          </w:p>
        </w:tc>
      </w:tr>
      <w:tr w:rsidR="00F7044C" w:rsidRPr="00C421E4" w14:paraId="1CFD378D" w14:textId="77777777" w:rsidTr="00804E6B">
        <w:trPr>
          <w:trHeight w:val="320"/>
        </w:trPr>
        <w:tc>
          <w:tcPr>
            <w:tcW w:w="2065" w:type="dxa"/>
            <w:shd w:val="clear" w:color="auto" w:fill="auto"/>
            <w:noWrap/>
            <w:vAlign w:val="bottom"/>
            <w:hideMark/>
          </w:tcPr>
          <w:p w14:paraId="5B3D5D95" w14:textId="77777777" w:rsidR="00F7044C" w:rsidRPr="00C421E4" w:rsidRDefault="00F7044C" w:rsidP="00804E6B">
            <w:pPr>
              <w:rPr>
                <w:rFonts w:ascii="Times" w:hAnsi="Times"/>
              </w:rPr>
            </w:pPr>
            <w:r w:rsidRPr="00C421E4">
              <w:rPr>
                <w:rFonts w:ascii="Times" w:hAnsi="Times"/>
              </w:rPr>
              <w:t>Arousal</w:t>
            </w:r>
          </w:p>
        </w:tc>
        <w:tc>
          <w:tcPr>
            <w:tcW w:w="996" w:type="dxa"/>
            <w:shd w:val="clear" w:color="auto" w:fill="auto"/>
            <w:noWrap/>
            <w:vAlign w:val="bottom"/>
            <w:hideMark/>
          </w:tcPr>
          <w:p w14:paraId="5C3C14A3" w14:textId="77777777" w:rsidR="00F7044C" w:rsidRPr="00C421E4" w:rsidRDefault="00F7044C" w:rsidP="00804E6B">
            <w:pPr>
              <w:jc w:val="right"/>
              <w:rPr>
                <w:rFonts w:ascii="Times" w:hAnsi="Times"/>
              </w:rPr>
            </w:pPr>
            <w:r w:rsidRPr="00C421E4">
              <w:rPr>
                <w:rFonts w:ascii="Times" w:hAnsi="Times"/>
              </w:rPr>
              <w:t>0.081</w:t>
            </w:r>
          </w:p>
        </w:tc>
        <w:tc>
          <w:tcPr>
            <w:tcW w:w="1300" w:type="dxa"/>
            <w:shd w:val="clear" w:color="auto" w:fill="auto"/>
            <w:noWrap/>
            <w:vAlign w:val="bottom"/>
            <w:hideMark/>
          </w:tcPr>
          <w:p w14:paraId="07F0A68E" w14:textId="77777777" w:rsidR="00F7044C" w:rsidRPr="00C421E4" w:rsidRDefault="00F7044C" w:rsidP="00804E6B">
            <w:pPr>
              <w:jc w:val="right"/>
              <w:rPr>
                <w:rFonts w:ascii="Times" w:hAnsi="Times"/>
              </w:rPr>
            </w:pPr>
            <w:r w:rsidRPr="00C421E4">
              <w:rPr>
                <w:rFonts w:ascii="Times" w:hAnsi="Times"/>
              </w:rPr>
              <w:t>0.137</w:t>
            </w:r>
          </w:p>
        </w:tc>
        <w:tc>
          <w:tcPr>
            <w:tcW w:w="1300" w:type="dxa"/>
            <w:shd w:val="clear" w:color="auto" w:fill="auto"/>
            <w:noWrap/>
            <w:vAlign w:val="bottom"/>
            <w:hideMark/>
          </w:tcPr>
          <w:p w14:paraId="36325A4C" w14:textId="77777777" w:rsidR="00F7044C" w:rsidRPr="00C421E4" w:rsidRDefault="00F7044C" w:rsidP="00804E6B">
            <w:pPr>
              <w:jc w:val="right"/>
              <w:rPr>
                <w:rFonts w:ascii="Times" w:hAnsi="Times"/>
              </w:rPr>
            </w:pPr>
            <w:r w:rsidRPr="00C421E4">
              <w:rPr>
                <w:rFonts w:ascii="Times" w:hAnsi="Times"/>
              </w:rPr>
              <w:t>0.189</w:t>
            </w:r>
          </w:p>
        </w:tc>
        <w:tc>
          <w:tcPr>
            <w:tcW w:w="1300" w:type="dxa"/>
            <w:shd w:val="clear" w:color="auto" w:fill="auto"/>
            <w:noWrap/>
            <w:vAlign w:val="bottom"/>
            <w:hideMark/>
          </w:tcPr>
          <w:p w14:paraId="44BEDEBD" w14:textId="77777777" w:rsidR="00F7044C" w:rsidRPr="00C421E4" w:rsidRDefault="00F7044C" w:rsidP="00804E6B">
            <w:pPr>
              <w:jc w:val="right"/>
              <w:rPr>
                <w:rFonts w:ascii="Times" w:hAnsi="Times"/>
              </w:rPr>
            </w:pPr>
            <w:r w:rsidRPr="00C421E4">
              <w:rPr>
                <w:rFonts w:ascii="Times" w:hAnsi="Times"/>
              </w:rPr>
              <w:t>0.594</w:t>
            </w:r>
          </w:p>
        </w:tc>
        <w:tc>
          <w:tcPr>
            <w:tcW w:w="1300" w:type="dxa"/>
            <w:shd w:val="clear" w:color="auto" w:fill="auto"/>
            <w:noWrap/>
            <w:vAlign w:val="bottom"/>
            <w:hideMark/>
          </w:tcPr>
          <w:p w14:paraId="6973DD49" w14:textId="77777777" w:rsidR="00F7044C" w:rsidRPr="00C421E4" w:rsidRDefault="00F7044C" w:rsidP="00804E6B">
            <w:pPr>
              <w:jc w:val="right"/>
              <w:rPr>
                <w:rFonts w:ascii="Times" w:hAnsi="Times"/>
              </w:rPr>
            </w:pPr>
            <w:r w:rsidRPr="00C421E4">
              <w:rPr>
                <w:rFonts w:ascii="Times" w:hAnsi="Times"/>
              </w:rPr>
              <w:t>0.554</w:t>
            </w:r>
          </w:p>
        </w:tc>
      </w:tr>
      <w:tr w:rsidR="00F7044C" w:rsidRPr="00C421E4" w14:paraId="5C3F69CF" w14:textId="77777777" w:rsidTr="00804E6B">
        <w:trPr>
          <w:trHeight w:val="320"/>
        </w:trPr>
        <w:tc>
          <w:tcPr>
            <w:tcW w:w="2065" w:type="dxa"/>
            <w:shd w:val="clear" w:color="auto" w:fill="auto"/>
            <w:noWrap/>
            <w:vAlign w:val="bottom"/>
            <w:hideMark/>
          </w:tcPr>
          <w:p w14:paraId="3948E3A1" w14:textId="77777777" w:rsidR="00F7044C" w:rsidRPr="00C421E4" w:rsidRDefault="00F7044C" w:rsidP="00804E6B">
            <w:pPr>
              <w:rPr>
                <w:rFonts w:ascii="Times" w:hAnsi="Times"/>
              </w:rPr>
            </w:pPr>
            <w:r w:rsidRPr="00C421E4">
              <w:rPr>
                <w:rFonts w:ascii="Times" w:hAnsi="Times"/>
              </w:rPr>
              <w:t>Skin conductance</w:t>
            </w:r>
          </w:p>
        </w:tc>
        <w:tc>
          <w:tcPr>
            <w:tcW w:w="996" w:type="dxa"/>
            <w:shd w:val="clear" w:color="auto" w:fill="auto"/>
            <w:noWrap/>
            <w:vAlign w:val="bottom"/>
            <w:hideMark/>
          </w:tcPr>
          <w:p w14:paraId="3C51754D" w14:textId="77777777" w:rsidR="00F7044C" w:rsidRPr="00C421E4" w:rsidRDefault="00F7044C" w:rsidP="00804E6B">
            <w:pPr>
              <w:jc w:val="right"/>
              <w:rPr>
                <w:rFonts w:ascii="Times" w:hAnsi="Times"/>
              </w:rPr>
            </w:pPr>
            <w:r w:rsidRPr="00C421E4">
              <w:rPr>
                <w:rFonts w:ascii="Times" w:hAnsi="Times"/>
              </w:rPr>
              <w:t>-0.848</w:t>
            </w:r>
          </w:p>
        </w:tc>
        <w:tc>
          <w:tcPr>
            <w:tcW w:w="1300" w:type="dxa"/>
            <w:shd w:val="clear" w:color="auto" w:fill="auto"/>
            <w:noWrap/>
            <w:vAlign w:val="bottom"/>
            <w:hideMark/>
          </w:tcPr>
          <w:p w14:paraId="1C0DCE56" w14:textId="77777777" w:rsidR="00F7044C" w:rsidRPr="00C421E4" w:rsidRDefault="00F7044C" w:rsidP="00804E6B">
            <w:pPr>
              <w:jc w:val="right"/>
              <w:rPr>
                <w:rFonts w:ascii="Times" w:hAnsi="Times"/>
              </w:rPr>
            </w:pPr>
            <w:r w:rsidRPr="00C421E4">
              <w:rPr>
                <w:rFonts w:ascii="Times" w:hAnsi="Times"/>
              </w:rPr>
              <w:t>0.847</w:t>
            </w:r>
          </w:p>
        </w:tc>
        <w:tc>
          <w:tcPr>
            <w:tcW w:w="1300" w:type="dxa"/>
            <w:shd w:val="clear" w:color="auto" w:fill="auto"/>
            <w:noWrap/>
            <w:vAlign w:val="bottom"/>
            <w:hideMark/>
          </w:tcPr>
          <w:p w14:paraId="58B17808" w14:textId="77777777" w:rsidR="00F7044C" w:rsidRPr="00C421E4" w:rsidRDefault="00F7044C" w:rsidP="00804E6B">
            <w:pPr>
              <w:jc w:val="right"/>
              <w:rPr>
                <w:rFonts w:ascii="Times" w:hAnsi="Times"/>
              </w:rPr>
            </w:pPr>
            <w:r w:rsidRPr="00C421E4">
              <w:rPr>
                <w:rFonts w:ascii="Times" w:hAnsi="Times"/>
              </w:rPr>
              <w:t>-0.156</w:t>
            </w:r>
          </w:p>
        </w:tc>
        <w:tc>
          <w:tcPr>
            <w:tcW w:w="1300" w:type="dxa"/>
            <w:shd w:val="clear" w:color="auto" w:fill="auto"/>
            <w:noWrap/>
            <w:vAlign w:val="bottom"/>
            <w:hideMark/>
          </w:tcPr>
          <w:p w14:paraId="2B56ACFD" w14:textId="77777777" w:rsidR="00F7044C" w:rsidRPr="00C421E4" w:rsidRDefault="00F7044C" w:rsidP="00804E6B">
            <w:pPr>
              <w:jc w:val="right"/>
              <w:rPr>
                <w:rFonts w:ascii="Times" w:hAnsi="Times"/>
              </w:rPr>
            </w:pPr>
            <w:r w:rsidRPr="00C421E4">
              <w:rPr>
                <w:rFonts w:ascii="Times" w:hAnsi="Times"/>
              </w:rPr>
              <w:t>-1.002</w:t>
            </w:r>
          </w:p>
        </w:tc>
        <w:tc>
          <w:tcPr>
            <w:tcW w:w="1300" w:type="dxa"/>
            <w:shd w:val="clear" w:color="auto" w:fill="auto"/>
            <w:noWrap/>
            <w:vAlign w:val="bottom"/>
            <w:hideMark/>
          </w:tcPr>
          <w:p w14:paraId="373736D5" w14:textId="77777777" w:rsidR="00F7044C" w:rsidRPr="00C421E4" w:rsidRDefault="00F7044C" w:rsidP="00804E6B">
            <w:pPr>
              <w:jc w:val="right"/>
              <w:rPr>
                <w:rFonts w:ascii="Times" w:hAnsi="Times"/>
              </w:rPr>
            </w:pPr>
            <w:r w:rsidRPr="00C421E4">
              <w:rPr>
                <w:rFonts w:ascii="Times" w:hAnsi="Times"/>
              </w:rPr>
              <w:t>0.319</w:t>
            </w:r>
          </w:p>
        </w:tc>
      </w:tr>
      <w:tr w:rsidR="00F7044C" w:rsidRPr="00C421E4" w14:paraId="5C2AC9F9" w14:textId="77777777" w:rsidTr="00804E6B">
        <w:trPr>
          <w:trHeight w:val="320"/>
        </w:trPr>
        <w:tc>
          <w:tcPr>
            <w:tcW w:w="2065" w:type="dxa"/>
            <w:shd w:val="clear" w:color="auto" w:fill="auto"/>
            <w:noWrap/>
            <w:vAlign w:val="bottom"/>
            <w:hideMark/>
          </w:tcPr>
          <w:p w14:paraId="07CB21A3" w14:textId="77777777" w:rsidR="00F7044C" w:rsidRPr="00C421E4" w:rsidRDefault="00F7044C" w:rsidP="00804E6B">
            <w:pPr>
              <w:rPr>
                <w:rFonts w:ascii="Times" w:hAnsi="Times"/>
              </w:rPr>
            </w:pPr>
            <w:r w:rsidRPr="00C421E4">
              <w:rPr>
                <w:rFonts w:ascii="Times" w:hAnsi="Times"/>
              </w:rPr>
              <w:t>Zygomaticus tone</w:t>
            </w:r>
          </w:p>
        </w:tc>
        <w:tc>
          <w:tcPr>
            <w:tcW w:w="996" w:type="dxa"/>
            <w:shd w:val="clear" w:color="auto" w:fill="auto"/>
            <w:noWrap/>
            <w:vAlign w:val="bottom"/>
            <w:hideMark/>
          </w:tcPr>
          <w:p w14:paraId="16D63239" w14:textId="77777777" w:rsidR="00F7044C" w:rsidRPr="00C421E4" w:rsidRDefault="00F7044C" w:rsidP="00804E6B">
            <w:pPr>
              <w:jc w:val="right"/>
              <w:rPr>
                <w:rFonts w:ascii="Times" w:hAnsi="Times"/>
              </w:rPr>
            </w:pPr>
            <w:r w:rsidRPr="00C421E4">
              <w:rPr>
                <w:rFonts w:ascii="Times" w:hAnsi="Times"/>
              </w:rPr>
              <w:t>0.096</w:t>
            </w:r>
          </w:p>
        </w:tc>
        <w:tc>
          <w:tcPr>
            <w:tcW w:w="1300" w:type="dxa"/>
            <w:shd w:val="clear" w:color="auto" w:fill="auto"/>
            <w:noWrap/>
            <w:vAlign w:val="bottom"/>
            <w:hideMark/>
          </w:tcPr>
          <w:p w14:paraId="32517D8A" w14:textId="77777777" w:rsidR="00F7044C" w:rsidRPr="00C421E4" w:rsidRDefault="00F7044C" w:rsidP="00804E6B">
            <w:pPr>
              <w:jc w:val="right"/>
              <w:rPr>
                <w:rFonts w:ascii="Times" w:hAnsi="Times"/>
              </w:rPr>
            </w:pPr>
            <w:r w:rsidRPr="00C421E4">
              <w:rPr>
                <w:rFonts w:ascii="Times" w:hAnsi="Times"/>
              </w:rPr>
              <w:t>0.219</w:t>
            </w:r>
          </w:p>
        </w:tc>
        <w:tc>
          <w:tcPr>
            <w:tcW w:w="1300" w:type="dxa"/>
            <w:shd w:val="clear" w:color="auto" w:fill="auto"/>
            <w:noWrap/>
            <w:vAlign w:val="bottom"/>
            <w:hideMark/>
          </w:tcPr>
          <w:p w14:paraId="7B49DFE3" w14:textId="77777777" w:rsidR="00F7044C" w:rsidRPr="00C421E4" w:rsidRDefault="00F7044C" w:rsidP="00804E6B">
            <w:pPr>
              <w:jc w:val="right"/>
              <w:rPr>
                <w:rFonts w:ascii="Times" w:hAnsi="Times"/>
              </w:rPr>
            </w:pPr>
            <w:r w:rsidRPr="00C421E4">
              <w:rPr>
                <w:rFonts w:ascii="Times" w:hAnsi="Times"/>
              </w:rPr>
              <w:t>0.166</w:t>
            </w:r>
          </w:p>
        </w:tc>
        <w:tc>
          <w:tcPr>
            <w:tcW w:w="1300" w:type="dxa"/>
            <w:shd w:val="clear" w:color="auto" w:fill="auto"/>
            <w:noWrap/>
            <w:vAlign w:val="bottom"/>
            <w:hideMark/>
          </w:tcPr>
          <w:p w14:paraId="5C1EEF9D" w14:textId="77777777" w:rsidR="00F7044C" w:rsidRPr="00C421E4" w:rsidRDefault="00F7044C" w:rsidP="00804E6B">
            <w:pPr>
              <w:jc w:val="right"/>
              <w:rPr>
                <w:rFonts w:ascii="Times" w:hAnsi="Times"/>
              </w:rPr>
            </w:pPr>
            <w:r w:rsidRPr="00C421E4">
              <w:rPr>
                <w:rFonts w:ascii="Times" w:hAnsi="Times"/>
              </w:rPr>
              <w:t>0.441</w:t>
            </w:r>
          </w:p>
        </w:tc>
        <w:tc>
          <w:tcPr>
            <w:tcW w:w="1300" w:type="dxa"/>
            <w:shd w:val="clear" w:color="auto" w:fill="auto"/>
            <w:noWrap/>
            <w:vAlign w:val="bottom"/>
            <w:hideMark/>
          </w:tcPr>
          <w:p w14:paraId="29DB4675" w14:textId="77777777" w:rsidR="00F7044C" w:rsidRPr="00C421E4" w:rsidRDefault="00F7044C" w:rsidP="00804E6B">
            <w:pPr>
              <w:jc w:val="right"/>
              <w:rPr>
                <w:rFonts w:ascii="Times" w:hAnsi="Times"/>
              </w:rPr>
            </w:pPr>
            <w:r w:rsidRPr="00C421E4">
              <w:rPr>
                <w:rFonts w:ascii="Times" w:hAnsi="Times"/>
              </w:rPr>
              <w:t>0.661</w:t>
            </w:r>
          </w:p>
        </w:tc>
      </w:tr>
      <w:tr w:rsidR="00F7044C" w:rsidRPr="00C421E4" w14:paraId="778A0228" w14:textId="77777777" w:rsidTr="00804E6B">
        <w:trPr>
          <w:trHeight w:val="320"/>
        </w:trPr>
        <w:tc>
          <w:tcPr>
            <w:tcW w:w="2065" w:type="dxa"/>
            <w:shd w:val="clear" w:color="auto" w:fill="auto"/>
            <w:noWrap/>
            <w:vAlign w:val="bottom"/>
            <w:hideMark/>
          </w:tcPr>
          <w:p w14:paraId="70933CA1" w14:textId="77777777" w:rsidR="00F7044C" w:rsidRPr="00C421E4" w:rsidRDefault="00F7044C" w:rsidP="00804E6B">
            <w:pPr>
              <w:rPr>
                <w:rFonts w:ascii="Times" w:hAnsi="Times"/>
              </w:rPr>
            </w:pPr>
            <w:r w:rsidRPr="00C421E4">
              <w:rPr>
                <w:rFonts w:ascii="Times" w:hAnsi="Times"/>
              </w:rPr>
              <w:t>Heart rate</w:t>
            </w:r>
          </w:p>
        </w:tc>
        <w:tc>
          <w:tcPr>
            <w:tcW w:w="996" w:type="dxa"/>
            <w:shd w:val="clear" w:color="auto" w:fill="auto"/>
            <w:noWrap/>
            <w:vAlign w:val="bottom"/>
            <w:hideMark/>
          </w:tcPr>
          <w:p w14:paraId="5B89F143" w14:textId="77777777" w:rsidR="00F7044C" w:rsidRPr="00C421E4" w:rsidRDefault="00F7044C" w:rsidP="00804E6B">
            <w:pPr>
              <w:jc w:val="right"/>
              <w:rPr>
                <w:rFonts w:ascii="Times" w:hAnsi="Times"/>
              </w:rPr>
            </w:pPr>
            <w:r w:rsidRPr="00C421E4">
              <w:rPr>
                <w:rFonts w:ascii="Times" w:hAnsi="Times"/>
              </w:rPr>
              <w:t>0.003</w:t>
            </w:r>
          </w:p>
        </w:tc>
        <w:tc>
          <w:tcPr>
            <w:tcW w:w="1300" w:type="dxa"/>
            <w:shd w:val="clear" w:color="auto" w:fill="auto"/>
            <w:noWrap/>
            <w:vAlign w:val="bottom"/>
            <w:hideMark/>
          </w:tcPr>
          <w:p w14:paraId="55F96C15" w14:textId="77777777" w:rsidR="00F7044C" w:rsidRPr="00C421E4" w:rsidRDefault="00F7044C" w:rsidP="00804E6B">
            <w:pPr>
              <w:jc w:val="right"/>
              <w:rPr>
                <w:rFonts w:ascii="Times" w:hAnsi="Times"/>
              </w:rPr>
            </w:pPr>
            <w:r w:rsidRPr="00C421E4">
              <w:rPr>
                <w:rFonts w:ascii="Times" w:hAnsi="Times"/>
              </w:rPr>
              <w:t>0.046</w:t>
            </w:r>
          </w:p>
        </w:tc>
        <w:tc>
          <w:tcPr>
            <w:tcW w:w="1300" w:type="dxa"/>
            <w:shd w:val="clear" w:color="auto" w:fill="auto"/>
            <w:noWrap/>
            <w:vAlign w:val="bottom"/>
            <w:hideMark/>
          </w:tcPr>
          <w:p w14:paraId="5CB44C2D" w14:textId="77777777" w:rsidR="00F7044C" w:rsidRPr="00C421E4" w:rsidRDefault="00F7044C" w:rsidP="00804E6B">
            <w:pPr>
              <w:jc w:val="right"/>
              <w:rPr>
                <w:rFonts w:ascii="Times" w:hAnsi="Times"/>
              </w:rPr>
            </w:pPr>
            <w:r w:rsidRPr="00C421E4">
              <w:rPr>
                <w:rFonts w:ascii="Times" w:hAnsi="Times"/>
              </w:rPr>
              <w:t>0.015</w:t>
            </w:r>
          </w:p>
        </w:tc>
        <w:tc>
          <w:tcPr>
            <w:tcW w:w="1300" w:type="dxa"/>
            <w:shd w:val="clear" w:color="auto" w:fill="auto"/>
            <w:noWrap/>
            <w:vAlign w:val="bottom"/>
            <w:hideMark/>
          </w:tcPr>
          <w:p w14:paraId="0BDB3F6E" w14:textId="77777777" w:rsidR="00F7044C" w:rsidRPr="00C421E4" w:rsidRDefault="00F7044C" w:rsidP="00804E6B">
            <w:pPr>
              <w:jc w:val="right"/>
              <w:rPr>
                <w:rFonts w:ascii="Times" w:hAnsi="Times"/>
              </w:rPr>
            </w:pPr>
            <w:r w:rsidRPr="00C421E4">
              <w:rPr>
                <w:rFonts w:ascii="Times" w:hAnsi="Times"/>
              </w:rPr>
              <w:t>0.075</w:t>
            </w:r>
          </w:p>
        </w:tc>
        <w:tc>
          <w:tcPr>
            <w:tcW w:w="1300" w:type="dxa"/>
            <w:shd w:val="clear" w:color="auto" w:fill="auto"/>
            <w:noWrap/>
            <w:vAlign w:val="bottom"/>
            <w:hideMark/>
          </w:tcPr>
          <w:p w14:paraId="751D13B5" w14:textId="77777777" w:rsidR="00F7044C" w:rsidRPr="00C421E4" w:rsidRDefault="00F7044C" w:rsidP="00804E6B">
            <w:pPr>
              <w:jc w:val="right"/>
              <w:rPr>
                <w:rFonts w:ascii="Times" w:hAnsi="Times"/>
              </w:rPr>
            </w:pPr>
            <w:r w:rsidRPr="00C421E4">
              <w:rPr>
                <w:rFonts w:ascii="Times" w:hAnsi="Times"/>
              </w:rPr>
              <w:t>0.94</w:t>
            </w:r>
          </w:p>
        </w:tc>
      </w:tr>
      <w:tr w:rsidR="00F7044C" w:rsidRPr="00C421E4" w14:paraId="008A4B2F" w14:textId="77777777" w:rsidTr="00804E6B">
        <w:trPr>
          <w:trHeight w:val="320"/>
        </w:trPr>
        <w:tc>
          <w:tcPr>
            <w:tcW w:w="8261" w:type="dxa"/>
            <w:gridSpan w:val="6"/>
            <w:shd w:val="clear" w:color="auto" w:fill="auto"/>
            <w:noWrap/>
            <w:vAlign w:val="bottom"/>
            <w:hideMark/>
          </w:tcPr>
          <w:p w14:paraId="0481BF08"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74865E0E" w14:textId="77777777" w:rsidTr="00804E6B">
        <w:trPr>
          <w:trHeight w:val="320"/>
        </w:trPr>
        <w:tc>
          <w:tcPr>
            <w:tcW w:w="2065" w:type="dxa"/>
            <w:shd w:val="clear" w:color="auto" w:fill="auto"/>
            <w:noWrap/>
            <w:vAlign w:val="bottom"/>
            <w:hideMark/>
          </w:tcPr>
          <w:p w14:paraId="5473032B" w14:textId="77777777" w:rsidR="00F7044C" w:rsidRPr="00C421E4" w:rsidRDefault="00F7044C" w:rsidP="00804E6B">
            <w:pPr>
              <w:rPr>
                <w:rFonts w:ascii="Times" w:hAnsi="Times"/>
              </w:rPr>
            </w:pPr>
            <w:r w:rsidRPr="00C421E4">
              <w:rPr>
                <w:rFonts w:ascii="Times" w:hAnsi="Times"/>
              </w:rPr>
              <w:t>Valence</w:t>
            </w:r>
          </w:p>
        </w:tc>
        <w:tc>
          <w:tcPr>
            <w:tcW w:w="996" w:type="dxa"/>
            <w:shd w:val="clear" w:color="auto" w:fill="auto"/>
            <w:noWrap/>
            <w:vAlign w:val="bottom"/>
            <w:hideMark/>
          </w:tcPr>
          <w:p w14:paraId="5B4D7232" w14:textId="77777777" w:rsidR="00F7044C" w:rsidRPr="00C421E4" w:rsidRDefault="00F7044C" w:rsidP="00804E6B">
            <w:pPr>
              <w:jc w:val="right"/>
              <w:rPr>
                <w:rFonts w:ascii="Times" w:hAnsi="Times"/>
              </w:rPr>
            </w:pPr>
            <w:r w:rsidRPr="00C421E4">
              <w:rPr>
                <w:rFonts w:ascii="Times" w:hAnsi="Times"/>
              </w:rPr>
              <w:t>0.662</w:t>
            </w:r>
          </w:p>
        </w:tc>
        <w:tc>
          <w:tcPr>
            <w:tcW w:w="1300" w:type="dxa"/>
            <w:shd w:val="clear" w:color="auto" w:fill="auto"/>
            <w:noWrap/>
            <w:vAlign w:val="bottom"/>
            <w:hideMark/>
          </w:tcPr>
          <w:p w14:paraId="4522CAD8" w14:textId="77777777" w:rsidR="00F7044C" w:rsidRPr="00C421E4" w:rsidRDefault="00F7044C" w:rsidP="00804E6B">
            <w:pPr>
              <w:jc w:val="right"/>
              <w:rPr>
                <w:rFonts w:ascii="Times" w:hAnsi="Times"/>
              </w:rPr>
            </w:pPr>
            <w:r w:rsidRPr="00C421E4">
              <w:rPr>
                <w:rFonts w:ascii="Times" w:hAnsi="Times"/>
              </w:rPr>
              <w:t>0.348</w:t>
            </w:r>
          </w:p>
        </w:tc>
        <w:tc>
          <w:tcPr>
            <w:tcW w:w="1300" w:type="dxa"/>
            <w:shd w:val="clear" w:color="auto" w:fill="auto"/>
            <w:noWrap/>
            <w:vAlign w:val="bottom"/>
            <w:hideMark/>
          </w:tcPr>
          <w:p w14:paraId="62CCA2C6" w14:textId="77777777" w:rsidR="00F7044C" w:rsidRPr="00C421E4" w:rsidRDefault="00F7044C" w:rsidP="00804E6B">
            <w:pPr>
              <w:jc w:val="right"/>
              <w:rPr>
                <w:rFonts w:ascii="Times" w:hAnsi="Times"/>
              </w:rPr>
            </w:pPr>
            <w:r w:rsidRPr="00C421E4">
              <w:rPr>
                <w:rFonts w:ascii="Times" w:hAnsi="Times"/>
              </w:rPr>
              <w:t>0.287</w:t>
            </w:r>
          </w:p>
        </w:tc>
        <w:tc>
          <w:tcPr>
            <w:tcW w:w="1300" w:type="dxa"/>
            <w:shd w:val="clear" w:color="auto" w:fill="auto"/>
            <w:noWrap/>
            <w:vAlign w:val="bottom"/>
            <w:hideMark/>
          </w:tcPr>
          <w:p w14:paraId="5F8D6BC1" w14:textId="77777777" w:rsidR="00F7044C" w:rsidRPr="00C421E4" w:rsidRDefault="00F7044C" w:rsidP="00804E6B">
            <w:pPr>
              <w:jc w:val="right"/>
              <w:rPr>
                <w:rFonts w:ascii="Times" w:hAnsi="Times"/>
              </w:rPr>
            </w:pPr>
            <w:r w:rsidRPr="00C421E4">
              <w:rPr>
                <w:rFonts w:ascii="Times" w:hAnsi="Times"/>
              </w:rPr>
              <w:t>1.904</w:t>
            </w:r>
          </w:p>
        </w:tc>
        <w:tc>
          <w:tcPr>
            <w:tcW w:w="1300" w:type="dxa"/>
            <w:shd w:val="clear" w:color="auto" w:fill="auto"/>
            <w:noWrap/>
            <w:vAlign w:val="bottom"/>
            <w:hideMark/>
          </w:tcPr>
          <w:p w14:paraId="4F6BC58C" w14:textId="77777777" w:rsidR="00F7044C" w:rsidRPr="00C421E4" w:rsidRDefault="00F7044C" w:rsidP="00804E6B">
            <w:pPr>
              <w:jc w:val="right"/>
              <w:rPr>
                <w:rFonts w:ascii="Times" w:hAnsi="Times"/>
              </w:rPr>
            </w:pPr>
            <w:r w:rsidRPr="00C421E4">
              <w:rPr>
                <w:rFonts w:ascii="Times" w:hAnsi="Times"/>
              </w:rPr>
              <w:t>0.06</w:t>
            </w:r>
          </w:p>
        </w:tc>
      </w:tr>
      <w:tr w:rsidR="00F7044C" w:rsidRPr="00C421E4" w14:paraId="08A498AA" w14:textId="77777777" w:rsidTr="00804E6B">
        <w:trPr>
          <w:trHeight w:val="320"/>
        </w:trPr>
        <w:tc>
          <w:tcPr>
            <w:tcW w:w="2065" w:type="dxa"/>
            <w:shd w:val="clear" w:color="auto" w:fill="auto"/>
            <w:noWrap/>
            <w:vAlign w:val="bottom"/>
            <w:hideMark/>
          </w:tcPr>
          <w:p w14:paraId="61D322E4" w14:textId="77777777" w:rsidR="00F7044C" w:rsidRPr="00C421E4" w:rsidRDefault="00F7044C" w:rsidP="00804E6B">
            <w:pPr>
              <w:rPr>
                <w:rFonts w:ascii="Times" w:hAnsi="Times"/>
              </w:rPr>
            </w:pPr>
            <w:r w:rsidRPr="00C421E4">
              <w:rPr>
                <w:rFonts w:ascii="Times" w:hAnsi="Times"/>
              </w:rPr>
              <w:t>Arousal</w:t>
            </w:r>
          </w:p>
        </w:tc>
        <w:tc>
          <w:tcPr>
            <w:tcW w:w="996" w:type="dxa"/>
            <w:shd w:val="clear" w:color="auto" w:fill="auto"/>
            <w:noWrap/>
            <w:vAlign w:val="bottom"/>
            <w:hideMark/>
          </w:tcPr>
          <w:p w14:paraId="7BEE5C91" w14:textId="77777777" w:rsidR="00F7044C" w:rsidRPr="00C421E4" w:rsidRDefault="00F7044C" w:rsidP="00804E6B">
            <w:pPr>
              <w:jc w:val="right"/>
              <w:rPr>
                <w:rFonts w:ascii="Times" w:hAnsi="Times"/>
              </w:rPr>
            </w:pPr>
            <w:r w:rsidRPr="00C421E4">
              <w:rPr>
                <w:rFonts w:ascii="Times" w:hAnsi="Times"/>
              </w:rPr>
              <w:t>0.08</w:t>
            </w:r>
          </w:p>
        </w:tc>
        <w:tc>
          <w:tcPr>
            <w:tcW w:w="1300" w:type="dxa"/>
            <w:shd w:val="clear" w:color="auto" w:fill="auto"/>
            <w:noWrap/>
            <w:vAlign w:val="bottom"/>
            <w:hideMark/>
          </w:tcPr>
          <w:p w14:paraId="02621B6B" w14:textId="77777777" w:rsidR="00F7044C" w:rsidRPr="00C421E4" w:rsidRDefault="00F7044C" w:rsidP="00804E6B">
            <w:pPr>
              <w:jc w:val="right"/>
              <w:rPr>
                <w:rFonts w:ascii="Times" w:hAnsi="Times"/>
              </w:rPr>
            </w:pPr>
            <w:r w:rsidRPr="00C421E4">
              <w:rPr>
                <w:rFonts w:ascii="Times" w:hAnsi="Times"/>
              </w:rPr>
              <w:t>0.131</w:t>
            </w:r>
          </w:p>
        </w:tc>
        <w:tc>
          <w:tcPr>
            <w:tcW w:w="1300" w:type="dxa"/>
            <w:shd w:val="clear" w:color="auto" w:fill="auto"/>
            <w:noWrap/>
            <w:vAlign w:val="bottom"/>
            <w:hideMark/>
          </w:tcPr>
          <w:p w14:paraId="08C28B5A" w14:textId="77777777" w:rsidR="00F7044C" w:rsidRPr="00C421E4" w:rsidRDefault="00F7044C" w:rsidP="00804E6B">
            <w:pPr>
              <w:jc w:val="right"/>
              <w:rPr>
                <w:rFonts w:ascii="Times" w:hAnsi="Times"/>
              </w:rPr>
            </w:pPr>
            <w:r w:rsidRPr="00C421E4">
              <w:rPr>
                <w:rFonts w:ascii="Times" w:hAnsi="Times"/>
              </w:rPr>
              <w:t>0.103</w:t>
            </w:r>
          </w:p>
        </w:tc>
        <w:tc>
          <w:tcPr>
            <w:tcW w:w="1300" w:type="dxa"/>
            <w:shd w:val="clear" w:color="auto" w:fill="auto"/>
            <w:noWrap/>
            <w:vAlign w:val="bottom"/>
            <w:hideMark/>
          </w:tcPr>
          <w:p w14:paraId="2A68A702" w14:textId="77777777" w:rsidR="00F7044C" w:rsidRPr="00C421E4" w:rsidRDefault="00F7044C" w:rsidP="00804E6B">
            <w:pPr>
              <w:jc w:val="right"/>
              <w:rPr>
                <w:rFonts w:ascii="Times" w:hAnsi="Times"/>
              </w:rPr>
            </w:pPr>
            <w:r w:rsidRPr="00C421E4">
              <w:rPr>
                <w:rFonts w:ascii="Times" w:hAnsi="Times"/>
              </w:rPr>
              <w:t>0.608</w:t>
            </w:r>
          </w:p>
        </w:tc>
        <w:tc>
          <w:tcPr>
            <w:tcW w:w="1300" w:type="dxa"/>
            <w:shd w:val="clear" w:color="auto" w:fill="auto"/>
            <w:noWrap/>
            <w:vAlign w:val="bottom"/>
            <w:hideMark/>
          </w:tcPr>
          <w:p w14:paraId="0BDBC1C0" w14:textId="77777777" w:rsidR="00F7044C" w:rsidRPr="00C421E4" w:rsidRDefault="00F7044C" w:rsidP="00804E6B">
            <w:pPr>
              <w:jc w:val="right"/>
              <w:rPr>
                <w:rFonts w:ascii="Times" w:hAnsi="Times"/>
              </w:rPr>
            </w:pPr>
            <w:r w:rsidRPr="00C421E4">
              <w:rPr>
                <w:rFonts w:ascii="Times" w:hAnsi="Times"/>
              </w:rPr>
              <w:t>0.545</w:t>
            </w:r>
          </w:p>
        </w:tc>
      </w:tr>
      <w:tr w:rsidR="00F7044C" w:rsidRPr="00C421E4" w14:paraId="49F00244" w14:textId="77777777" w:rsidTr="00804E6B">
        <w:trPr>
          <w:trHeight w:val="320"/>
        </w:trPr>
        <w:tc>
          <w:tcPr>
            <w:tcW w:w="2065" w:type="dxa"/>
            <w:shd w:val="clear" w:color="auto" w:fill="auto"/>
            <w:noWrap/>
            <w:vAlign w:val="bottom"/>
            <w:hideMark/>
          </w:tcPr>
          <w:p w14:paraId="2D816C8A" w14:textId="77777777" w:rsidR="00F7044C" w:rsidRPr="00C421E4" w:rsidRDefault="00F7044C" w:rsidP="00804E6B">
            <w:pPr>
              <w:rPr>
                <w:rFonts w:ascii="Times" w:hAnsi="Times"/>
              </w:rPr>
            </w:pPr>
            <w:r w:rsidRPr="00C421E4">
              <w:rPr>
                <w:rFonts w:ascii="Times" w:hAnsi="Times"/>
              </w:rPr>
              <w:t>Skin conductance</w:t>
            </w:r>
          </w:p>
        </w:tc>
        <w:tc>
          <w:tcPr>
            <w:tcW w:w="996" w:type="dxa"/>
            <w:shd w:val="clear" w:color="auto" w:fill="auto"/>
            <w:noWrap/>
            <w:vAlign w:val="bottom"/>
            <w:hideMark/>
          </w:tcPr>
          <w:p w14:paraId="592DC3DC" w14:textId="77777777" w:rsidR="00F7044C" w:rsidRPr="00C421E4" w:rsidRDefault="00F7044C" w:rsidP="00804E6B">
            <w:pPr>
              <w:jc w:val="right"/>
              <w:rPr>
                <w:rFonts w:ascii="Times" w:hAnsi="Times"/>
              </w:rPr>
            </w:pPr>
            <w:r w:rsidRPr="00C421E4">
              <w:rPr>
                <w:rFonts w:ascii="Times" w:hAnsi="Times"/>
              </w:rPr>
              <w:t>0.461</w:t>
            </w:r>
          </w:p>
        </w:tc>
        <w:tc>
          <w:tcPr>
            <w:tcW w:w="1300" w:type="dxa"/>
            <w:shd w:val="clear" w:color="auto" w:fill="auto"/>
            <w:noWrap/>
            <w:vAlign w:val="bottom"/>
            <w:hideMark/>
          </w:tcPr>
          <w:p w14:paraId="4BBFA953" w14:textId="77777777" w:rsidR="00F7044C" w:rsidRPr="00C421E4" w:rsidRDefault="00F7044C" w:rsidP="00804E6B">
            <w:pPr>
              <w:jc w:val="right"/>
              <w:rPr>
                <w:rFonts w:ascii="Times" w:hAnsi="Times"/>
              </w:rPr>
            </w:pPr>
            <w:r w:rsidRPr="00C421E4">
              <w:rPr>
                <w:rFonts w:ascii="Times" w:hAnsi="Times"/>
              </w:rPr>
              <w:t>0.423</w:t>
            </w:r>
          </w:p>
        </w:tc>
        <w:tc>
          <w:tcPr>
            <w:tcW w:w="1300" w:type="dxa"/>
            <w:shd w:val="clear" w:color="auto" w:fill="auto"/>
            <w:noWrap/>
            <w:vAlign w:val="bottom"/>
            <w:hideMark/>
          </w:tcPr>
          <w:p w14:paraId="12CFA195" w14:textId="77777777" w:rsidR="00F7044C" w:rsidRPr="00C421E4" w:rsidRDefault="00F7044C" w:rsidP="00804E6B">
            <w:pPr>
              <w:jc w:val="right"/>
              <w:rPr>
                <w:rFonts w:ascii="Times" w:hAnsi="Times"/>
              </w:rPr>
            </w:pPr>
            <w:r w:rsidRPr="00C421E4">
              <w:rPr>
                <w:rFonts w:ascii="Times" w:hAnsi="Times"/>
              </w:rPr>
              <w:t>0.121</w:t>
            </w:r>
          </w:p>
        </w:tc>
        <w:tc>
          <w:tcPr>
            <w:tcW w:w="1300" w:type="dxa"/>
            <w:shd w:val="clear" w:color="auto" w:fill="auto"/>
            <w:noWrap/>
            <w:vAlign w:val="bottom"/>
            <w:hideMark/>
          </w:tcPr>
          <w:p w14:paraId="42768F18" w14:textId="77777777" w:rsidR="00F7044C" w:rsidRPr="00C421E4" w:rsidRDefault="00F7044C" w:rsidP="00804E6B">
            <w:pPr>
              <w:jc w:val="right"/>
              <w:rPr>
                <w:rFonts w:ascii="Times" w:hAnsi="Times"/>
              </w:rPr>
            </w:pPr>
            <w:r w:rsidRPr="00C421E4">
              <w:rPr>
                <w:rFonts w:ascii="Times" w:hAnsi="Times"/>
              </w:rPr>
              <w:t>1.089</w:t>
            </w:r>
          </w:p>
        </w:tc>
        <w:tc>
          <w:tcPr>
            <w:tcW w:w="1300" w:type="dxa"/>
            <w:shd w:val="clear" w:color="auto" w:fill="auto"/>
            <w:noWrap/>
            <w:vAlign w:val="bottom"/>
            <w:hideMark/>
          </w:tcPr>
          <w:p w14:paraId="595C6DE0" w14:textId="77777777" w:rsidR="00F7044C" w:rsidRPr="00C421E4" w:rsidRDefault="00F7044C" w:rsidP="00804E6B">
            <w:pPr>
              <w:jc w:val="right"/>
              <w:rPr>
                <w:rFonts w:ascii="Times" w:hAnsi="Times"/>
              </w:rPr>
            </w:pPr>
            <w:r w:rsidRPr="00C421E4">
              <w:rPr>
                <w:rFonts w:ascii="Times" w:hAnsi="Times"/>
              </w:rPr>
              <w:t>0.279</w:t>
            </w:r>
          </w:p>
        </w:tc>
      </w:tr>
      <w:tr w:rsidR="00F7044C" w:rsidRPr="00C421E4" w14:paraId="4A486737" w14:textId="77777777" w:rsidTr="00804E6B">
        <w:trPr>
          <w:trHeight w:val="320"/>
        </w:trPr>
        <w:tc>
          <w:tcPr>
            <w:tcW w:w="2065" w:type="dxa"/>
            <w:shd w:val="clear" w:color="auto" w:fill="auto"/>
            <w:noWrap/>
            <w:vAlign w:val="bottom"/>
            <w:hideMark/>
          </w:tcPr>
          <w:p w14:paraId="1793C704" w14:textId="77777777" w:rsidR="00F7044C" w:rsidRPr="00C421E4" w:rsidRDefault="00F7044C" w:rsidP="00804E6B">
            <w:pPr>
              <w:rPr>
                <w:rFonts w:ascii="Times" w:hAnsi="Times"/>
              </w:rPr>
            </w:pPr>
            <w:r w:rsidRPr="00C421E4">
              <w:rPr>
                <w:rFonts w:ascii="Times" w:hAnsi="Times"/>
              </w:rPr>
              <w:t>Corrugator tone</w:t>
            </w:r>
          </w:p>
        </w:tc>
        <w:tc>
          <w:tcPr>
            <w:tcW w:w="996" w:type="dxa"/>
            <w:shd w:val="clear" w:color="auto" w:fill="auto"/>
            <w:noWrap/>
            <w:vAlign w:val="bottom"/>
            <w:hideMark/>
          </w:tcPr>
          <w:p w14:paraId="1B46B5E7" w14:textId="77777777" w:rsidR="00F7044C" w:rsidRPr="00C421E4" w:rsidRDefault="00F7044C" w:rsidP="00804E6B">
            <w:pPr>
              <w:jc w:val="right"/>
              <w:rPr>
                <w:rFonts w:ascii="Times" w:hAnsi="Times"/>
              </w:rPr>
            </w:pPr>
            <w:r w:rsidRPr="00C421E4">
              <w:rPr>
                <w:rFonts w:ascii="Times" w:hAnsi="Times"/>
              </w:rPr>
              <w:t>-0.35</w:t>
            </w:r>
          </w:p>
        </w:tc>
        <w:tc>
          <w:tcPr>
            <w:tcW w:w="1300" w:type="dxa"/>
            <w:shd w:val="clear" w:color="auto" w:fill="auto"/>
            <w:noWrap/>
            <w:vAlign w:val="bottom"/>
            <w:hideMark/>
          </w:tcPr>
          <w:p w14:paraId="02BD2368" w14:textId="77777777" w:rsidR="00F7044C" w:rsidRPr="00C421E4" w:rsidRDefault="00F7044C" w:rsidP="00804E6B">
            <w:pPr>
              <w:jc w:val="right"/>
              <w:rPr>
                <w:rFonts w:ascii="Times" w:hAnsi="Times"/>
              </w:rPr>
            </w:pPr>
            <w:r w:rsidRPr="00C421E4">
              <w:rPr>
                <w:rFonts w:ascii="Times" w:hAnsi="Times"/>
              </w:rPr>
              <w:t>0.447</w:t>
            </w:r>
          </w:p>
        </w:tc>
        <w:tc>
          <w:tcPr>
            <w:tcW w:w="1300" w:type="dxa"/>
            <w:shd w:val="clear" w:color="auto" w:fill="auto"/>
            <w:noWrap/>
            <w:vAlign w:val="bottom"/>
            <w:hideMark/>
          </w:tcPr>
          <w:p w14:paraId="2D040102" w14:textId="77777777" w:rsidR="00F7044C" w:rsidRPr="00C421E4" w:rsidRDefault="00F7044C" w:rsidP="00804E6B">
            <w:pPr>
              <w:jc w:val="right"/>
              <w:rPr>
                <w:rFonts w:ascii="Times" w:hAnsi="Times"/>
              </w:rPr>
            </w:pPr>
            <w:r w:rsidRPr="00C421E4">
              <w:rPr>
                <w:rFonts w:ascii="Times" w:hAnsi="Times"/>
              </w:rPr>
              <w:t>-0.161</w:t>
            </w:r>
          </w:p>
        </w:tc>
        <w:tc>
          <w:tcPr>
            <w:tcW w:w="1300" w:type="dxa"/>
            <w:shd w:val="clear" w:color="auto" w:fill="auto"/>
            <w:noWrap/>
            <w:vAlign w:val="bottom"/>
            <w:hideMark/>
          </w:tcPr>
          <w:p w14:paraId="0DA7745C" w14:textId="77777777" w:rsidR="00F7044C" w:rsidRPr="00C421E4" w:rsidRDefault="00F7044C" w:rsidP="00804E6B">
            <w:pPr>
              <w:jc w:val="right"/>
              <w:rPr>
                <w:rFonts w:ascii="Times" w:hAnsi="Times"/>
              </w:rPr>
            </w:pPr>
            <w:r w:rsidRPr="00C421E4">
              <w:rPr>
                <w:rFonts w:ascii="Times" w:hAnsi="Times"/>
              </w:rPr>
              <w:t>-0.784</w:t>
            </w:r>
          </w:p>
        </w:tc>
        <w:tc>
          <w:tcPr>
            <w:tcW w:w="1300" w:type="dxa"/>
            <w:shd w:val="clear" w:color="auto" w:fill="auto"/>
            <w:noWrap/>
            <w:vAlign w:val="bottom"/>
            <w:hideMark/>
          </w:tcPr>
          <w:p w14:paraId="6C27B49A" w14:textId="77777777" w:rsidR="00F7044C" w:rsidRPr="00C421E4" w:rsidRDefault="00F7044C" w:rsidP="00804E6B">
            <w:pPr>
              <w:jc w:val="right"/>
              <w:rPr>
                <w:rFonts w:ascii="Times" w:hAnsi="Times"/>
              </w:rPr>
            </w:pPr>
            <w:r w:rsidRPr="00C421E4">
              <w:rPr>
                <w:rFonts w:ascii="Times" w:hAnsi="Times"/>
              </w:rPr>
              <w:t>0.436</w:t>
            </w:r>
          </w:p>
        </w:tc>
      </w:tr>
      <w:tr w:rsidR="00F7044C" w:rsidRPr="00C421E4" w14:paraId="2F33DA0F" w14:textId="77777777" w:rsidTr="00804E6B">
        <w:trPr>
          <w:trHeight w:val="320"/>
        </w:trPr>
        <w:tc>
          <w:tcPr>
            <w:tcW w:w="2065" w:type="dxa"/>
            <w:shd w:val="clear" w:color="auto" w:fill="auto"/>
            <w:noWrap/>
            <w:vAlign w:val="bottom"/>
            <w:hideMark/>
          </w:tcPr>
          <w:p w14:paraId="56AC78C7" w14:textId="77777777" w:rsidR="00F7044C" w:rsidRPr="00C421E4" w:rsidRDefault="00F7044C" w:rsidP="00804E6B">
            <w:pPr>
              <w:rPr>
                <w:rFonts w:ascii="Times" w:hAnsi="Times"/>
              </w:rPr>
            </w:pPr>
            <w:r w:rsidRPr="00C421E4">
              <w:rPr>
                <w:rFonts w:ascii="Times" w:hAnsi="Times"/>
              </w:rPr>
              <w:t>Heart rate</w:t>
            </w:r>
          </w:p>
        </w:tc>
        <w:tc>
          <w:tcPr>
            <w:tcW w:w="996" w:type="dxa"/>
            <w:shd w:val="clear" w:color="auto" w:fill="auto"/>
            <w:noWrap/>
            <w:vAlign w:val="bottom"/>
            <w:hideMark/>
          </w:tcPr>
          <w:p w14:paraId="31A2554B" w14:textId="77777777" w:rsidR="00F7044C" w:rsidRPr="00C421E4" w:rsidRDefault="00F7044C" w:rsidP="00804E6B">
            <w:pPr>
              <w:jc w:val="right"/>
              <w:rPr>
                <w:rFonts w:ascii="Times" w:hAnsi="Times"/>
              </w:rPr>
            </w:pPr>
            <w:r w:rsidRPr="00C421E4">
              <w:rPr>
                <w:rFonts w:ascii="Times" w:hAnsi="Times"/>
              </w:rPr>
              <w:t>-0.021</w:t>
            </w:r>
          </w:p>
        </w:tc>
        <w:tc>
          <w:tcPr>
            <w:tcW w:w="1300" w:type="dxa"/>
            <w:shd w:val="clear" w:color="auto" w:fill="auto"/>
            <w:noWrap/>
            <w:vAlign w:val="bottom"/>
            <w:hideMark/>
          </w:tcPr>
          <w:p w14:paraId="3BAEE069" w14:textId="77777777" w:rsidR="00F7044C" w:rsidRPr="00C421E4" w:rsidRDefault="00F7044C" w:rsidP="00804E6B">
            <w:pPr>
              <w:jc w:val="right"/>
              <w:rPr>
                <w:rFonts w:ascii="Times" w:hAnsi="Times"/>
              </w:rPr>
            </w:pPr>
            <w:r w:rsidRPr="00C421E4">
              <w:rPr>
                <w:rFonts w:ascii="Times" w:hAnsi="Times"/>
              </w:rPr>
              <w:t>0.024</w:t>
            </w:r>
          </w:p>
        </w:tc>
        <w:tc>
          <w:tcPr>
            <w:tcW w:w="1300" w:type="dxa"/>
            <w:shd w:val="clear" w:color="auto" w:fill="auto"/>
            <w:noWrap/>
            <w:vAlign w:val="bottom"/>
            <w:hideMark/>
          </w:tcPr>
          <w:p w14:paraId="3EE3DE88" w14:textId="77777777" w:rsidR="00F7044C" w:rsidRPr="00C421E4" w:rsidRDefault="00F7044C" w:rsidP="00804E6B">
            <w:pPr>
              <w:jc w:val="right"/>
              <w:rPr>
                <w:rFonts w:ascii="Times" w:hAnsi="Times"/>
              </w:rPr>
            </w:pPr>
            <w:r w:rsidRPr="00C421E4">
              <w:rPr>
                <w:rFonts w:ascii="Times" w:hAnsi="Times"/>
              </w:rPr>
              <w:t>-0.114</w:t>
            </w:r>
          </w:p>
        </w:tc>
        <w:tc>
          <w:tcPr>
            <w:tcW w:w="1300" w:type="dxa"/>
            <w:shd w:val="clear" w:color="auto" w:fill="auto"/>
            <w:noWrap/>
            <w:vAlign w:val="bottom"/>
            <w:hideMark/>
          </w:tcPr>
          <w:p w14:paraId="46DCDEB3" w14:textId="77777777" w:rsidR="00F7044C" w:rsidRPr="00C421E4" w:rsidRDefault="00F7044C" w:rsidP="00804E6B">
            <w:pPr>
              <w:jc w:val="right"/>
              <w:rPr>
                <w:rFonts w:ascii="Times" w:hAnsi="Times"/>
              </w:rPr>
            </w:pPr>
            <w:r w:rsidRPr="00C421E4">
              <w:rPr>
                <w:rFonts w:ascii="Times" w:hAnsi="Times"/>
              </w:rPr>
              <w:t>-0.857</w:t>
            </w:r>
          </w:p>
        </w:tc>
        <w:tc>
          <w:tcPr>
            <w:tcW w:w="1300" w:type="dxa"/>
            <w:shd w:val="clear" w:color="auto" w:fill="auto"/>
            <w:noWrap/>
            <w:vAlign w:val="bottom"/>
            <w:hideMark/>
          </w:tcPr>
          <w:p w14:paraId="225843F5" w14:textId="77777777" w:rsidR="00F7044C" w:rsidRPr="00C421E4" w:rsidRDefault="00F7044C" w:rsidP="00804E6B">
            <w:pPr>
              <w:jc w:val="right"/>
              <w:rPr>
                <w:rFonts w:ascii="Times" w:hAnsi="Times"/>
              </w:rPr>
            </w:pPr>
            <w:r w:rsidRPr="00C421E4">
              <w:rPr>
                <w:rFonts w:ascii="Times" w:hAnsi="Times"/>
              </w:rPr>
              <w:t>0.394</w:t>
            </w:r>
          </w:p>
        </w:tc>
      </w:tr>
      <w:tr w:rsidR="00F7044C" w:rsidRPr="00C421E4" w14:paraId="274BF196" w14:textId="77777777" w:rsidTr="00804E6B">
        <w:trPr>
          <w:trHeight w:val="320"/>
        </w:trPr>
        <w:tc>
          <w:tcPr>
            <w:tcW w:w="8261" w:type="dxa"/>
            <w:gridSpan w:val="6"/>
            <w:shd w:val="clear" w:color="auto" w:fill="auto"/>
            <w:noWrap/>
            <w:vAlign w:val="bottom"/>
            <w:hideMark/>
          </w:tcPr>
          <w:p w14:paraId="734132EF"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36F4113F" w14:textId="77777777" w:rsidTr="00804E6B">
        <w:trPr>
          <w:trHeight w:val="320"/>
        </w:trPr>
        <w:tc>
          <w:tcPr>
            <w:tcW w:w="2065" w:type="dxa"/>
            <w:shd w:val="clear" w:color="auto" w:fill="auto"/>
            <w:noWrap/>
            <w:vAlign w:val="bottom"/>
            <w:hideMark/>
          </w:tcPr>
          <w:p w14:paraId="277FDD96" w14:textId="77777777" w:rsidR="00F7044C" w:rsidRPr="00C421E4" w:rsidRDefault="00F7044C" w:rsidP="00804E6B">
            <w:pPr>
              <w:rPr>
                <w:rFonts w:ascii="Times" w:hAnsi="Times"/>
              </w:rPr>
            </w:pPr>
            <w:r w:rsidRPr="00C421E4">
              <w:rPr>
                <w:rFonts w:ascii="Times" w:hAnsi="Times"/>
              </w:rPr>
              <w:t>Valence</w:t>
            </w:r>
          </w:p>
        </w:tc>
        <w:tc>
          <w:tcPr>
            <w:tcW w:w="996" w:type="dxa"/>
            <w:shd w:val="clear" w:color="auto" w:fill="auto"/>
            <w:noWrap/>
            <w:vAlign w:val="bottom"/>
            <w:hideMark/>
          </w:tcPr>
          <w:p w14:paraId="6F649204" w14:textId="77777777" w:rsidR="00F7044C" w:rsidRPr="00C421E4" w:rsidRDefault="00F7044C" w:rsidP="00804E6B">
            <w:pPr>
              <w:jc w:val="right"/>
              <w:rPr>
                <w:rFonts w:ascii="Times" w:hAnsi="Times"/>
              </w:rPr>
            </w:pPr>
            <w:r w:rsidRPr="00C421E4">
              <w:rPr>
                <w:rFonts w:ascii="Times" w:hAnsi="Times"/>
              </w:rPr>
              <w:t>0.156</w:t>
            </w:r>
          </w:p>
        </w:tc>
        <w:tc>
          <w:tcPr>
            <w:tcW w:w="1300" w:type="dxa"/>
            <w:shd w:val="clear" w:color="auto" w:fill="auto"/>
            <w:noWrap/>
            <w:vAlign w:val="bottom"/>
            <w:hideMark/>
          </w:tcPr>
          <w:p w14:paraId="00428B15" w14:textId="77777777" w:rsidR="00F7044C" w:rsidRPr="00C421E4" w:rsidRDefault="00F7044C" w:rsidP="00804E6B">
            <w:pPr>
              <w:jc w:val="right"/>
              <w:rPr>
                <w:rFonts w:ascii="Times" w:hAnsi="Times"/>
              </w:rPr>
            </w:pPr>
            <w:r w:rsidRPr="00C421E4">
              <w:rPr>
                <w:rFonts w:ascii="Times" w:hAnsi="Times"/>
              </w:rPr>
              <w:t>0.341</w:t>
            </w:r>
          </w:p>
        </w:tc>
        <w:tc>
          <w:tcPr>
            <w:tcW w:w="1300" w:type="dxa"/>
            <w:shd w:val="clear" w:color="auto" w:fill="auto"/>
            <w:noWrap/>
            <w:vAlign w:val="bottom"/>
            <w:hideMark/>
          </w:tcPr>
          <w:p w14:paraId="13DE6033" w14:textId="77777777" w:rsidR="00F7044C" w:rsidRPr="00C421E4" w:rsidRDefault="00F7044C" w:rsidP="00804E6B">
            <w:pPr>
              <w:jc w:val="right"/>
              <w:rPr>
                <w:rFonts w:ascii="Times" w:hAnsi="Times"/>
              </w:rPr>
            </w:pPr>
            <w:r w:rsidRPr="00C421E4">
              <w:rPr>
                <w:rFonts w:ascii="Times" w:hAnsi="Times"/>
              </w:rPr>
              <w:t>0.063</w:t>
            </w:r>
          </w:p>
        </w:tc>
        <w:tc>
          <w:tcPr>
            <w:tcW w:w="1300" w:type="dxa"/>
            <w:shd w:val="clear" w:color="auto" w:fill="auto"/>
            <w:noWrap/>
            <w:vAlign w:val="bottom"/>
            <w:hideMark/>
          </w:tcPr>
          <w:p w14:paraId="551D4784" w14:textId="77777777" w:rsidR="00F7044C" w:rsidRPr="00C421E4" w:rsidRDefault="00F7044C" w:rsidP="00804E6B">
            <w:pPr>
              <w:jc w:val="right"/>
              <w:rPr>
                <w:rFonts w:ascii="Times" w:hAnsi="Times"/>
              </w:rPr>
            </w:pPr>
            <w:r w:rsidRPr="00C421E4">
              <w:rPr>
                <w:rFonts w:ascii="Times" w:hAnsi="Times"/>
              </w:rPr>
              <w:t>0.458</w:t>
            </w:r>
          </w:p>
        </w:tc>
        <w:tc>
          <w:tcPr>
            <w:tcW w:w="1300" w:type="dxa"/>
            <w:shd w:val="clear" w:color="auto" w:fill="auto"/>
            <w:noWrap/>
            <w:vAlign w:val="bottom"/>
            <w:hideMark/>
          </w:tcPr>
          <w:p w14:paraId="5F4D63A1" w14:textId="77777777" w:rsidR="00F7044C" w:rsidRPr="00C421E4" w:rsidRDefault="00F7044C" w:rsidP="00804E6B">
            <w:pPr>
              <w:jc w:val="right"/>
              <w:rPr>
                <w:rFonts w:ascii="Times" w:hAnsi="Times"/>
              </w:rPr>
            </w:pPr>
            <w:r w:rsidRPr="00C421E4">
              <w:rPr>
                <w:rFonts w:ascii="Times" w:hAnsi="Times"/>
              </w:rPr>
              <w:t>0.648</w:t>
            </w:r>
          </w:p>
        </w:tc>
      </w:tr>
      <w:tr w:rsidR="00F7044C" w:rsidRPr="00C421E4" w14:paraId="2981A68A" w14:textId="77777777" w:rsidTr="00804E6B">
        <w:trPr>
          <w:trHeight w:val="320"/>
        </w:trPr>
        <w:tc>
          <w:tcPr>
            <w:tcW w:w="2065" w:type="dxa"/>
            <w:shd w:val="clear" w:color="auto" w:fill="auto"/>
            <w:noWrap/>
            <w:vAlign w:val="bottom"/>
            <w:hideMark/>
          </w:tcPr>
          <w:p w14:paraId="4C467E18" w14:textId="77777777" w:rsidR="00F7044C" w:rsidRPr="00C421E4" w:rsidRDefault="00F7044C" w:rsidP="00804E6B">
            <w:pPr>
              <w:rPr>
                <w:rFonts w:ascii="Times" w:hAnsi="Times"/>
              </w:rPr>
            </w:pPr>
            <w:r w:rsidRPr="00C421E4">
              <w:rPr>
                <w:rFonts w:ascii="Times" w:hAnsi="Times"/>
              </w:rPr>
              <w:t>Arousal</w:t>
            </w:r>
          </w:p>
        </w:tc>
        <w:tc>
          <w:tcPr>
            <w:tcW w:w="996" w:type="dxa"/>
            <w:shd w:val="clear" w:color="auto" w:fill="auto"/>
            <w:noWrap/>
            <w:vAlign w:val="bottom"/>
            <w:hideMark/>
          </w:tcPr>
          <w:p w14:paraId="47604140" w14:textId="77777777" w:rsidR="00F7044C" w:rsidRPr="00C421E4" w:rsidRDefault="00F7044C" w:rsidP="00804E6B">
            <w:pPr>
              <w:jc w:val="right"/>
              <w:rPr>
                <w:rFonts w:ascii="Times" w:hAnsi="Times"/>
              </w:rPr>
            </w:pPr>
            <w:r w:rsidRPr="00C421E4">
              <w:rPr>
                <w:rFonts w:ascii="Times" w:hAnsi="Times"/>
              </w:rPr>
              <w:t>0.043</w:t>
            </w:r>
          </w:p>
        </w:tc>
        <w:tc>
          <w:tcPr>
            <w:tcW w:w="1300" w:type="dxa"/>
            <w:shd w:val="clear" w:color="auto" w:fill="auto"/>
            <w:noWrap/>
            <w:vAlign w:val="bottom"/>
            <w:hideMark/>
          </w:tcPr>
          <w:p w14:paraId="52B4089E" w14:textId="77777777" w:rsidR="00F7044C" w:rsidRPr="00C421E4" w:rsidRDefault="00F7044C" w:rsidP="00804E6B">
            <w:pPr>
              <w:jc w:val="right"/>
              <w:rPr>
                <w:rFonts w:ascii="Times" w:hAnsi="Times"/>
              </w:rPr>
            </w:pPr>
            <w:r w:rsidRPr="00C421E4">
              <w:rPr>
                <w:rFonts w:ascii="Times" w:hAnsi="Times"/>
              </w:rPr>
              <w:t>0.111</w:t>
            </w:r>
          </w:p>
        </w:tc>
        <w:tc>
          <w:tcPr>
            <w:tcW w:w="1300" w:type="dxa"/>
            <w:shd w:val="clear" w:color="auto" w:fill="auto"/>
            <w:noWrap/>
            <w:vAlign w:val="bottom"/>
            <w:hideMark/>
          </w:tcPr>
          <w:p w14:paraId="5FBB8377" w14:textId="77777777" w:rsidR="00F7044C" w:rsidRPr="00C421E4" w:rsidRDefault="00F7044C" w:rsidP="00804E6B">
            <w:pPr>
              <w:jc w:val="right"/>
              <w:rPr>
                <w:rFonts w:ascii="Times" w:hAnsi="Times"/>
              </w:rPr>
            </w:pPr>
            <w:r w:rsidRPr="00C421E4">
              <w:rPr>
                <w:rFonts w:ascii="Times" w:hAnsi="Times"/>
              </w:rPr>
              <w:t>0.053</w:t>
            </w:r>
          </w:p>
        </w:tc>
        <w:tc>
          <w:tcPr>
            <w:tcW w:w="1300" w:type="dxa"/>
            <w:shd w:val="clear" w:color="auto" w:fill="auto"/>
            <w:noWrap/>
            <w:vAlign w:val="bottom"/>
            <w:hideMark/>
          </w:tcPr>
          <w:p w14:paraId="37AF65EA" w14:textId="77777777" w:rsidR="00F7044C" w:rsidRPr="00C421E4" w:rsidRDefault="00F7044C" w:rsidP="00804E6B">
            <w:pPr>
              <w:jc w:val="right"/>
              <w:rPr>
                <w:rFonts w:ascii="Times" w:hAnsi="Times"/>
              </w:rPr>
            </w:pPr>
            <w:r w:rsidRPr="00C421E4">
              <w:rPr>
                <w:rFonts w:ascii="Times" w:hAnsi="Times"/>
              </w:rPr>
              <w:t>0.388</w:t>
            </w:r>
          </w:p>
        </w:tc>
        <w:tc>
          <w:tcPr>
            <w:tcW w:w="1300" w:type="dxa"/>
            <w:shd w:val="clear" w:color="auto" w:fill="auto"/>
            <w:noWrap/>
            <w:vAlign w:val="bottom"/>
            <w:hideMark/>
          </w:tcPr>
          <w:p w14:paraId="5EE59B3F" w14:textId="77777777" w:rsidR="00F7044C" w:rsidRPr="00C421E4" w:rsidRDefault="00F7044C" w:rsidP="00804E6B">
            <w:pPr>
              <w:jc w:val="right"/>
              <w:rPr>
                <w:rFonts w:ascii="Times" w:hAnsi="Times"/>
              </w:rPr>
            </w:pPr>
            <w:r w:rsidRPr="00C421E4">
              <w:rPr>
                <w:rFonts w:ascii="Times" w:hAnsi="Times"/>
              </w:rPr>
              <w:t>0.699</w:t>
            </w:r>
          </w:p>
        </w:tc>
      </w:tr>
      <w:tr w:rsidR="00F7044C" w:rsidRPr="00C421E4" w14:paraId="0A7AB185" w14:textId="77777777" w:rsidTr="00804E6B">
        <w:trPr>
          <w:trHeight w:val="320"/>
        </w:trPr>
        <w:tc>
          <w:tcPr>
            <w:tcW w:w="2065" w:type="dxa"/>
            <w:shd w:val="clear" w:color="auto" w:fill="auto"/>
            <w:noWrap/>
            <w:vAlign w:val="bottom"/>
            <w:hideMark/>
          </w:tcPr>
          <w:p w14:paraId="6DDED020" w14:textId="77777777" w:rsidR="00F7044C" w:rsidRPr="00C421E4" w:rsidRDefault="00F7044C" w:rsidP="00804E6B">
            <w:pPr>
              <w:rPr>
                <w:rFonts w:ascii="Times" w:hAnsi="Times"/>
              </w:rPr>
            </w:pPr>
            <w:r w:rsidRPr="00C421E4">
              <w:rPr>
                <w:rFonts w:ascii="Times" w:hAnsi="Times"/>
              </w:rPr>
              <w:t>Skin conductance</w:t>
            </w:r>
          </w:p>
        </w:tc>
        <w:tc>
          <w:tcPr>
            <w:tcW w:w="996" w:type="dxa"/>
            <w:shd w:val="clear" w:color="auto" w:fill="auto"/>
            <w:noWrap/>
            <w:vAlign w:val="bottom"/>
            <w:hideMark/>
          </w:tcPr>
          <w:p w14:paraId="17E34D38" w14:textId="77777777" w:rsidR="00F7044C" w:rsidRPr="00C421E4" w:rsidRDefault="00F7044C" w:rsidP="00804E6B">
            <w:pPr>
              <w:jc w:val="right"/>
              <w:rPr>
                <w:rFonts w:ascii="Times" w:hAnsi="Times"/>
              </w:rPr>
            </w:pPr>
            <w:r w:rsidRPr="00C421E4">
              <w:rPr>
                <w:rFonts w:ascii="Times" w:hAnsi="Times"/>
              </w:rPr>
              <w:t>1.923</w:t>
            </w:r>
          </w:p>
        </w:tc>
        <w:tc>
          <w:tcPr>
            <w:tcW w:w="1300" w:type="dxa"/>
            <w:shd w:val="clear" w:color="auto" w:fill="auto"/>
            <w:noWrap/>
            <w:vAlign w:val="bottom"/>
            <w:hideMark/>
          </w:tcPr>
          <w:p w14:paraId="06161EE9" w14:textId="77777777" w:rsidR="00F7044C" w:rsidRPr="00C421E4" w:rsidRDefault="00F7044C" w:rsidP="00804E6B">
            <w:pPr>
              <w:jc w:val="right"/>
              <w:rPr>
                <w:rFonts w:ascii="Times" w:hAnsi="Times"/>
              </w:rPr>
            </w:pPr>
            <w:r w:rsidRPr="00C421E4">
              <w:rPr>
                <w:rFonts w:ascii="Times" w:hAnsi="Times"/>
              </w:rPr>
              <w:t>0.94</w:t>
            </w:r>
          </w:p>
        </w:tc>
        <w:tc>
          <w:tcPr>
            <w:tcW w:w="1300" w:type="dxa"/>
            <w:shd w:val="clear" w:color="auto" w:fill="auto"/>
            <w:noWrap/>
            <w:vAlign w:val="bottom"/>
            <w:hideMark/>
          </w:tcPr>
          <w:p w14:paraId="19AC81A6" w14:textId="77777777" w:rsidR="00F7044C" w:rsidRPr="00C421E4" w:rsidRDefault="00F7044C" w:rsidP="00804E6B">
            <w:pPr>
              <w:jc w:val="right"/>
              <w:rPr>
                <w:rFonts w:ascii="Times" w:hAnsi="Times"/>
              </w:rPr>
            </w:pPr>
            <w:r w:rsidRPr="00C421E4">
              <w:rPr>
                <w:rFonts w:ascii="Times" w:hAnsi="Times"/>
              </w:rPr>
              <w:t>0.387</w:t>
            </w:r>
          </w:p>
        </w:tc>
        <w:tc>
          <w:tcPr>
            <w:tcW w:w="1300" w:type="dxa"/>
            <w:shd w:val="clear" w:color="auto" w:fill="auto"/>
            <w:noWrap/>
            <w:vAlign w:val="bottom"/>
            <w:hideMark/>
          </w:tcPr>
          <w:p w14:paraId="09F68F34" w14:textId="77777777" w:rsidR="00F7044C" w:rsidRPr="00C421E4" w:rsidRDefault="00F7044C" w:rsidP="00804E6B">
            <w:pPr>
              <w:jc w:val="right"/>
              <w:rPr>
                <w:rFonts w:ascii="Times" w:hAnsi="Times"/>
              </w:rPr>
            </w:pPr>
            <w:r w:rsidRPr="00C421E4">
              <w:rPr>
                <w:rFonts w:ascii="Times" w:hAnsi="Times"/>
              </w:rPr>
              <w:t>2.045</w:t>
            </w:r>
          </w:p>
        </w:tc>
        <w:tc>
          <w:tcPr>
            <w:tcW w:w="1300" w:type="dxa"/>
            <w:shd w:val="clear" w:color="auto" w:fill="auto"/>
            <w:noWrap/>
            <w:vAlign w:val="bottom"/>
            <w:hideMark/>
          </w:tcPr>
          <w:p w14:paraId="52E085D2" w14:textId="77777777" w:rsidR="00F7044C" w:rsidRPr="00C421E4" w:rsidRDefault="00F7044C" w:rsidP="00804E6B">
            <w:pPr>
              <w:jc w:val="right"/>
              <w:rPr>
                <w:rFonts w:ascii="Times" w:hAnsi="Times"/>
              </w:rPr>
            </w:pPr>
            <w:r w:rsidRPr="00C421E4">
              <w:rPr>
                <w:rFonts w:ascii="Times" w:hAnsi="Times"/>
              </w:rPr>
              <w:t>0.044</w:t>
            </w:r>
          </w:p>
        </w:tc>
      </w:tr>
      <w:tr w:rsidR="00F7044C" w:rsidRPr="00C421E4" w14:paraId="33986F5A" w14:textId="77777777" w:rsidTr="00804E6B">
        <w:trPr>
          <w:trHeight w:val="320"/>
        </w:trPr>
        <w:tc>
          <w:tcPr>
            <w:tcW w:w="2065" w:type="dxa"/>
            <w:shd w:val="clear" w:color="auto" w:fill="auto"/>
            <w:noWrap/>
            <w:vAlign w:val="bottom"/>
            <w:hideMark/>
          </w:tcPr>
          <w:p w14:paraId="1FF8E1D5" w14:textId="77777777" w:rsidR="00F7044C" w:rsidRPr="00C421E4" w:rsidRDefault="00F7044C" w:rsidP="00804E6B">
            <w:pPr>
              <w:rPr>
                <w:rFonts w:ascii="Times" w:hAnsi="Times"/>
              </w:rPr>
            </w:pPr>
            <w:r w:rsidRPr="00C421E4">
              <w:rPr>
                <w:rFonts w:ascii="Times" w:hAnsi="Times"/>
              </w:rPr>
              <w:t>Zygomaticus tone</w:t>
            </w:r>
          </w:p>
        </w:tc>
        <w:tc>
          <w:tcPr>
            <w:tcW w:w="996" w:type="dxa"/>
            <w:shd w:val="clear" w:color="auto" w:fill="auto"/>
            <w:noWrap/>
            <w:vAlign w:val="bottom"/>
            <w:hideMark/>
          </w:tcPr>
          <w:p w14:paraId="29FC69CB" w14:textId="77777777" w:rsidR="00F7044C" w:rsidRPr="00C421E4" w:rsidRDefault="00F7044C" w:rsidP="00804E6B">
            <w:pPr>
              <w:jc w:val="right"/>
              <w:rPr>
                <w:rFonts w:ascii="Times" w:hAnsi="Times"/>
              </w:rPr>
            </w:pPr>
            <w:r w:rsidRPr="00C421E4">
              <w:rPr>
                <w:rFonts w:ascii="Times" w:hAnsi="Times"/>
              </w:rPr>
              <w:t>-0.06</w:t>
            </w:r>
          </w:p>
        </w:tc>
        <w:tc>
          <w:tcPr>
            <w:tcW w:w="1300" w:type="dxa"/>
            <w:shd w:val="clear" w:color="auto" w:fill="auto"/>
            <w:noWrap/>
            <w:vAlign w:val="bottom"/>
            <w:hideMark/>
          </w:tcPr>
          <w:p w14:paraId="53735A2D" w14:textId="77777777" w:rsidR="00F7044C" w:rsidRPr="00C421E4" w:rsidRDefault="00F7044C" w:rsidP="00804E6B">
            <w:pPr>
              <w:jc w:val="right"/>
              <w:rPr>
                <w:rFonts w:ascii="Times" w:hAnsi="Times"/>
              </w:rPr>
            </w:pPr>
            <w:r w:rsidRPr="00C421E4">
              <w:rPr>
                <w:rFonts w:ascii="Times" w:hAnsi="Times"/>
              </w:rPr>
              <w:t>0.163</w:t>
            </w:r>
          </w:p>
        </w:tc>
        <w:tc>
          <w:tcPr>
            <w:tcW w:w="1300" w:type="dxa"/>
            <w:shd w:val="clear" w:color="auto" w:fill="auto"/>
            <w:noWrap/>
            <w:vAlign w:val="bottom"/>
            <w:hideMark/>
          </w:tcPr>
          <w:p w14:paraId="0B574A7D" w14:textId="77777777" w:rsidR="00F7044C" w:rsidRPr="00C421E4" w:rsidRDefault="00F7044C" w:rsidP="00804E6B">
            <w:pPr>
              <w:jc w:val="right"/>
              <w:rPr>
                <w:rFonts w:ascii="Times" w:hAnsi="Times"/>
              </w:rPr>
            </w:pPr>
            <w:r w:rsidRPr="00C421E4">
              <w:rPr>
                <w:rFonts w:ascii="Times" w:hAnsi="Times"/>
              </w:rPr>
              <w:t>-0.064</w:t>
            </w:r>
          </w:p>
        </w:tc>
        <w:tc>
          <w:tcPr>
            <w:tcW w:w="1300" w:type="dxa"/>
            <w:shd w:val="clear" w:color="auto" w:fill="auto"/>
            <w:noWrap/>
            <w:vAlign w:val="bottom"/>
            <w:hideMark/>
          </w:tcPr>
          <w:p w14:paraId="2ED16498" w14:textId="77777777" w:rsidR="00F7044C" w:rsidRPr="00C421E4" w:rsidRDefault="00F7044C" w:rsidP="00804E6B">
            <w:pPr>
              <w:jc w:val="right"/>
              <w:rPr>
                <w:rFonts w:ascii="Times" w:hAnsi="Times"/>
              </w:rPr>
            </w:pPr>
            <w:r w:rsidRPr="00C421E4">
              <w:rPr>
                <w:rFonts w:ascii="Times" w:hAnsi="Times"/>
              </w:rPr>
              <w:t>-0.368</w:t>
            </w:r>
          </w:p>
        </w:tc>
        <w:tc>
          <w:tcPr>
            <w:tcW w:w="1300" w:type="dxa"/>
            <w:shd w:val="clear" w:color="auto" w:fill="auto"/>
            <w:noWrap/>
            <w:vAlign w:val="bottom"/>
            <w:hideMark/>
          </w:tcPr>
          <w:p w14:paraId="320CE420" w14:textId="77777777" w:rsidR="00F7044C" w:rsidRPr="00C421E4" w:rsidRDefault="00F7044C" w:rsidP="00804E6B">
            <w:pPr>
              <w:jc w:val="right"/>
              <w:rPr>
                <w:rFonts w:ascii="Times" w:hAnsi="Times"/>
              </w:rPr>
            </w:pPr>
            <w:r w:rsidRPr="00C421E4">
              <w:rPr>
                <w:rFonts w:ascii="Times" w:hAnsi="Times"/>
              </w:rPr>
              <w:t>0.714</w:t>
            </w:r>
          </w:p>
        </w:tc>
      </w:tr>
      <w:tr w:rsidR="00F7044C" w:rsidRPr="00C421E4" w14:paraId="41F82F11" w14:textId="77777777" w:rsidTr="00804E6B">
        <w:trPr>
          <w:trHeight w:val="320"/>
        </w:trPr>
        <w:tc>
          <w:tcPr>
            <w:tcW w:w="2065" w:type="dxa"/>
            <w:shd w:val="clear" w:color="auto" w:fill="auto"/>
            <w:noWrap/>
            <w:vAlign w:val="bottom"/>
            <w:hideMark/>
          </w:tcPr>
          <w:p w14:paraId="79F48D5C" w14:textId="77777777" w:rsidR="00F7044C" w:rsidRPr="00C421E4" w:rsidRDefault="00F7044C" w:rsidP="00804E6B">
            <w:pPr>
              <w:rPr>
                <w:rFonts w:ascii="Times" w:hAnsi="Times"/>
              </w:rPr>
            </w:pPr>
            <w:r w:rsidRPr="00C421E4">
              <w:rPr>
                <w:rFonts w:ascii="Times" w:hAnsi="Times"/>
              </w:rPr>
              <w:t>Heart rate</w:t>
            </w:r>
          </w:p>
        </w:tc>
        <w:tc>
          <w:tcPr>
            <w:tcW w:w="996" w:type="dxa"/>
            <w:shd w:val="clear" w:color="auto" w:fill="auto"/>
            <w:noWrap/>
            <w:vAlign w:val="bottom"/>
            <w:hideMark/>
          </w:tcPr>
          <w:p w14:paraId="35DFEF12" w14:textId="77777777" w:rsidR="00F7044C" w:rsidRPr="00C421E4" w:rsidRDefault="00F7044C" w:rsidP="00804E6B">
            <w:pPr>
              <w:jc w:val="right"/>
              <w:rPr>
                <w:rFonts w:ascii="Times" w:hAnsi="Times"/>
              </w:rPr>
            </w:pPr>
            <w:r w:rsidRPr="00C421E4">
              <w:rPr>
                <w:rFonts w:ascii="Times" w:hAnsi="Times"/>
              </w:rPr>
              <w:t>0.054</w:t>
            </w:r>
          </w:p>
        </w:tc>
        <w:tc>
          <w:tcPr>
            <w:tcW w:w="1300" w:type="dxa"/>
            <w:shd w:val="clear" w:color="auto" w:fill="auto"/>
            <w:noWrap/>
            <w:vAlign w:val="bottom"/>
            <w:hideMark/>
          </w:tcPr>
          <w:p w14:paraId="6AE347B3" w14:textId="77777777" w:rsidR="00F7044C" w:rsidRPr="00C421E4" w:rsidRDefault="00F7044C" w:rsidP="00804E6B">
            <w:pPr>
              <w:jc w:val="right"/>
              <w:rPr>
                <w:rFonts w:ascii="Times" w:hAnsi="Times"/>
              </w:rPr>
            </w:pPr>
            <w:r w:rsidRPr="00C421E4">
              <w:rPr>
                <w:rFonts w:ascii="Times" w:hAnsi="Times"/>
              </w:rPr>
              <w:t>0.03</w:t>
            </w:r>
          </w:p>
        </w:tc>
        <w:tc>
          <w:tcPr>
            <w:tcW w:w="1300" w:type="dxa"/>
            <w:shd w:val="clear" w:color="auto" w:fill="auto"/>
            <w:noWrap/>
            <w:vAlign w:val="bottom"/>
            <w:hideMark/>
          </w:tcPr>
          <w:p w14:paraId="2C4286C7" w14:textId="77777777" w:rsidR="00F7044C" w:rsidRPr="00C421E4" w:rsidRDefault="00F7044C" w:rsidP="00804E6B">
            <w:pPr>
              <w:jc w:val="right"/>
              <w:rPr>
                <w:rFonts w:ascii="Times" w:hAnsi="Times"/>
              </w:rPr>
            </w:pPr>
            <w:r w:rsidRPr="00C421E4">
              <w:rPr>
                <w:rFonts w:ascii="Times" w:hAnsi="Times"/>
              </w:rPr>
              <w:t>0.223</w:t>
            </w:r>
          </w:p>
        </w:tc>
        <w:tc>
          <w:tcPr>
            <w:tcW w:w="1300" w:type="dxa"/>
            <w:shd w:val="clear" w:color="auto" w:fill="auto"/>
            <w:noWrap/>
            <w:vAlign w:val="bottom"/>
            <w:hideMark/>
          </w:tcPr>
          <w:p w14:paraId="0F3957BD" w14:textId="77777777" w:rsidR="00F7044C" w:rsidRPr="00C421E4" w:rsidRDefault="00F7044C" w:rsidP="00804E6B">
            <w:pPr>
              <w:jc w:val="right"/>
              <w:rPr>
                <w:rFonts w:ascii="Times" w:hAnsi="Times"/>
              </w:rPr>
            </w:pPr>
            <w:r w:rsidRPr="00C421E4">
              <w:rPr>
                <w:rFonts w:ascii="Times" w:hAnsi="Times"/>
              </w:rPr>
              <w:t>1.797</w:t>
            </w:r>
          </w:p>
        </w:tc>
        <w:tc>
          <w:tcPr>
            <w:tcW w:w="1300" w:type="dxa"/>
            <w:shd w:val="clear" w:color="auto" w:fill="auto"/>
            <w:noWrap/>
            <w:vAlign w:val="bottom"/>
            <w:hideMark/>
          </w:tcPr>
          <w:p w14:paraId="25E7A02A" w14:textId="77777777" w:rsidR="00F7044C" w:rsidRPr="00C421E4" w:rsidRDefault="00F7044C" w:rsidP="00804E6B">
            <w:pPr>
              <w:jc w:val="right"/>
              <w:rPr>
                <w:rFonts w:ascii="Times" w:hAnsi="Times"/>
              </w:rPr>
            </w:pPr>
            <w:r w:rsidRPr="00C421E4">
              <w:rPr>
                <w:rFonts w:ascii="Times" w:hAnsi="Times"/>
              </w:rPr>
              <w:t>0.076</w:t>
            </w:r>
          </w:p>
        </w:tc>
      </w:tr>
    </w:tbl>
    <w:p w14:paraId="693287C6" w14:textId="77777777" w:rsidR="00F7044C" w:rsidRPr="00C421E4" w:rsidRDefault="00F7044C" w:rsidP="00F7044C">
      <w:pPr>
        <w:rPr>
          <w:rFonts w:ascii="Times" w:hAnsi="Times"/>
        </w:rPr>
      </w:pPr>
    </w:p>
    <w:p w14:paraId="528FA6A6" w14:textId="77777777" w:rsidR="00F7044C" w:rsidRPr="00C421E4" w:rsidRDefault="00F7044C" w:rsidP="00F7044C">
      <w:pPr>
        <w:outlineLvl w:val="0"/>
        <w:rPr>
          <w:rFonts w:ascii="Times" w:hAnsi="Times"/>
        </w:rPr>
      </w:pPr>
      <w:r>
        <w:rPr>
          <w:rFonts w:ascii="Times" w:hAnsi="Times"/>
        </w:rPr>
        <w:t>Table 10</w:t>
      </w:r>
      <w:r w:rsidRPr="00C421E4">
        <w:rPr>
          <w:rFonts w:ascii="Times" w:hAnsi="Times"/>
        </w:rPr>
        <w:t xml:space="preserve">: Regression results for interactions predicting depressive symptoms.  </w:t>
      </w:r>
      <w:r w:rsidRPr="00C421E4">
        <w:rPr>
          <w:rFonts w:ascii="Times" w:hAnsi="Times"/>
        </w:rPr>
        <w:br w:type="page"/>
      </w:r>
    </w:p>
    <w:p w14:paraId="6BF90179" w14:textId="77777777" w:rsidR="00F7044C" w:rsidRPr="00C421E4" w:rsidRDefault="00F7044C" w:rsidP="00F7044C">
      <w:pPr>
        <w:rPr>
          <w:rFonts w:ascii="Times" w:hAnsi="Times"/>
        </w:rPr>
      </w:pPr>
    </w:p>
    <w:p w14:paraId="4ABA709F" w14:textId="77777777" w:rsidR="00F7044C" w:rsidRPr="00C421E4" w:rsidRDefault="00F7044C" w:rsidP="00F7044C">
      <w:pPr>
        <w:rPr>
          <w:rFonts w:ascii="Times" w:hAnsi="Times"/>
        </w:rPr>
      </w:pPr>
    </w:p>
    <w:tbl>
      <w:tblPr>
        <w:tblW w:w="8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1080"/>
        <w:gridCol w:w="1279"/>
        <w:gridCol w:w="1432"/>
        <w:gridCol w:w="1432"/>
        <w:gridCol w:w="1432"/>
      </w:tblGrid>
      <w:tr w:rsidR="00F7044C" w:rsidRPr="00C421E4" w14:paraId="4730D7B7" w14:textId="77777777" w:rsidTr="00804E6B">
        <w:trPr>
          <w:trHeight w:val="320"/>
        </w:trPr>
        <w:tc>
          <w:tcPr>
            <w:tcW w:w="1975" w:type="dxa"/>
            <w:shd w:val="clear" w:color="auto" w:fill="auto"/>
            <w:noWrap/>
            <w:vAlign w:val="bottom"/>
            <w:hideMark/>
          </w:tcPr>
          <w:p w14:paraId="6D7F72BA" w14:textId="77777777" w:rsidR="00F7044C" w:rsidRPr="00C421E4" w:rsidRDefault="00F7044C" w:rsidP="00804E6B">
            <w:pPr>
              <w:rPr>
                <w:rFonts w:ascii="Times" w:hAnsi="Times"/>
              </w:rPr>
            </w:pPr>
          </w:p>
        </w:tc>
        <w:tc>
          <w:tcPr>
            <w:tcW w:w="1080" w:type="dxa"/>
            <w:shd w:val="clear" w:color="auto" w:fill="auto"/>
            <w:noWrap/>
            <w:vAlign w:val="bottom"/>
            <w:hideMark/>
          </w:tcPr>
          <w:p w14:paraId="4D614A26" w14:textId="77777777" w:rsidR="00F7044C" w:rsidRPr="00C421E4" w:rsidRDefault="00F7044C" w:rsidP="00804E6B">
            <w:pPr>
              <w:rPr>
                <w:rFonts w:ascii="Times" w:hAnsi="Times"/>
              </w:rPr>
            </w:pPr>
            <w:r w:rsidRPr="00C421E4">
              <w:rPr>
                <w:rFonts w:ascii="Times" w:hAnsi="Times"/>
              </w:rPr>
              <w:t>B</w:t>
            </w:r>
          </w:p>
        </w:tc>
        <w:tc>
          <w:tcPr>
            <w:tcW w:w="1279" w:type="dxa"/>
            <w:shd w:val="clear" w:color="auto" w:fill="auto"/>
            <w:noWrap/>
            <w:vAlign w:val="bottom"/>
            <w:hideMark/>
          </w:tcPr>
          <w:p w14:paraId="286661F5" w14:textId="77777777" w:rsidR="00F7044C" w:rsidRPr="00C421E4" w:rsidRDefault="00F7044C" w:rsidP="00804E6B">
            <w:pPr>
              <w:rPr>
                <w:rFonts w:ascii="Times" w:hAnsi="Times"/>
              </w:rPr>
            </w:pPr>
            <w:r w:rsidRPr="00C421E4">
              <w:rPr>
                <w:rFonts w:ascii="Times" w:hAnsi="Times"/>
              </w:rPr>
              <w:t>Std. Error</w:t>
            </w:r>
          </w:p>
        </w:tc>
        <w:tc>
          <w:tcPr>
            <w:tcW w:w="1432" w:type="dxa"/>
            <w:shd w:val="clear" w:color="auto" w:fill="auto"/>
            <w:noWrap/>
            <w:vAlign w:val="bottom"/>
            <w:hideMark/>
          </w:tcPr>
          <w:p w14:paraId="7AC8B8C9" w14:textId="77777777" w:rsidR="00F7044C" w:rsidRPr="00C421E4" w:rsidRDefault="00F7044C" w:rsidP="00804E6B">
            <w:pPr>
              <w:rPr>
                <w:rFonts w:ascii="Times" w:hAnsi="Times"/>
              </w:rPr>
            </w:pPr>
            <w:r w:rsidRPr="00C421E4">
              <w:rPr>
                <w:rFonts w:ascii="Times" w:hAnsi="Times"/>
              </w:rPr>
              <w:t>Beta</w:t>
            </w:r>
          </w:p>
        </w:tc>
        <w:tc>
          <w:tcPr>
            <w:tcW w:w="1432" w:type="dxa"/>
            <w:shd w:val="clear" w:color="auto" w:fill="auto"/>
            <w:noWrap/>
            <w:vAlign w:val="bottom"/>
            <w:hideMark/>
          </w:tcPr>
          <w:p w14:paraId="0165ED7C" w14:textId="77777777" w:rsidR="00F7044C" w:rsidRPr="00C421E4" w:rsidRDefault="00F7044C" w:rsidP="00804E6B">
            <w:pPr>
              <w:rPr>
                <w:rFonts w:ascii="Times" w:hAnsi="Times"/>
              </w:rPr>
            </w:pPr>
            <w:r w:rsidRPr="00C421E4">
              <w:rPr>
                <w:rFonts w:ascii="Times" w:hAnsi="Times"/>
              </w:rPr>
              <w:t>T</w:t>
            </w:r>
          </w:p>
        </w:tc>
        <w:tc>
          <w:tcPr>
            <w:tcW w:w="1432" w:type="dxa"/>
            <w:shd w:val="clear" w:color="auto" w:fill="auto"/>
            <w:noWrap/>
            <w:vAlign w:val="bottom"/>
            <w:hideMark/>
          </w:tcPr>
          <w:p w14:paraId="3E546844" w14:textId="77777777" w:rsidR="00F7044C" w:rsidRPr="00C421E4" w:rsidRDefault="00F7044C" w:rsidP="00804E6B">
            <w:pPr>
              <w:rPr>
                <w:rFonts w:ascii="Times" w:hAnsi="Times"/>
              </w:rPr>
            </w:pPr>
            <w:r w:rsidRPr="00C421E4">
              <w:rPr>
                <w:rFonts w:ascii="Times" w:hAnsi="Times"/>
              </w:rPr>
              <w:t>Sig.</w:t>
            </w:r>
          </w:p>
        </w:tc>
      </w:tr>
      <w:tr w:rsidR="00F7044C" w:rsidRPr="00C421E4" w14:paraId="4E01D1AE" w14:textId="77777777" w:rsidTr="00804E6B">
        <w:trPr>
          <w:trHeight w:val="320"/>
        </w:trPr>
        <w:tc>
          <w:tcPr>
            <w:tcW w:w="8630" w:type="dxa"/>
            <w:gridSpan w:val="6"/>
            <w:shd w:val="clear" w:color="auto" w:fill="auto"/>
            <w:noWrap/>
            <w:vAlign w:val="bottom"/>
            <w:hideMark/>
          </w:tcPr>
          <w:p w14:paraId="37D052B6"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7D3A884E" w14:textId="77777777" w:rsidTr="00804E6B">
        <w:trPr>
          <w:trHeight w:val="320"/>
        </w:trPr>
        <w:tc>
          <w:tcPr>
            <w:tcW w:w="1975" w:type="dxa"/>
            <w:shd w:val="clear" w:color="auto" w:fill="auto"/>
            <w:noWrap/>
            <w:vAlign w:val="bottom"/>
            <w:hideMark/>
          </w:tcPr>
          <w:p w14:paraId="36D5D794" w14:textId="77777777" w:rsidR="00F7044C" w:rsidRPr="00C421E4" w:rsidRDefault="00F7044C" w:rsidP="00804E6B">
            <w:pPr>
              <w:rPr>
                <w:rFonts w:ascii="Times" w:hAnsi="Times"/>
              </w:rPr>
            </w:pPr>
            <w:r w:rsidRPr="00C421E4">
              <w:rPr>
                <w:rFonts w:ascii="Times" w:hAnsi="Times"/>
              </w:rPr>
              <w:t>Valence</w:t>
            </w:r>
          </w:p>
        </w:tc>
        <w:tc>
          <w:tcPr>
            <w:tcW w:w="1080" w:type="dxa"/>
            <w:shd w:val="clear" w:color="auto" w:fill="auto"/>
            <w:noWrap/>
            <w:vAlign w:val="bottom"/>
            <w:hideMark/>
          </w:tcPr>
          <w:p w14:paraId="44BC1AAA" w14:textId="77777777" w:rsidR="00F7044C" w:rsidRPr="00C421E4" w:rsidRDefault="00F7044C" w:rsidP="00804E6B">
            <w:pPr>
              <w:jc w:val="right"/>
              <w:rPr>
                <w:rFonts w:ascii="Times" w:hAnsi="Times"/>
              </w:rPr>
            </w:pPr>
            <w:r w:rsidRPr="00C421E4">
              <w:rPr>
                <w:rFonts w:ascii="Times" w:hAnsi="Times"/>
              </w:rPr>
              <w:t>3.408</w:t>
            </w:r>
          </w:p>
        </w:tc>
        <w:tc>
          <w:tcPr>
            <w:tcW w:w="1279" w:type="dxa"/>
            <w:shd w:val="clear" w:color="auto" w:fill="auto"/>
            <w:noWrap/>
            <w:vAlign w:val="bottom"/>
            <w:hideMark/>
          </w:tcPr>
          <w:p w14:paraId="7F57B3AF" w14:textId="77777777" w:rsidR="00F7044C" w:rsidRPr="00C421E4" w:rsidRDefault="00F7044C" w:rsidP="00804E6B">
            <w:pPr>
              <w:jc w:val="right"/>
              <w:rPr>
                <w:rFonts w:ascii="Times" w:hAnsi="Times"/>
              </w:rPr>
            </w:pPr>
            <w:r w:rsidRPr="00C421E4">
              <w:rPr>
                <w:rFonts w:ascii="Times" w:hAnsi="Times"/>
              </w:rPr>
              <w:t>4.453</w:t>
            </w:r>
          </w:p>
        </w:tc>
        <w:tc>
          <w:tcPr>
            <w:tcW w:w="1432" w:type="dxa"/>
            <w:shd w:val="clear" w:color="auto" w:fill="auto"/>
            <w:noWrap/>
            <w:vAlign w:val="bottom"/>
            <w:hideMark/>
          </w:tcPr>
          <w:p w14:paraId="62954F29" w14:textId="77777777" w:rsidR="00F7044C" w:rsidRPr="00C421E4" w:rsidRDefault="00F7044C" w:rsidP="00804E6B">
            <w:pPr>
              <w:jc w:val="right"/>
              <w:rPr>
                <w:rFonts w:ascii="Times" w:hAnsi="Times"/>
              </w:rPr>
            </w:pPr>
            <w:r w:rsidRPr="00C421E4">
              <w:rPr>
                <w:rFonts w:ascii="Times" w:hAnsi="Times"/>
              </w:rPr>
              <w:t>0.285</w:t>
            </w:r>
          </w:p>
        </w:tc>
        <w:tc>
          <w:tcPr>
            <w:tcW w:w="1432" w:type="dxa"/>
            <w:shd w:val="clear" w:color="auto" w:fill="auto"/>
            <w:noWrap/>
            <w:vAlign w:val="bottom"/>
            <w:hideMark/>
          </w:tcPr>
          <w:p w14:paraId="150ACB36" w14:textId="77777777" w:rsidR="00F7044C" w:rsidRPr="00C421E4" w:rsidRDefault="00F7044C" w:rsidP="00804E6B">
            <w:pPr>
              <w:jc w:val="right"/>
              <w:rPr>
                <w:rFonts w:ascii="Times" w:hAnsi="Times"/>
              </w:rPr>
            </w:pPr>
            <w:r w:rsidRPr="00C421E4">
              <w:rPr>
                <w:rFonts w:ascii="Times" w:hAnsi="Times"/>
              </w:rPr>
              <w:t>0.765</w:t>
            </w:r>
          </w:p>
        </w:tc>
        <w:tc>
          <w:tcPr>
            <w:tcW w:w="1432" w:type="dxa"/>
            <w:shd w:val="clear" w:color="auto" w:fill="auto"/>
            <w:noWrap/>
            <w:vAlign w:val="bottom"/>
            <w:hideMark/>
          </w:tcPr>
          <w:p w14:paraId="5A229EFF" w14:textId="77777777" w:rsidR="00F7044C" w:rsidRPr="00C421E4" w:rsidRDefault="00F7044C" w:rsidP="00804E6B">
            <w:pPr>
              <w:jc w:val="right"/>
              <w:rPr>
                <w:rFonts w:ascii="Times" w:hAnsi="Times"/>
              </w:rPr>
            </w:pPr>
            <w:r w:rsidRPr="00C421E4">
              <w:rPr>
                <w:rFonts w:ascii="Times" w:hAnsi="Times"/>
              </w:rPr>
              <w:t>0.446</w:t>
            </w:r>
          </w:p>
        </w:tc>
      </w:tr>
      <w:tr w:rsidR="00F7044C" w:rsidRPr="00C421E4" w14:paraId="39DE4F1D" w14:textId="77777777" w:rsidTr="00804E6B">
        <w:trPr>
          <w:trHeight w:val="320"/>
        </w:trPr>
        <w:tc>
          <w:tcPr>
            <w:tcW w:w="1975" w:type="dxa"/>
            <w:shd w:val="clear" w:color="auto" w:fill="auto"/>
            <w:noWrap/>
            <w:vAlign w:val="bottom"/>
            <w:hideMark/>
          </w:tcPr>
          <w:p w14:paraId="498C1936" w14:textId="77777777" w:rsidR="00F7044C" w:rsidRPr="00C421E4" w:rsidRDefault="00F7044C" w:rsidP="00804E6B">
            <w:pPr>
              <w:rPr>
                <w:rFonts w:ascii="Times" w:hAnsi="Times"/>
              </w:rPr>
            </w:pPr>
            <w:r w:rsidRPr="00C421E4">
              <w:rPr>
                <w:rFonts w:ascii="Times" w:hAnsi="Times"/>
              </w:rPr>
              <w:t>Arousal</w:t>
            </w:r>
          </w:p>
        </w:tc>
        <w:tc>
          <w:tcPr>
            <w:tcW w:w="1080" w:type="dxa"/>
            <w:shd w:val="clear" w:color="auto" w:fill="auto"/>
            <w:noWrap/>
            <w:vAlign w:val="bottom"/>
            <w:hideMark/>
          </w:tcPr>
          <w:p w14:paraId="1EB016A5" w14:textId="77777777" w:rsidR="00F7044C" w:rsidRPr="00C421E4" w:rsidRDefault="00F7044C" w:rsidP="00804E6B">
            <w:pPr>
              <w:jc w:val="right"/>
              <w:rPr>
                <w:rFonts w:ascii="Times" w:hAnsi="Times"/>
              </w:rPr>
            </w:pPr>
            <w:r w:rsidRPr="00C421E4">
              <w:rPr>
                <w:rFonts w:ascii="Times" w:hAnsi="Times"/>
              </w:rPr>
              <w:t>3.589</w:t>
            </w:r>
          </w:p>
        </w:tc>
        <w:tc>
          <w:tcPr>
            <w:tcW w:w="1279" w:type="dxa"/>
            <w:shd w:val="clear" w:color="auto" w:fill="auto"/>
            <w:noWrap/>
            <w:vAlign w:val="bottom"/>
            <w:hideMark/>
          </w:tcPr>
          <w:p w14:paraId="64616C3D" w14:textId="77777777" w:rsidR="00F7044C" w:rsidRPr="00C421E4" w:rsidRDefault="00F7044C" w:rsidP="00804E6B">
            <w:pPr>
              <w:jc w:val="right"/>
              <w:rPr>
                <w:rFonts w:ascii="Times" w:hAnsi="Times"/>
              </w:rPr>
            </w:pPr>
            <w:r w:rsidRPr="00C421E4">
              <w:rPr>
                <w:rFonts w:ascii="Times" w:hAnsi="Times"/>
              </w:rPr>
              <w:t>2.519</w:t>
            </w:r>
          </w:p>
        </w:tc>
        <w:tc>
          <w:tcPr>
            <w:tcW w:w="1432" w:type="dxa"/>
            <w:shd w:val="clear" w:color="auto" w:fill="auto"/>
            <w:noWrap/>
            <w:vAlign w:val="bottom"/>
            <w:hideMark/>
          </w:tcPr>
          <w:p w14:paraId="08825820" w14:textId="77777777" w:rsidR="00F7044C" w:rsidRPr="00C421E4" w:rsidRDefault="00F7044C" w:rsidP="00804E6B">
            <w:pPr>
              <w:jc w:val="right"/>
              <w:rPr>
                <w:rFonts w:ascii="Times" w:hAnsi="Times"/>
              </w:rPr>
            </w:pPr>
            <w:r w:rsidRPr="00C421E4">
              <w:rPr>
                <w:rFonts w:ascii="Times" w:hAnsi="Times"/>
              </w:rPr>
              <w:t>0.569</w:t>
            </w:r>
          </w:p>
        </w:tc>
        <w:tc>
          <w:tcPr>
            <w:tcW w:w="1432" w:type="dxa"/>
            <w:shd w:val="clear" w:color="auto" w:fill="auto"/>
            <w:noWrap/>
            <w:vAlign w:val="bottom"/>
            <w:hideMark/>
          </w:tcPr>
          <w:p w14:paraId="0B7B6FB0" w14:textId="77777777" w:rsidR="00F7044C" w:rsidRPr="00C421E4" w:rsidRDefault="00F7044C" w:rsidP="00804E6B">
            <w:pPr>
              <w:jc w:val="right"/>
              <w:rPr>
                <w:rFonts w:ascii="Times" w:hAnsi="Times"/>
              </w:rPr>
            </w:pPr>
            <w:r w:rsidRPr="00C421E4">
              <w:rPr>
                <w:rFonts w:ascii="Times" w:hAnsi="Times"/>
              </w:rPr>
              <w:t>1.425</w:t>
            </w:r>
          </w:p>
        </w:tc>
        <w:tc>
          <w:tcPr>
            <w:tcW w:w="1432" w:type="dxa"/>
            <w:shd w:val="clear" w:color="auto" w:fill="auto"/>
            <w:noWrap/>
            <w:vAlign w:val="bottom"/>
            <w:hideMark/>
          </w:tcPr>
          <w:p w14:paraId="19785EEC" w14:textId="77777777" w:rsidR="00F7044C" w:rsidRPr="00C421E4" w:rsidRDefault="00F7044C" w:rsidP="00804E6B">
            <w:pPr>
              <w:jc w:val="right"/>
              <w:rPr>
                <w:rFonts w:ascii="Times" w:hAnsi="Times"/>
              </w:rPr>
            </w:pPr>
            <w:r w:rsidRPr="00C421E4">
              <w:rPr>
                <w:rFonts w:ascii="Times" w:hAnsi="Times"/>
              </w:rPr>
              <w:t>0.158</w:t>
            </w:r>
          </w:p>
        </w:tc>
      </w:tr>
      <w:tr w:rsidR="00F7044C" w:rsidRPr="00C421E4" w14:paraId="79092981" w14:textId="77777777" w:rsidTr="00804E6B">
        <w:trPr>
          <w:trHeight w:val="320"/>
        </w:trPr>
        <w:tc>
          <w:tcPr>
            <w:tcW w:w="1975" w:type="dxa"/>
            <w:shd w:val="clear" w:color="auto" w:fill="auto"/>
            <w:noWrap/>
            <w:vAlign w:val="bottom"/>
            <w:hideMark/>
          </w:tcPr>
          <w:p w14:paraId="208DDB09" w14:textId="77777777" w:rsidR="00F7044C" w:rsidRPr="00C421E4" w:rsidRDefault="00F7044C" w:rsidP="00804E6B">
            <w:pPr>
              <w:rPr>
                <w:rFonts w:ascii="Times" w:hAnsi="Times"/>
              </w:rPr>
            </w:pPr>
            <w:r w:rsidRPr="00C421E4">
              <w:rPr>
                <w:rFonts w:ascii="Times" w:hAnsi="Times"/>
              </w:rPr>
              <w:t>Skin conductance</w:t>
            </w:r>
          </w:p>
        </w:tc>
        <w:tc>
          <w:tcPr>
            <w:tcW w:w="1080" w:type="dxa"/>
            <w:shd w:val="clear" w:color="auto" w:fill="auto"/>
            <w:noWrap/>
            <w:vAlign w:val="bottom"/>
            <w:hideMark/>
          </w:tcPr>
          <w:p w14:paraId="7D18B764" w14:textId="77777777" w:rsidR="00F7044C" w:rsidRPr="00C421E4" w:rsidRDefault="00F7044C" w:rsidP="00804E6B">
            <w:pPr>
              <w:jc w:val="right"/>
              <w:rPr>
                <w:rFonts w:ascii="Times" w:hAnsi="Times"/>
              </w:rPr>
            </w:pPr>
            <w:r w:rsidRPr="00C421E4">
              <w:rPr>
                <w:rFonts w:ascii="Times" w:hAnsi="Times"/>
              </w:rPr>
              <w:t>-0.531</w:t>
            </w:r>
          </w:p>
        </w:tc>
        <w:tc>
          <w:tcPr>
            <w:tcW w:w="1279" w:type="dxa"/>
            <w:shd w:val="clear" w:color="auto" w:fill="auto"/>
            <w:noWrap/>
            <w:vAlign w:val="bottom"/>
            <w:hideMark/>
          </w:tcPr>
          <w:p w14:paraId="38407057" w14:textId="77777777" w:rsidR="00F7044C" w:rsidRPr="00C421E4" w:rsidRDefault="00F7044C" w:rsidP="00804E6B">
            <w:pPr>
              <w:jc w:val="right"/>
              <w:rPr>
                <w:rFonts w:ascii="Times" w:hAnsi="Times"/>
              </w:rPr>
            </w:pPr>
            <w:r w:rsidRPr="00C421E4">
              <w:rPr>
                <w:rFonts w:ascii="Times" w:hAnsi="Times"/>
              </w:rPr>
              <w:t>7.579</w:t>
            </w:r>
          </w:p>
        </w:tc>
        <w:tc>
          <w:tcPr>
            <w:tcW w:w="1432" w:type="dxa"/>
            <w:shd w:val="clear" w:color="auto" w:fill="auto"/>
            <w:noWrap/>
            <w:vAlign w:val="bottom"/>
            <w:hideMark/>
          </w:tcPr>
          <w:p w14:paraId="1B227A92" w14:textId="77777777" w:rsidR="00F7044C" w:rsidRPr="00C421E4" w:rsidRDefault="00F7044C" w:rsidP="00804E6B">
            <w:pPr>
              <w:jc w:val="right"/>
              <w:rPr>
                <w:rFonts w:ascii="Times" w:hAnsi="Times"/>
              </w:rPr>
            </w:pPr>
            <w:r w:rsidRPr="00C421E4">
              <w:rPr>
                <w:rFonts w:ascii="Times" w:hAnsi="Times"/>
              </w:rPr>
              <w:t>-0.007</w:t>
            </w:r>
          </w:p>
        </w:tc>
        <w:tc>
          <w:tcPr>
            <w:tcW w:w="1432" w:type="dxa"/>
            <w:shd w:val="clear" w:color="auto" w:fill="auto"/>
            <w:noWrap/>
            <w:vAlign w:val="bottom"/>
            <w:hideMark/>
          </w:tcPr>
          <w:p w14:paraId="14C4F906" w14:textId="77777777" w:rsidR="00F7044C" w:rsidRPr="00C421E4" w:rsidRDefault="00F7044C" w:rsidP="00804E6B">
            <w:pPr>
              <w:jc w:val="right"/>
              <w:rPr>
                <w:rFonts w:ascii="Times" w:hAnsi="Times"/>
              </w:rPr>
            </w:pPr>
            <w:r w:rsidRPr="00C421E4">
              <w:rPr>
                <w:rFonts w:ascii="Times" w:hAnsi="Times"/>
              </w:rPr>
              <w:t>-0.07</w:t>
            </w:r>
          </w:p>
        </w:tc>
        <w:tc>
          <w:tcPr>
            <w:tcW w:w="1432" w:type="dxa"/>
            <w:shd w:val="clear" w:color="auto" w:fill="auto"/>
            <w:noWrap/>
            <w:vAlign w:val="bottom"/>
            <w:hideMark/>
          </w:tcPr>
          <w:p w14:paraId="639227AE" w14:textId="77777777" w:rsidR="00F7044C" w:rsidRPr="00C421E4" w:rsidRDefault="00F7044C" w:rsidP="00804E6B">
            <w:pPr>
              <w:jc w:val="right"/>
              <w:rPr>
                <w:rFonts w:ascii="Times" w:hAnsi="Times"/>
              </w:rPr>
            </w:pPr>
            <w:r w:rsidRPr="00C421E4">
              <w:rPr>
                <w:rFonts w:ascii="Times" w:hAnsi="Times"/>
              </w:rPr>
              <w:t>0.944</w:t>
            </w:r>
          </w:p>
        </w:tc>
      </w:tr>
      <w:tr w:rsidR="00F7044C" w:rsidRPr="00C421E4" w14:paraId="51E6A6D4" w14:textId="77777777" w:rsidTr="00804E6B">
        <w:trPr>
          <w:trHeight w:val="320"/>
        </w:trPr>
        <w:tc>
          <w:tcPr>
            <w:tcW w:w="1975" w:type="dxa"/>
            <w:shd w:val="clear" w:color="auto" w:fill="auto"/>
            <w:noWrap/>
            <w:vAlign w:val="bottom"/>
            <w:hideMark/>
          </w:tcPr>
          <w:p w14:paraId="6F8A3E42" w14:textId="77777777" w:rsidR="00F7044C" w:rsidRPr="00C421E4" w:rsidRDefault="00F7044C" w:rsidP="00804E6B">
            <w:pPr>
              <w:rPr>
                <w:rFonts w:ascii="Times" w:hAnsi="Times"/>
              </w:rPr>
            </w:pPr>
            <w:r w:rsidRPr="00C421E4">
              <w:rPr>
                <w:rFonts w:ascii="Times" w:hAnsi="Times"/>
              </w:rPr>
              <w:t>Corrugator tone</w:t>
            </w:r>
          </w:p>
        </w:tc>
        <w:tc>
          <w:tcPr>
            <w:tcW w:w="1080" w:type="dxa"/>
            <w:shd w:val="clear" w:color="auto" w:fill="auto"/>
            <w:noWrap/>
            <w:vAlign w:val="bottom"/>
            <w:hideMark/>
          </w:tcPr>
          <w:p w14:paraId="258368AF" w14:textId="77777777" w:rsidR="00F7044C" w:rsidRPr="00C421E4" w:rsidRDefault="00F7044C" w:rsidP="00804E6B">
            <w:pPr>
              <w:jc w:val="right"/>
              <w:rPr>
                <w:rFonts w:ascii="Times" w:hAnsi="Times"/>
              </w:rPr>
            </w:pPr>
            <w:r w:rsidRPr="00C421E4">
              <w:rPr>
                <w:rFonts w:ascii="Times" w:hAnsi="Times"/>
              </w:rPr>
              <w:t>-0.393</w:t>
            </w:r>
          </w:p>
        </w:tc>
        <w:tc>
          <w:tcPr>
            <w:tcW w:w="1279" w:type="dxa"/>
            <w:shd w:val="clear" w:color="auto" w:fill="auto"/>
            <w:noWrap/>
            <w:vAlign w:val="bottom"/>
            <w:hideMark/>
          </w:tcPr>
          <w:p w14:paraId="3D53BB0B" w14:textId="77777777" w:rsidR="00F7044C" w:rsidRPr="00C421E4" w:rsidRDefault="00F7044C" w:rsidP="00804E6B">
            <w:pPr>
              <w:jc w:val="right"/>
              <w:rPr>
                <w:rFonts w:ascii="Times" w:hAnsi="Times"/>
              </w:rPr>
            </w:pPr>
            <w:r w:rsidRPr="00C421E4">
              <w:rPr>
                <w:rFonts w:ascii="Times" w:hAnsi="Times"/>
              </w:rPr>
              <w:t>4.105</w:t>
            </w:r>
          </w:p>
        </w:tc>
        <w:tc>
          <w:tcPr>
            <w:tcW w:w="1432" w:type="dxa"/>
            <w:shd w:val="clear" w:color="auto" w:fill="auto"/>
            <w:noWrap/>
            <w:vAlign w:val="bottom"/>
            <w:hideMark/>
          </w:tcPr>
          <w:p w14:paraId="503B7B0C" w14:textId="77777777" w:rsidR="00F7044C" w:rsidRPr="00C421E4" w:rsidRDefault="00F7044C" w:rsidP="00804E6B">
            <w:pPr>
              <w:jc w:val="right"/>
              <w:rPr>
                <w:rFonts w:ascii="Times" w:hAnsi="Times"/>
              </w:rPr>
            </w:pPr>
            <w:r w:rsidRPr="00C421E4">
              <w:rPr>
                <w:rFonts w:ascii="Times" w:hAnsi="Times"/>
              </w:rPr>
              <w:t>-0.033</w:t>
            </w:r>
          </w:p>
        </w:tc>
        <w:tc>
          <w:tcPr>
            <w:tcW w:w="1432" w:type="dxa"/>
            <w:shd w:val="clear" w:color="auto" w:fill="auto"/>
            <w:noWrap/>
            <w:vAlign w:val="bottom"/>
            <w:hideMark/>
          </w:tcPr>
          <w:p w14:paraId="14EC6456" w14:textId="77777777" w:rsidR="00F7044C" w:rsidRPr="00C421E4" w:rsidRDefault="00F7044C" w:rsidP="00804E6B">
            <w:pPr>
              <w:jc w:val="right"/>
              <w:rPr>
                <w:rFonts w:ascii="Times" w:hAnsi="Times"/>
              </w:rPr>
            </w:pPr>
            <w:r w:rsidRPr="00C421E4">
              <w:rPr>
                <w:rFonts w:ascii="Times" w:hAnsi="Times"/>
              </w:rPr>
              <w:t>-0.096</w:t>
            </w:r>
          </w:p>
        </w:tc>
        <w:tc>
          <w:tcPr>
            <w:tcW w:w="1432" w:type="dxa"/>
            <w:shd w:val="clear" w:color="auto" w:fill="auto"/>
            <w:noWrap/>
            <w:vAlign w:val="bottom"/>
            <w:hideMark/>
          </w:tcPr>
          <w:p w14:paraId="4BD1FD13" w14:textId="77777777" w:rsidR="00F7044C" w:rsidRPr="00C421E4" w:rsidRDefault="00F7044C" w:rsidP="00804E6B">
            <w:pPr>
              <w:jc w:val="right"/>
              <w:rPr>
                <w:rFonts w:ascii="Times" w:hAnsi="Times"/>
              </w:rPr>
            </w:pPr>
            <w:r w:rsidRPr="00C421E4">
              <w:rPr>
                <w:rFonts w:ascii="Times" w:hAnsi="Times"/>
              </w:rPr>
              <w:t>0.924</w:t>
            </w:r>
          </w:p>
        </w:tc>
      </w:tr>
      <w:tr w:rsidR="00F7044C" w:rsidRPr="00C421E4" w14:paraId="6DFA8EAF" w14:textId="77777777" w:rsidTr="00804E6B">
        <w:trPr>
          <w:trHeight w:val="320"/>
        </w:trPr>
        <w:tc>
          <w:tcPr>
            <w:tcW w:w="1975" w:type="dxa"/>
            <w:shd w:val="clear" w:color="auto" w:fill="auto"/>
            <w:noWrap/>
            <w:vAlign w:val="bottom"/>
            <w:hideMark/>
          </w:tcPr>
          <w:p w14:paraId="189B068F" w14:textId="77777777" w:rsidR="00F7044C" w:rsidRPr="00C421E4" w:rsidRDefault="00F7044C" w:rsidP="00804E6B">
            <w:pPr>
              <w:rPr>
                <w:rFonts w:ascii="Times" w:hAnsi="Times"/>
              </w:rPr>
            </w:pPr>
            <w:r w:rsidRPr="00C421E4">
              <w:rPr>
                <w:rFonts w:ascii="Times" w:hAnsi="Times"/>
              </w:rPr>
              <w:t>Heart rate</w:t>
            </w:r>
          </w:p>
        </w:tc>
        <w:tc>
          <w:tcPr>
            <w:tcW w:w="1080" w:type="dxa"/>
            <w:shd w:val="clear" w:color="auto" w:fill="auto"/>
            <w:noWrap/>
            <w:vAlign w:val="bottom"/>
            <w:hideMark/>
          </w:tcPr>
          <w:p w14:paraId="0E5752E0" w14:textId="77777777" w:rsidR="00F7044C" w:rsidRPr="00C421E4" w:rsidRDefault="00F7044C" w:rsidP="00804E6B">
            <w:pPr>
              <w:jc w:val="right"/>
              <w:rPr>
                <w:rFonts w:ascii="Times" w:hAnsi="Times"/>
              </w:rPr>
            </w:pPr>
            <w:r w:rsidRPr="00C421E4">
              <w:rPr>
                <w:rFonts w:ascii="Times" w:hAnsi="Times"/>
              </w:rPr>
              <w:t>0.158</w:t>
            </w:r>
          </w:p>
        </w:tc>
        <w:tc>
          <w:tcPr>
            <w:tcW w:w="1279" w:type="dxa"/>
            <w:shd w:val="clear" w:color="auto" w:fill="auto"/>
            <w:noWrap/>
            <w:vAlign w:val="bottom"/>
            <w:hideMark/>
          </w:tcPr>
          <w:p w14:paraId="47131452" w14:textId="77777777" w:rsidR="00F7044C" w:rsidRPr="00C421E4" w:rsidRDefault="00F7044C" w:rsidP="00804E6B">
            <w:pPr>
              <w:jc w:val="right"/>
              <w:rPr>
                <w:rFonts w:ascii="Times" w:hAnsi="Times"/>
              </w:rPr>
            </w:pPr>
            <w:r w:rsidRPr="00C421E4">
              <w:rPr>
                <w:rFonts w:ascii="Times" w:hAnsi="Times"/>
              </w:rPr>
              <w:t>0.68</w:t>
            </w:r>
          </w:p>
        </w:tc>
        <w:tc>
          <w:tcPr>
            <w:tcW w:w="1432" w:type="dxa"/>
            <w:shd w:val="clear" w:color="auto" w:fill="auto"/>
            <w:noWrap/>
            <w:vAlign w:val="bottom"/>
            <w:hideMark/>
          </w:tcPr>
          <w:p w14:paraId="41FF696D" w14:textId="77777777" w:rsidR="00F7044C" w:rsidRPr="00C421E4" w:rsidRDefault="00F7044C" w:rsidP="00804E6B">
            <w:pPr>
              <w:jc w:val="right"/>
              <w:rPr>
                <w:rFonts w:ascii="Times" w:hAnsi="Times"/>
              </w:rPr>
            </w:pPr>
            <w:r w:rsidRPr="00C421E4">
              <w:rPr>
                <w:rFonts w:ascii="Times" w:hAnsi="Times"/>
              </w:rPr>
              <w:t>0.042</w:t>
            </w:r>
          </w:p>
        </w:tc>
        <w:tc>
          <w:tcPr>
            <w:tcW w:w="1432" w:type="dxa"/>
            <w:shd w:val="clear" w:color="auto" w:fill="auto"/>
            <w:noWrap/>
            <w:vAlign w:val="bottom"/>
            <w:hideMark/>
          </w:tcPr>
          <w:p w14:paraId="7E7C5A0E" w14:textId="77777777" w:rsidR="00F7044C" w:rsidRPr="00C421E4" w:rsidRDefault="00F7044C" w:rsidP="00804E6B">
            <w:pPr>
              <w:jc w:val="right"/>
              <w:rPr>
                <w:rFonts w:ascii="Times" w:hAnsi="Times"/>
              </w:rPr>
            </w:pPr>
            <w:r w:rsidRPr="00C421E4">
              <w:rPr>
                <w:rFonts w:ascii="Times" w:hAnsi="Times"/>
              </w:rPr>
              <w:t>0.232</w:t>
            </w:r>
          </w:p>
        </w:tc>
        <w:tc>
          <w:tcPr>
            <w:tcW w:w="1432" w:type="dxa"/>
            <w:shd w:val="clear" w:color="auto" w:fill="auto"/>
            <w:noWrap/>
            <w:vAlign w:val="bottom"/>
            <w:hideMark/>
          </w:tcPr>
          <w:p w14:paraId="0397B4AA" w14:textId="77777777" w:rsidR="00F7044C" w:rsidRPr="00C421E4" w:rsidRDefault="00F7044C" w:rsidP="00804E6B">
            <w:pPr>
              <w:jc w:val="right"/>
              <w:rPr>
                <w:rFonts w:ascii="Times" w:hAnsi="Times"/>
              </w:rPr>
            </w:pPr>
            <w:r w:rsidRPr="00C421E4">
              <w:rPr>
                <w:rFonts w:ascii="Times" w:hAnsi="Times"/>
              </w:rPr>
              <w:t>0.817</w:t>
            </w:r>
          </w:p>
        </w:tc>
      </w:tr>
      <w:tr w:rsidR="00F7044C" w:rsidRPr="00C421E4" w14:paraId="0F33D0B4" w14:textId="77777777" w:rsidTr="00804E6B">
        <w:trPr>
          <w:trHeight w:val="320"/>
        </w:trPr>
        <w:tc>
          <w:tcPr>
            <w:tcW w:w="8630" w:type="dxa"/>
            <w:gridSpan w:val="6"/>
            <w:shd w:val="clear" w:color="auto" w:fill="auto"/>
            <w:noWrap/>
            <w:vAlign w:val="bottom"/>
            <w:hideMark/>
          </w:tcPr>
          <w:p w14:paraId="4040C0DE"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6B15B6E2" w14:textId="77777777" w:rsidTr="00804E6B">
        <w:trPr>
          <w:trHeight w:val="320"/>
        </w:trPr>
        <w:tc>
          <w:tcPr>
            <w:tcW w:w="1975" w:type="dxa"/>
            <w:shd w:val="clear" w:color="auto" w:fill="auto"/>
            <w:noWrap/>
            <w:vAlign w:val="bottom"/>
            <w:hideMark/>
          </w:tcPr>
          <w:p w14:paraId="51DA4AE1" w14:textId="77777777" w:rsidR="00F7044C" w:rsidRPr="00C421E4" w:rsidRDefault="00F7044C" w:rsidP="00804E6B">
            <w:pPr>
              <w:rPr>
                <w:rFonts w:ascii="Times" w:hAnsi="Times"/>
              </w:rPr>
            </w:pPr>
            <w:r w:rsidRPr="00C421E4">
              <w:rPr>
                <w:rFonts w:ascii="Times" w:hAnsi="Times"/>
              </w:rPr>
              <w:t>Valence</w:t>
            </w:r>
          </w:p>
        </w:tc>
        <w:tc>
          <w:tcPr>
            <w:tcW w:w="1080" w:type="dxa"/>
            <w:shd w:val="clear" w:color="auto" w:fill="auto"/>
            <w:noWrap/>
            <w:vAlign w:val="bottom"/>
            <w:hideMark/>
          </w:tcPr>
          <w:p w14:paraId="3E776A23" w14:textId="77777777" w:rsidR="00F7044C" w:rsidRPr="00C421E4" w:rsidRDefault="00F7044C" w:rsidP="00804E6B">
            <w:pPr>
              <w:jc w:val="right"/>
              <w:rPr>
                <w:rFonts w:ascii="Times" w:hAnsi="Times"/>
              </w:rPr>
            </w:pPr>
            <w:r w:rsidRPr="00C421E4">
              <w:rPr>
                <w:rFonts w:ascii="Times" w:hAnsi="Times"/>
              </w:rPr>
              <w:t>-0.688</w:t>
            </w:r>
          </w:p>
        </w:tc>
        <w:tc>
          <w:tcPr>
            <w:tcW w:w="1279" w:type="dxa"/>
            <w:shd w:val="clear" w:color="auto" w:fill="auto"/>
            <w:noWrap/>
            <w:vAlign w:val="bottom"/>
            <w:hideMark/>
          </w:tcPr>
          <w:p w14:paraId="062F96BD" w14:textId="77777777" w:rsidR="00F7044C" w:rsidRPr="00C421E4" w:rsidRDefault="00F7044C" w:rsidP="00804E6B">
            <w:pPr>
              <w:jc w:val="right"/>
              <w:rPr>
                <w:rFonts w:ascii="Times" w:hAnsi="Times"/>
              </w:rPr>
            </w:pPr>
            <w:r w:rsidRPr="00C421E4">
              <w:rPr>
                <w:rFonts w:ascii="Times" w:hAnsi="Times"/>
              </w:rPr>
              <w:t>4.892</w:t>
            </w:r>
          </w:p>
        </w:tc>
        <w:tc>
          <w:tcPr>
            <w:tcW w:w="1432" w:type="dxa"/>
            <w:shd w:val="clear" w:color="auto" w:fill="auto"/>
            <w:noWrap/>
            <w:vAlign w:val="bottom"/>
            <w:hideMark/>
          </w:tcPr>
          <w:p w14:paraId="6AB671DA" w14:textId="77777777" w:rsidR="00F7044C" w:rsidRPr="00C421E4" w:rsidRDefault="00F7044C" w:rsidP="00804E6B">
            <w:pPr>
              <w:jc w:val="right"/>
              <w:rPr>
                <w:rFonts w:ascii="Times" w:hAnsi="Times"/>
              </w:rPr>
            </w:pPr>
            <w:r w:rsidRPr="00C421E4">
              <w:rPr>
                <w:rFonts w:ascii="Times" w:hAnsi="Times"/>
              </w:rPr>
              <w:t>-0.118</w:t>
            </w:r>
          </w:p>
        </w:tc>
        <w:tc>
          <w:tcPr>
            <w:tcW w:w="1432" w:type="dxa"/>
            <w:shd w:val="clear" w:color="auto" w:fill="auto"/>
            <w:noWrap/>
            <w:vAlign w:val="bottom"/>
            <w:hideMark/>
          </w:tcPr>
          <w:p w14:paraId="743AA3F0" w14:textId="77777777" w:rsidR="00F7044C" w:rsidRPr="00C421E4" w:rsidRDefault="00F7044C" w:rsidP="00804E6B">
            <w:pPr>
              <w:jc w:val="right"/>
              <w:rPr>
                <w:rFonts w:ascii="Times" w:hAnsi="Times"/>
              </w:rPr>
            </w:pPr>
            <w:r w:rsidRPr="00C421E4">
              <w:rPr>
                <w:rFonts w:ascii="Times" w:hAnsi="Times"/>
              </w:rPr>
              <w:t>-0.141</w:t>
            </w:r>
          </w:p>
        </w:tc>
        <w:tc>
          <w:tcPr>
            <w:tcW w:w="1432" w:type="dxa"/>
            <w:shd w:val="clear" w:color="auto" w:fill="auto"/>
            <w:noWrap/>
            <w:vAlign w:val="bottom"/>
            <w:hideMark/>
          </w:tcPr>
          <w:p w14:paraId="08B03609" w14:textId="77777777" w:rsidR="00F7044C" w:rsidRPr="00C421E4" w:rsidRDefault="00F7044C" w:rsidP="00804E6B">
            <w:pPr>
              <w:jc w:val="right"/>
              <w:rPr>
                <w:rFonts w:ascii="Times" w:hAnsi="Times"/>
              </w:rPr>
            </w:pPr>
            <w:r w:rsidRPr="00C421E4">
              <w:rPr>
                <w:rFonts w:ascii="Times" w:hAnsi="Times"/>
              </w:rPr>
              <w:t>0.888</w:t>
            </w:r>
          </w:p>
        </w:tc>
      </w:tr>
      <w:tr w:rsidR="00F7044C" w:rsidRPr="00C421E4" w14:paraId="48D38D9E" w14:textId="77777777" w:rsidTr="00804E6B">
        <w:trPr>
          <w:trHeight w:val="320"/>
        </w:trPr>
        <w:tc>
          <w:tcPr>
            <w:tcW w:w="1975" w:type="dxa"/>
            <w:shd w:val="clear" w:color="auto" w:fill="auto"/>
            <w:noWrap/>
            <w:vAlign w:val="bottom"/>
            <w:hideMark/>
          </w:tcPr>
          <w:p w14:paraId="3B15DE1C" w14:textId="77777777" w:rsidR="00F7044C" w:rsidRPr="00C421E4" w:rsidRDefault="00F7044C" w:rsidP="00804E6B">
            <w:pPr>
              <w:rPr>
                <w:rFonts w:ascii="Times" w:hAnsi="Times"/>
              </w:rPr>
            </w:pPr>
            <w:r w:rsidRPr="00C421E4">
              <w:rPr>
                <w:rFonts w:ascii="Times" w:hAnsi="Times"/>
              </w:rPr>
              <w:t>Arousal</w:t>
            </w:r>
          </w:p>
        </w:tc>
        <w:tc>
          <w:tcPr>
            <w:tcW w:w="1080" w:type="dxa"/>
            <w:shd w:val="clear" w:color="auto" w:fill="auto"/>
            <w:noWrap/>
            <w:vAlign w:val="bottom"/>
            <w:hideMark/>
          </w:tcPr>
          <w:p w14:paraId="50F6A220" w14:textId="77777777" w:rsidR="00F7044C" w:rsidRPr="00C421E4" w:rsidRDefault="00F7044C" w:rsidP="00804E6B">
            <w:pPr>
              <w:jc w:val="right"/>
              <w:rPr>
                <w:rFonts w:ascii="Times" w:hAnsi="Times"/>
              </w:rPr>
            </w:pPr>
            <w:r w:rsidRPr="00C421E4">
              <w:rPr>
                <w:rFonts w:ascii="Times" w:hAnsi="Times"/>
              </w:rPr>
              <w:t>0.495</w:t>
            </w:r>
          </w:p>
        </w:tc>
        <w:tc>
          <w:tcPr>
            <w:tcW w:w="1279" w:type="dxa"/>
            <w:shd w:val="clear" w:color="auto" w:fill="auto"/>
            <w:noWrap/>
            <w:vAlign w:val="bottom"/>
            <w:hideMark/>
          </w:tcPr>
          <w:p w14:paraId="20B68A2E" w14:textId="77777777" w:rsidR="00F7044C" w:rsidRPr="00C421E4" w:rsidRDefault="00F7044C" w:rsidP="00804E6B">
            <w:pPr>
              <w:jc w:val="right"/>
              <w:rPr>
                <w:rFonts w:ascii="Times" w:hAnsi="Times"/>
              </w:rPr>
            </w:pPr>
            <w:r w:rsidRPr="00C421E4">
              <w:rPr>
                <w:rFonts w:ascii="Times" w:hAnsi="Times"/>
              </w:rPr>
              <w:t>2.138</w:t>
            </w:r>
          </w:p>
        </w:tc>
        <w:tc>
          <w:tcPr>
            <w:tcW w:w="1432" w:type="dxa"/>
            <w:shd w:val="clear" w:color="auto" w:fill="auto"/>
            <w:noWrap/>
            <w:vAlign w:val="bottom"/>
            <w:hideMark/>
          </w:tcPr>
          <w:p w14:paraId="15DFD769" w14:textId="77777777" w:rsidR="00F7044C" w:rsidRPr="00C421E4" w:rsidRDefault="00F7044C" w:rsidP="00804E6B">
            <w:pPr>
              <w:jc w:val="right"/>
              <w:rPr>
                <w:rFonts w:ascii="Times" w:hAnsi="Times"/>
              </w:rPr>
            </w:pPr>
            <w:r w:rsidRPr="00C421E4">
              <w:rPr>
                <w:rFonts w:ascii="Times" w:hAnsi="Times"/>
              </w:rPr>
              <w:t>0.07</w:t>
            </w:r>
          </w:p>
        </w:tc>
        <w:tc>
          <w:tcPr>
            <w:tcW w:w="1432" w:type="dxa"/>
            <w:shd w:val="clear" w:color="auto" w:fill="auto"/>
            <w:noWrap/>
            <w:vAlign w:val="bottom"/>
            <w:hideMark/>
          </w:tcPr>
          <w:p w14:paraId="4757A2AC" w14:textId="77777777" w:rsidR="00F7044C" w:rsidRPr="00C421E4" w:rsidRDefault="00F7044C" w:rsidP="00804E6B">
            <w:pPr>
              <w:jc w:val="right"/>
              <w:rPr>
                <w:rFonts w:ascii="Times" w:hAnsi="Times"/>
              </w:rPr>
            </w:pPr>
            <w:r w:rsidRPr="00C421E4">
              <w:rPr>
                <w:rFonts w:ascii="Times" w:hAnsi="Times"/>
              </w:rPr>
              <w:t>0.232</w:t>
            </w:r>
          </w:p>
        </w:tc>
        <w:tc>
          <w:tcPr>
            <w:tcW w:w="1432" w:type="dxa"/>
            <w:shd w:val="clear" w:color="auto" w:fill="auto"/>
            <w:noWrap/>
            <w:vAlign w:val="bottom"/>
            <w:hideMark/>
          </w:tcPr>
          <w:p w14:paraId="08087DEC" w14:textId="77777777" w:rsidR="00F7044C" w:rsidRPr="00C421E4" w:rsidRDefault="00F7044C" w:rsidP="00804E6B">
            <w:pPr>
              <w:jc w:val="right"/>
              <w:rPr>
                <w:rFonts w:ascii="Times" w:hAnsi="Times"/>
              </w:rPr>
            </w:pPr>
            <w:r w:rsidRPr="00C421E4">
              <w:rPr>
                <w:rFonts w:ascii="Times" w:hAnsi="Times"/>
              </w:rPr>
              <w:t>0.817</w:t>
            </w:r>
          </w:p>
        </w:tc>
      </w:tr>
      <w:tr w:rsidR="00F7044C" w:rsidRPr="00C421E4" w14:paraId="4B28211F" w14:textId="77777777" w:rsidTr="00804E6B">
        <w:trPr>
          <w:trHeight w:val="320"/>
        </w:trPr>
        <w:tc>
          <w:tcPr>
            <w:tcW w:w="1975" w:type="dxa"/>
            <w:shd w:val="clear" w:color="auto" w:fill="auto"/>
            <w:noWrap/>
            <w:vAlign w:val="bottom"/>
            <w:hideMark/>
          </w:tcPr>
          <w:p w14:paraId="76ECB9CA" w14:textId="77777777" w:rsidR="00F7044C" w:rsidRPr="00C421E4" w:rsidRDefault="00F7044C" w:rsidP="00804E6B">
            <w:pPr>
              <w:rPr>
                <w:rFonts w:ascii="Times" w:hAnsi="Times"/>
              </w:rPr>
            </w:pPr>
            <w:r w:rsidRPr="00C421E4">
              <w:rPr>
                <w:rFonts w:ascii="Times" w:hAnsi="Times"/>
              </w:rPr>
              <w:t>Skin conductance</w:t>
            </w:r>
          </w:p>
        </w:tc>
        <w:tc>
          <w:tcPr>
            <w:tcW w:w="1080" w:type="dxa"/>
            <w:shd w:val="clear" w:color="auto" w:fill="auto"/>
            <w:noWrap/>
            <w:vAlign w:val="bottom"/>
            <w:hideMark/>
          </w:tcPr>
          <w:p w14:paraId="72A080F4" w14:textId="77777777" w:rsidR="00F7044C" w:rsidRPr="00C421E4" w:rsidRDefault="00F7044C" w:rsidP="00804E6B">
            <w:pPr>
              <w:jc w:val="right"/>
              <w:rPr>
                <w:rFonts w:ascii="Times" w:hAnsi="Times"/>
              </w:rPr>
            </w:pPr>
            <w:r w:rsidRPr="00C421E4">
              <w:rPr>
                <w:rFonts w:ascii="Times" w:hAnsi="Times"/>
              </w:rPr>
              <w:t>-10.169</w:t>
            </w:r>
          </w:p>
        </w:tc>
        <w:tc>
          <w:tcPr>
            <w:tcW w:w="1279" w:type="dxa"/>
            <w:shd w:val="clear" w:color="auto" w:fill="auto"/>
            <w:noWrap/>
            <w:vAlign w:val="bottom"/>
            <w:hideMark/>
          </w:tcPr>
          <w:p w14:paraId="127FF32D" w14:textId="77777777" w:rsidR="00F7044C" w:rsidRPr="00C421E4" w:rsidRDefault="00F7044C" w:rsidP="00804E6B">
            <w:pPr>
              <w:jc w:val="right"/>
              <w:rPr>
                <w:rFonts w:ascii="Times" w:hAnsi="Times"/>
              </w:rPr>
            </w:pPr>
            <w:r w:rsidRPr="00C421E4">
              <w:rPr>
                <w:rFonts w:ascii="Times" w:hAnsi="Times"/>
              </w:rPr>
              <w:t>12.699</w:t>
            </w:r>
          </w:p>
        </w:tc>
        <w:tc>
          <w:tcPr>
            <w:tcW w:w="1432" w:type="dxa"/>
            <w:shd w:val="clear" w:color="auto" w:fill="auto"/>
            <w:noWrap/>
            <w:vAlign w:val="bottom"/>
            <w:hideMark/>
          </w:tcPr>
          <w:p w14:paraId="51A0B36E" w14:textId="77777777" w:rsidR="00F7044C" w:rsidRPr="00C421E4" w:rsidRDefault="00F7044C" w:rsidP="00804E6B">
            <w:pPr>
              <w:jc w:val="right"/>
              <w:rPr>
                <w:rFonts w:ascii="Times" w:hAnsi="Times"/>
              </w:rPr>
            </w:pPr>
            <w:r w:rsidRPr="00C421E4">
              <w:rPr>
                <w:rFonts w:ascii="Times" w:hAnsi="Times"/>
              </w:rPr>
              <w:t>-0.112</w:t>
            </w:r>
          </w:p>
        </w:tc>
        <w:tc>
          <w:tcPr>
            <w:tcW w:w="1432" w:type="dxa"/>
            <w:shd w:val="clear" w:color="auto" w:fill="auto"/>
            <w:noWrap/>
            <w:vAlign w:val="bottom"/>
            <w:hideMark/>
          </w:tcPr>
          <w:p w14:paraId="1D1051A3" w14:textId="77777777" w:rsidR="00F7044C" w:rsidRPr="00C421E4" w:rsidRDefault="00F7044C" w:rsidP="00804E6B">
            <w:pPr>
              <w:jc w:val="right"/>
              <w:rPr>
                <w:rFonts w:ascii="Times" w:hAnsi="Times"/>
              </w:rPr>
            </w:pPr>
            <w:r w:rsidRPr="00C421E4">
              <w:rPr>
                <w:rFonts w:ascii="Times" w:hAnsi="Times"/>
              </w:rPr>
              <w:t>-0.801</w:t>
            </w:r>
          </w:p>
        </w:tc>
        <w:tc>
          <w:tcPr>
            <w:tcW w:w="1432" w:type="dxa"/>
            <w:shd w:val="clear" w:color="auto" w:fill="auto"/>
            <w:noWrap/>
            <w:vAlign w:val="bottom"/>
            <w:hideMark/>
          </w:tcPr>
          <w:p w14:paraId="1618A96B" w14:textId="77777777" w:rsidR="00F7044C" w:rsidRPr="00C421E4" w:rsidRDefault="00F7044C" w:rsidP="00804E6B">
            <w:pPr>
              <w:jc w:val="right"/>
              <w:rPr>
                <w:rFonts w:ascii="Times" w:hAnsi="Times"/>
              </w:rPr>
            </w:pPr>
            <w:r w:rsidRPr="00C421E4">
              <w:rPr>
                <w:rFonts w:ascii="Times" w:hAnsi="Times"/>
              </w:rPr>
              <w:t>0.426</w:t>
            </w:r>
          </w:p>
        </w:tc>
      </w:tr>
      <w:tr w:rsidR="00F7044C" w:rsidRPr="00C421E4" w14:paraId="72D659EF" w14:textId="77777777" w:rsidTr="00804E6B">
        <w:trPr>
          <w:trHeight w:val="320"/>
        </w:trPr>
        <w:tc>
          <w:tcPr>
            <w:tcW w:w="1975" w:type="dxa"/>
            <w:shd w:val="clear" w:color="auto" w:fill="auto"/>
            <w:noWrap/>
            <w:vAlign w:val="bottom"/>
            <w:hideMark/>
          </w:tcPr>
          <w:p w14:paraId="5D8B8564" w14:textId="77777777" w:rsidR="00F7044C" w:rsidRPr="00C421E4" w:rsidRDefault="00F7044C" w:rsidP="00804E6B">
            <w:pPr>
              <w:rPr>
                <w:rFonts w:ascii="Times" w:hAnsi="Times"/>
              </w:rPr>
            </w:pPr>
            <w:r w:rsidRPr="00C421E4">
              <w:rPr>
                <w:rFonts w:ascii="Times" w:hAnsi="Times"/>
              </w:rPr>
              <w:t>Zygomaticus tone</w:t>
            </w:r>
          </w:p>
        </w:tc>
        <w:tc>
          <w:tcPr>
            <w:tcW w:w="1080" w:type="dxa"/>
            <w:shd w:val="clear" w:color="auto" w:fill="auto"/>
            <w:noWrap/>
            <w:vAlign w:val="bottom"/>
            <w:hideMark/>
          </w:tcPr>
          <w:p w14:paraId="4C893315" w14:textId="77777777" w:rsidR="00F7044C" w:rsidRPr="00C421E4" w:rsidRDefault="00F7044C" w:rsidP="00804E6B">
            <w:pPr>
              <w:jc w:val="right"/>
              <w:rPr>
                <w:rFonts w:ascii="Times" w:hAnsi="Times"/>
              </w:rPr>
            </w:pPr>
            <w:r w:rsidRPr="00C421E4">
              <w:rPr>
                <w:rFonts w:ascii="Times" w:hAnsi="Times"/>
              </w:rPr>
              <w:t>1.149</w:t>
            </w:r>
          </w:p>
        </w:tc>
        <w:tc>
          <w:tcPr>
            <w:tcW w:w="1279" w:type="dxa"/>
            <w:shd w:val="clear" w:color="auto" w:fill="auto"/>
            <w:noWrap/>
            <w:vAlign w:val="bottom"/>
            <w:hideMark/>
          </w:tcPr>
          <w:p w14:paraId="467979BB" w14:textId="77777777" w:rsidR="00F7044C" w:rsidRPr="00C421E4" w:rsidRDefault="00F7044C" w:rsidP="00804E6B">
            <w:pPr>
              <w:jc w:val="right"/>
              <w:rPr>
                <w:rFonts w:ascii="Times" w:hAnsi="Times"/>
              </w:rPr>
            </w:pPr>
            <w:r w:rsidRPr="00C421E4">
              <w:rPr>
                <w:rFonts w:ascii="Times" w:hAnsi="Times"/>
              </w:rPr>
              <w:t>3.282</w:t>
            </w:r>
          </w:p>
        </w:tc>
        <w:tc>
          <w:tcPr>
            <w:tcW w:w="1432" w:type="dxa"/>
            <w:shd w:val="clear" w:color="auto" w:fill="auto"/>
            <w:noWrap/>
            <w:vAlign w:val="bottom"/>
            <w:hideMark/>
          </w:tcPr>
          <w:p w14:paraId="3D3FD140" w14:textId="77777777" w:rsidR="00F7044C" w:rsidRPr="00C421E4" w:rsidRDefault="00F7044C" w:rsidP="00804E6B">
            <w:pPr>
              <w:jc w:val="right"/>
              <w:rPr>
                <w:rFonts w:ascii="Times" w:hAnsi="Times"/>
              </w:rPr>
            </w:pPr>
            <w:r w:rsidRPr="00C421E4">
              <w:rPr>
                <w:rFonts w:ascii="Times" w:hAnsi="Times"/>
              </w:rPr>
              <w:t>0.121</w:t>
            </w:r>
          </w:p>
        </w:tc>
        <w:tc>
          <w:tcPr>
            <w:tcW w:w="1432" w:type="dxa"/>
            <w:shd w:val="clear" w:color="auto" w:fill="auto"/>
            <w:noWrap/>
            <w:vAlign w:val="bottom"/>
            <w:hideMark/>
          </w:tcPr>
          <w:p w14:paraId="544B67AE" w14:textId="77777777" w:rsidR="00F7044C" w:rsidRPr="00C421E4" w:rsidRDefault="00F7044C" w:rsidP="00804E6B">
            <w:pPr>
              <w:jc w:val="right"/>
              <w:rPr>
                <w:rFonts w:ascii="Times" w:hAnsi="Times"/>
              </w:rPr>
            </w:pPr>
            <w:r w:rsidRPr="00C421E4">
              <w:rPr>
                <w:rFonts w:ascii="Times" w:hAnsi="Times"/>
              </w:rPr>
              <w:t>0.35</w:t>
            </w:r>
          </w:p>
        </w:tc>
        <w:tc>
          <w:tcPr>
            <w:tcW w:w="1432" w:type="dxa"/>
            <w:shd w:val="clear" w:color="auto" w:fill="auto"/>
            <w:noWrap/>
            <w:vAlign w:val="bottom"/>
            <w:hideMark/>
          </w:tcPr>
          <w:p w14:paraId="6BD55979" w14:textId="77777777" w:rsidR="00F7044C" w:rsidRPr="00C421E4" w:rsidRDefault="00F7044C" w:rsidP="00804E6B">
            <w:pPr>
              <w:jc w:val="right"/>
              <w:rPr>
                <w:rFonts w:ascii="Times" w:hAnsi="Times"/>
              </w:rPr>
            </w:pPr>
            <w:r w:rsidRPr="00C421E4">
              <w:rPr>
                <w:rFonts w:ascii="Times" w:hAnsi="Times"/>
              </w:rPr>
              <w:t>0.727</w:t>
            </w:r>
          </w:p>
        </w:tc>
      </w:tr>
      <w:tr w:rsidR="00F7044C" w:rsidRPr="00C421E4" w14:paraId="03672DD3" w14:textId="77777777" w:rsidTr="00804E6B">
        <w:trPr>
          <w:trHeight w:val="320"/>
        </w:trPr>
        <w:tc>
          <w:tcPr>
            <w:tcW w:w="1975" w:type="dxa"/>
            <w:shd w:val="clear" w:color="auto" w:fill="auto"/>
            <w:noWrap/>
            <w:vAlign w:val="bottom"/>
            <w:hideMark/>
          </w:tcPr>
          <w:p w14:paraId="24452415" w14:textId="77777777" w:rsidR="00F7044C" w:rsidRPr="00C421E4" w:rsidRDefault="00F7044C" w:rsidP="00804E6B">
            <w:pPr>
              <w:rPr>
                <w:rFonts w:ascii="Times" w:hAnsi="Times"/>
              </w:rPr>
            </w:pPr>
            <w:r w:rsidRPr="00C421E4">
              <w:rPr>
                <w:rFonts w:ascii="Times" w:hAnsi="Times"/>
              </w:rPr>
              <w:t>Heart rate</w:t>
            </w:r>
          </w:p>
        </w:tc>
        <w:tc>
          <w:tcPr>
            <w:tcW w:w="1080" w:type="dxa"/>
            <w:shd w:val="clear" w:color="auto" w:fill="auto"/>
            <w:noWrap/>
            <w:vAlign w:val="bottom"/>
            <w:hideMark/>
          </w:tcPr>
          <w:p w14:paraId="0B85EFA8" w14:textId="77777777" w:rsidR="00F7044C" w:rsidRPr="00C421E4" w:rsidRDefault="00F7044C" w:rsidP="00804E6B">
            <w:pPr>
              <w:jc w:val="right"/>
              <w:rPr>
                <w:rFonts w:ascii="Times" w:hAnsi="Times"/>
              </w:rPr>
            </w:pPr>
            <w:r w:rsidRPr="00C421E4">
              <w:rPr>
                <w:rFonts w:ascii="Times" w:hAnsi="Times"/>
              </w:rPr>
              <w:t>0.066</w:t>
            </w:r>
          </w:p>
        </w:tc>
        <w:tc>
          <w:tcPr>
            <w:tcW w:w="1279" w:type="dxa"/>
            <w:shd w:val="clear" w:color="auto" w:fill="auto"/>
            <w:noWrap/>
            <w:vAlign w:val="bottom"/>
            <w:hideMark/>
          </w:tcPr>
          <w:p w14:paraId="2C47B216" w14:textId="77777777" w:rsidR="00F7044C" w:rsidRPr="00C421E4" w:rsidRDefault="00F7044C" w:rsidP="00804E6B">
            <w:pPr>
              <w:jc w:val="right"/>
              <w:rPr>
                <w:rFonts w:ascii="Times" w:hAnsi="Times"/>
              </w:rPr>
            </w:pPr>
            <w:r w:rsidRPr="00C421E4">
              <w:rPr>
                <w:rFonts w:ascii="Times" w:hAnsi="Times"/>
              </w:rPr>
              <w:t>0.44</w:t>
            </w:r>
          </w:p>
        </w:tc>
        <w:tc>
          <w:tcPr>
            <w:tcW w:w="1432" w:type="dxa"/>
            <w:shd w:val="clear" w:color="auto" w:fill="auto"/>
            <w:noWrap/>
            <w:vAlign w:val="bottom"/>
            <w:hideMark/>
          </w:tcPr>
          <w:p w14:paraId="5587B65B" w14:textId="77777777" w:rsidR="00F7044C" w:rsidRPr="00C421E4" w:rsidRDefault="00F7044C" w:rsidP="00804E6B">
            <w:pPr>
              <w:jc w:val="right"/>
              <w:rPr>
                <w:rFonts w:ascii="Times" w:hAnsi="Times"/>
              </w:rPr>
            </w:pPr>
            <w:r w:rsidRPr="00C421E4">
              <w:rPr>
                <w:rFonts w:ascii="Times" w:hAnsi="Times"/>
              </w:rPr>
              <w:t>0.021</w:t>
            </w:r>
          </w:p>
        </w:tc>
        <w:tc>
          <w:tcPr>
            <w:tcW w:w="1432" w:type="dxa"/>
            <w:shd w:val="clear" w:color="auto" w:fill="auto"/>
            <w:noWrap/>
            <w:vAlign w:val="bottom"/>
            <w:hideMark/>
          </w:tcPr>
          <w:p w14:paraId="526B9C05" w14:textId="77777777" w:rsidR="00F7044C" w:rsidRPr="00C421E4" w:rsidRDefault="00F7044C" w:rsidP="00804E6B">
            <w:pPr>
              <w:jc w:val="right"/>
              <w:rPr>
                <w:rFonts w:ascii="Times" w:hAnsi="Times"/>
              </w:rPr>
            </w:pPr>
            <w:r w:rsidRPr="00C421E4">
              <w:rPr>
                <w:rFonts w:ascii="Times" w:hAnsi="Times"/>
              </w:rPr>
              <w:t>0.15</w:t>
            </w:r>
          </w:p>
        </w:tc>
        <w:tc>
          <w:tcPr>
            <w:tcW w:w="1432" w:type="dxa"/>
            <w:shd w:val="clear" w:color="auto" w:fill="auto"/>
            <w:noWrap/>
            <w:vAlign w:val="bottom"/>
            <w:hideMark/>
          </w:tcPr>
          <w:p w14:paraId="054D594A" w14:textId="77777777" w:rsidR="00F7044C" w:rsidRPr="00C421E4" w:rsidRDefault="00F7044C" w:rsidP="00804E6B">
            <w:pPr>
              <w:jc w:val="right"/>
              <w:rPr>
                <w:rFonts w:ascii="Times" w:hAnsi="Times"/>
              </w:rPr>
            </w:pPr>
            <w:r w:rsidRPr="00C421E4">
              <w:rPr>
                <w:rFonts w:ascii="Times" w:hAnsi="Times"/>
              </w:rPr>
              <w:t>0.881</w:t>
            </w:r>
          </w:p>
        </w:tc>
      </w:tr>
      <w:tr w:rsidR="00F7044C" w:rsidRPr="00C421E4" w14:paraId="78ACED01" w14:textId="77777777" w:rsidTr="00804E6B">
        <w:trPr>
          <w:trHeight w:val="320"/>
        </w:trPr>
        <w:tc>
          <w:tcPr>
            <w:tcW w:w="8630" w:type="dxa"/>
            <w:gridSpan w:val="6"/>
            <w:shd w:val="clear" w:color="auto" w:fill="auto"/>
            <w:noWrap/>
            <w:vAlign w:val="bottom"/>
            <w:hideMark/>
          </w:tcPr>
          <w:p w14:paraId="2855A523"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3EDFEB85" w14:textId="77777777" w:rsidTr="00804E6B">
        <w:trPr>
          <w:trHeight w:val="320"/>
        </w:trPr>
        <w:tc>
          <w:tcPr>
            <w:tcW w:w="1975" w:type="dxa"/>
            <w:shd w:val="clear" w:color="auto" w:fill="auto"/>
            <w:noWrap/>
            <w:vAlign w:val="bottom"/>
            <w:hideMark/>
          </w:tcPr>
          <w:p w14:paraId="1D0D2F89" w14:textId="77777777" w:rsidR="00F7044C" w:rsidRPr="00C421E4" w:rsidRDefault="00F7044C" w:rsidP="00804E6B">
            <w:pPr>
              <w:rPr>
                <w:rFonts w:ascii="Times" w:hAnsi="Times"/>
              </w:rPr>
            </w:pPr>
            <w:r w:rsidRPr="00C421E4">
              <w:rPr>
                <w:rFonts w:ascii="Times" w:hAnsi="Times"/>
              </w:rPr>
              <w:t>Valence</w:t>
            </w:r>
          </w:p>
        </w:tc>
        <w:tc>
          <w:tcPr>
            <w:tcW w:w="1080" w:type="dxa"/>
            <w:shd w:val="clear" w:color="auto" w:fill="auto"/>
            <w:noWrap/>
            <w:vAlign w:val="bottom"/>
            <w:hideMark/>
          </w:tcPr>
          <w:p w14:paraId="1DE54B1A" w14:textId="77777777" w:rsidR="00F7044C" w:rsidRPr="00C421E4" w:rsidRDefault="00F7044C" w:rsidP="00804E6B">
            <w:pPr>
              <w:jc w:val="right"/>
              <w:rPr>
                <w:rFonts w:ascii="Times" w:hAnsi="Times"/>
              </w:rPr>
            </w:pPr>
            <w:r w:rsidRPr="00C421E4">
              <w:rPr>
                <w:rFonts w:ascii="Times" w:hAnsi="Times"/>
              </w:rPr>
              <w:t>7.409</w:t>
            </w:r>
          </w:p>
        </w:tc>
        <w:tc>
          <w:tcPr>
            <w:tcW w:w="1279" w:type="dxa"/>
            <w:shd w:val="clear" w:color="auto" w:fill="auto"/>
            <w:noWrap/>
            <w:vAlign w:val="bottom"/>
            <w:hideMark/>
          </w:tcPr>
          <w:p w14:paraId="007EDDFF" w14:textId="77777777" w:rsidR="00F7044C" w:rsidRPr="00C421E4" w:rsidRDefault="00F7044C" w:rsidP="00804E6B">
            <w:pPr>
              <w:jc w:val="right"/>
              <w:rPr>
                <w:rFonts w:ascii="Times" w:hAnsi="Times"/>
              </w:rPr>
            </w:pPr>
            <w:r w:rsidRPr="00C421E4">
              <w:rPr>
                <w:rFonts w:ascii="Times" w:hAnsi="Times"/>
              </w:rPr>
              <w:t>3.314</w:t>
            </w:r>
          </w:p>
        </w:tc>
        <w:tc>
          <w:tcPr>
            <w:tcW w:w="1432" w:type="dxa"/>
            <w:shd w:val="clear" w:color="auto" w:fill="auto"/>
            <w:noWrap/>
            <w:vAlign w:val="bottom"/>
            <w:hideMark/>
          </w:tcPr>
          <w:p w14:paraId="1E171FEF" w14:textId="77777777" w:rsidR="00F7044C" w:rsidRPr="00C421E4" w:rsidRDefault="00F7044C" w:rsidP="00804E6B">
            <w:pPr>
              <w:jc w:val="right"/>
              <w:rPr>
                <w:rFonts w:ascii="Times" w:hAnsi="Times"/>
              </w:rPr>
            </w:pPr>
            <w:r w:rsidRPr="00C421E4">
              <w:rPr>
                <w:rFonts w:ascii="Times" w:hAnsi="Times"/>
              </w:rPr>
              <w:t>0.619</w:t>
            </w:r>
          </w:p>
        </w:tc>
        <w:tc>
          <w:tcPr>
            <w:tcW w:w="1432" w:type="dxa"/>
            <w:shd w:val="clear" w:color="auto" w:fill="auto"/>
            <w:noWrap/>
            <w:vAlign w:val="bottom"/>
            <w:hideMark/>
          </w:tcPr>
          <w:p w14:paraId="7830D250" w14:textId="77777777" w:rsidR="00F7044C" w:rsidRPr="00C421E4" w:rsidRDefault="00F7044C" w:rsidP="00804E6B">
            <w:pPr>
              <w:jc w:val="right"/>
              <w:rPr>
                <w:rFonts w:ascii="Times" w:hAnsi="Times"/>
              </w:rPr>
            </w:pPr>
            <w:r w:rsidRPr="00C421E4">
              <w:rPr>
                <w:rFonts w:ascii="Times" w:hAnsi="Times"/>
              </w:rPr>
              <w:t>2.236</w:t>
            </w:r>
          </w:p>
        </w:tc>
        <w:tc>
          <w:tcPr>
            <w:tcW w:w="1432" w:type="dxa"/>
            <w:shd w:val="clear" w:color="auto" w:fill="auto"/>
            <w:noWrap/>
            <w:vAlign w:val="bottom"/>
            <w:hideMark/>
          </w:tcPr>
          <w:p w14:paraId="04013F24" w14:textId="77777777" w:rsidR="00F7044C" w:rsidRPr="00C421E4" w:rsidRDefault="00F7044C" w:rsidP="00804E6B">
            <w:pPr>
              <w:jc w:val="right"/>
              <w:rPr>
                <w:rFonts w:ascii="Times" w:hAnsi="Times"/>
              </w:rPr>
            </w:pPr>
            <w:r w:rsidRPr="00C421E4">
              <w:rPr>
                <w:rFonts w:ascii="Times" w:hAnsi="Times"/>
              </w:rPr>
              <w:t>0.028</w:t>
            </w:r>
          </w:p>
        </w:tc>
      </w:tr>
      <w:tr w:rsidR="00F7044C" w:rsidRPr="00C421E4" w14:paraId="66D61482" w14:textId="77777777" w:rsidTr="00804E6B">
        <w:trPr>
          <w:trHeight w:val="320"/>
        </w:trPr>
        <w:tc>
          <w:tcPr>
            <w:tcW w:w="1975" w:type="dxa"/>
            <w:shd w:val="clear" w:color="auto" w:fill="auto"/>
            <w:noWrap/>
            <w:vAlign w:val="bottom"/>
            <w:hideMark/>
          </w:tcPr>
          <w:p w14:paraId="2F5B23EF" w14:textId="77777777" w:rsidR="00F7044C" w:rsidRPr="00C421E4" w:rsidRDefault="00F7044C" w:rsidP="00804E6B">
            <w:pPr>
              <w:rPr>
                <w:rFonts w:ascii="Times" w:hAnsi="Times"/>
              </w:rPr>
            </w:pPr>
            <w:r w:rsidRPr="00C421E4">
              <w:rPr>
                <w:rFonts w:ascii="Times" w:hAnsi="Times"/>
              </w:rPr>
              <w:t>Arousal</w:t>
            </w:r>
          </w:p>
        </w:tc>
        <w:tc>
          <w:tcPr>
            <w:tcW w:w="1080" w:type="dxa"/>
            <w:shd w:val="clear" w:color="auto" w:fill="auto"/>
            <w:noWrap/>
            <w:vAlign w:val="bottom"/>
            <w:hideMark/>
          </w:tcPr>
          <w:p w14:paraId="567E60C3" w14:textId="77777777" w:rsidR="00F7044C" w:rsidRPr="00C421E4" w:rsidRDefault="00F7044C" w:rsidP="00804E6B">
            <w:pPr>
              <w:jc w:val="right"/>
              <w:rPr>
                <w:rFonts w:ascii="Times" w:hAnsi="Times"/>
              </w:rPr>
            </w:pPr>
            <w:r w:rsidRPr="00C421E4">
              <w:rPr>
                <w:rFonts w:ascii="Times" w:hAnsi="Times"/>
              </w:rPr>
              <w:t>-0.775</w:t>
            </w:r>
          </w:p>
        </w:tc>
        <w:tc>
          <w:tcPr>
            <w:tcW w:w="1279" w:type="dxa"/>
            <w:shd w:val="clear" w:color="auto" w:fill="auto"/>
            <w:noWrap/>
            <w:vAlign w:val="bottom"/>
            <w:hideMark/>
          </w:tcPr>
          <w:p w14:paraId="495309FB" w14:textId="77777777" w:rsidR="00F7044C" w:rsidRPr="00C421E4" w:rsidRDefault="00F7044C" w:rsidP="00804E6B">
            <w:pPr>
              <w:jc w:val="right"/>
              <w:rPr>
                <w:rFonts w:ascii="Times" w:hAnsi="Times"/>
              </w:rPr>
            </w:pPr>
            <w:r w:rsidRPr="00C421E4">
              <w:rPr>
                <w:rFonts w:ascii="Times" w:hAnsi="Times"/>
              </w:rPr>
              <w:t>1.901</w:t>
            </w:r>
          </w:p>
        </w:tc>
        <w:tc>
          <w:tcPr>
            <w:tcW w:w="1432" w:type="dxa"/>
            <w:shd w:val="clear" w:color="auto" w:fill="auto"/>
            <w:noWrap/>
            <w:vAlign w:val="bottom"/>
            <w:hideMark/>
          </w:tcPr>
          <w:p w14:paraId="11B2C6AA" w14:textId="77777777" w:rsidR="00F7044C" w:rsidRPr="00C421E4" w:rsidRDefault="00F7044C" w:rsidP="00804E6B">
            <w:pPr>
              <w:jc w:val="right"/>
              <w:rPr>
                <w:rFonts w:ascii="Times" w:hAnsi="Times"/>
              </w:rPr>
            </w:pPr>
            <w:r w:rsidRPr="00C421E4">
              <w:rPr>
                <w:rFonts w:ascii="Times" w:hAnsi="Times"/>
              </w:rPr>
              <w:t>-0.123</w:t>
            </w:r>
          </w:p>
        </w:tc>
        <w:tc>
          <w:tcPr>
            <w:tcW w:w="1432" w:type="dxa"/>
            <w:shd w:val="clear" w:color="auto" w:fill="auto"/>
            <w:noWrap/>
            <w:vAlign w:val="bottom"/>
            <w:hideMark/>
          </w:tcPr>
          <w:p w14:paraId="127C317E" w14:textId="77777777" w:rsidR="00F7044C" w:rsidRPr="00C421E4" w:rsidRDefault="00F7044C" w:rsidP="00804E6B">
            <w:pPr>
              <w:jc w:val="right"/>
              <w:rPr>
                <w:rFonts w:ascii="Times" w:hAnsi="Times"/>
              </w:rPr>
            </w:pPr>
            <w:r w:rsidRPr="00C421E4">
              <w:rPr>
                <w:rFonts w:ascii="Times" w:hAnsi="Times"/>
              </w:rPr>
              <w:t>-0.408</w:t>
            </w:r>
          </w:p>
        </w:tc>
        <w:tc>
          <w:tcPr>
            <w:tcW w:w="1432" w:type="dxa"/>
            <w:shd w:val="clear" w:color="auto" w:fill="auto"/>
            <w:noWrap/>
            <w:vAlign w:val="bottom"/>
            <w:hideMark/>
          </w:tcPr>
          <w:p w14:paraId="4183580F" w14:textId="77777777" w:rsidR="00F7044C" w:rsidRPr="00C421E4" w:rsidRDefault="00F7044C" w:rsidP="00804E6B">
            <w:pPr>
              <w:jc w:val="right"/>
              <w:rPr>
                <w:rFonts w:ascii="Times" w:hAnsi="Times"/>
              </w:rPr>
            </w:pPr>
            <w:r w:rsidRPr="00C421E4">
              <w:rPr>
                <w:rFonts w:ascii="Times" w:hAnsi="Times"/>
              </w:rPr>
              <w:t>0.685</w:t>
            </w:r>
          </w:p>
        </w:tc>
      </w:tr>
      <w:tr w:rsidR="00F7044C" w:rsidRPr="00C421E4" w14:paraId="76C3CA72" w14:textId="77777777" w:rsidTr="00804E6B">
        <w:trPr>
          <w:trHeight w:val="320"/>
        </w:trPr>
        <w:tc>
          <w:tcPr>
            <w:tcW w:w="1975" w:type="dxa"/>
            <w:shd w:val="clear" w:color="auto" w:fill="auto"/>
            <w:noWrap/>
            <w:vAlign w:val="bottom"/>
            <w:hideMark/>
          </w:tcPr>
          <w:p w14:paraId="3DDDAFFE" w14:textId="77777777" w:rsidR="00F7044C" w:rsidRPr="00C421E4" w:rsidRDefault="00F7044C" w:rsidP="00804E6B">
            <w:pPr>
              <w:rPr>
                <w:rFonts w:ascii="Times" w:hAnsi="Times"/>
              </w:rPr>
            </w:pPr>
            <w:r w:rsidRPr="00C421E4">
              <w:rPr>
                <w:rFonts w:ascii="Times" w:hAnsi="Times"/>
              </w:rPr>
              <w:t>Skin conductance</w:t>
            </w:r>
          </w:p>
        </w:tc>
        <w:tc>
          <w:tcPr>
            <w:tcW w:w="1080" w:type="dxa"/>
            <w:shd w:val="clear" w:color="auto" w:fill="auto"/>
            <w:noWrap/>
            <w:vAlign w:val="bottom"/>
            <w:hideMark/>
          </w:tcPr>
          <w:p w14:paraId="7CB58B45" w14:textId="77777777" w:rsidR="00F7044C" w:rsidRPr="00C421E4" w:rsidRDefault="00F7044C" w:rsidP="00804E6B">
            <w:pPr>
              <w:jc w:val="right"/>
              <w:rPr>
                <w:rFonts w:ascii="Times" w:hAnsi="Times"/>
              </w:rPr>
            </w:pPr>
            <w:r w:rsidRPr="00C421E4">
              <w:rPr>
                <w:rFonts w:ascii="Times" w:hAnsi="Times"/>
              </w:rPr>
              <w:t>-1.258</w:t>
            </w:r>
          </w:p>
        </w:tc>
        <w:tc>
          <w:tcPr>
            <w:tcW w:w="1279" w:type="dxa"/>
            <w:shd w:val="clear" w:color="auto" w:fill="auto"/>
            <w:noWrap/>
            <w:vAlign w:val="bottom"/>
            <w:hideMark/>
          </w:tcPr>
          <w:p w14:paraId="5BACDAC3" w14:textId="77777777" w:rsidR="00F7044C" w:rsidRPr="00C421E4" w:rsidRDefault="00F7044C" w:rsidP="00804E6B">
            <w:pPr>
              <w:jc w:val="right"/>
              <w:rPr>
                <w:rFonts w:ascii="Times" w:hAnsi="Times"/>
              </w:rPr>
            </w:pPr>
            <w:r w:rsidRPr="00C421E4">
              <w:rPr>
                <w:rFonts w:ascii="Times" w:hAnsi="Times"/>
              </w:rPr>
              <w:t>6.314</w:t>
            </w:r>
          </w:p>
        </w:tc>
        <w:tc>
          <w:tcPr>
            <w:tcW w:w="1432" w:type="dxa"/>
            <w:shd w:val="clear" w:color="auto" w:fill="auto"/>
            <w:noWrap/>
            <w:vAlign w:val="bottom"/>
            <w:hideMark/>
          </w:tcPr>
          <w:p w14:paraId="11515F0F" w14:textId="77777777" w:rsidR="00F7044C" w:rsidRPr="00C421E4" w:rsidRDefault="00F7044C" w:rsidP="00804E6B">
            <w:pPr>
              <w:jc w:val="right"/>
              <w:rPr>
                <w:rFonts w:ascii="Times" w:hAnsi="Times"/>
              </w:rPr>
            </w:pPr>
            <w:r w:rsidRPr="00C421E4">
              <w:rPr>
                <w:rFonts w:ascii="Times" w:hAnsi="Times"/>
              </w:rPr>
              <w:t>-0.02</w:t>
            </w:r>
          </w:p>
        </w:tc>
        <w:tc>
          <w:tcPr>
            <w:tcW w:w="1432" w:type="dxa"/>
            <w:shd w:val="clear" w:color="auto" w:fill="auto"/>
            <w:noWrap/>
            <w:vAlign w:val="bottom"/>
            <w:hideMark/>
          </w:tcPr>
          <w:p w14:paraId="79B86B5B" w14:textId="77777777" w:rsidR="00F7044C" w:rsidRPr="00C421E4" w:rsidRDefault="00F7044C" w:rsidP="00804E6B">
            <w:pPr>
              <w:jc w:val="right"/>
              <w:rPr>
                <w:rFonts w:ascii="Times" w:hAnsi="Times"/>
              </w:rPr>
            </w:pPr>
            <w:r w:rsidRPr="00C421E4">
              <w:rPr>
                <w:rFonts w:ascii="Times" w:hAnsi="Times"/>
              </w:rPr>
              <w:t>-0.199</w:t>
            </w:r>
          </w:p>
        </w:tc>
        <w:tc>
          <w:tcPr>
            <w:tcW w:w="1432" w:type="dxa"/>
            <w:shd w:val="clear" w:color="auto" w:fill="auto"/>
            <w:noWrap/>
            <w:vAlign w:val="bottom"/>
            <w:hideMark/>
          </w:tcPr>
          <w:p w14:paraId="32FB8901" w14:textId="77777777" w:rsidR="00F7044C" w:rsidRPr="00C421E4" w:rsidRDefault="00F7044C" w:rsidP="00804E6B">
            <w:pPr>
              <w:jc w:val="right"/>
              <w:rPr>
                <w:rFonts w:ascii="Times" w:hAnsi="Times"/>
              </w:rPr>
            </w:pPr>
            <w:r w:rsidRPr="00C421E4">
              <w:rPr>
                <w:rFonts w:ascii="Times" w:hAnsi="Times"/>
              </w:rPr>
              <w:t>0.843</w:t>
            </w:r>
          </w:p>
        </w:tc>
      </w:tr>
      <w:tr w:rsidR="00F7044C" w:rsidRPr="00C421E4" w14:paraId="6B02B995" w14:textId="77777777" w:rsidTr="00804E6B">
        <w:trPr>
          <w:trHeight w:val="320"/>
        </w:trPr>
        <w:tc>
          <w:tcPr>
            <w:tcW w:w="1975" w:type="dxa"/>
            <w:shd w:val="clear" w:color="auto" w:fill="auto"/>
            <w:noWrap/>
            <w:vAlign w:val="bottom"/>
            <w:hideMark/>
          </w:tcPr>
          <w:p w14:paraId="503A6482" w14:textId="77777777" w:rsidR="00F7044C" w:rsidRPr="00C421E4" w:rsidRDefault="00F7044C" w:rsidP="00804E6B">
            <w:pPr>
              <w:rPr>
                <w:rFonts w:ascii="Times" w:hAnsi="Times"/>
              </w:rPr>
            </w:pPr>
            <w:r w:rsidRPr="00C421E4">
              <w:rPr>
                <w:rFonts w:ascii="Times" w:hAnsi="Times"/>
              </w:rPr>
              <w:t>Corrugator tone</w:t>
            </w:r>
          </w:p>
        </w:tc>
        <w:tc>
          <w:tcPr>
            <w:tcW w:w="1080" w:type="dxa"/>
            <w:shd w:val="clear" w:color="auto" w:fill="auto"/>
            <w:noWrap/>
            <w:vAlign w:val="bottom"/>
            <w:hideMark/>
          </w:tcPr>
          <w:p w14:paraId="6B2EBB0C" w14:textId="77777777" w:rsidR="00F7044C" w:rsidRPr="00C421E4" w:rsidRDefault="00F7044C" w:rsidP="00804E6B">
            <w:pPr>
              <w:jc w:val="right"/>
              <w:rPr>
                <w:rFonts w:ascii="Times" w:hAnsi="Times"/>
              </w:rPr>
            </w:pPr>
            <w:r w:rsidRPr="00C421E4">
              <w:rPr>
                <w:rFonts w:ascii="Times" w:hAnsi="Times"/>
              </w:rPr>
              <w:t>-0.153</w:t>
            </w:r>
          </w:p>
        </w:tc>
        <w:tc>
          <w:tcPr>
            <w:tcW w:w="1279" w:type="dxa"/>
            <w:shd w:val="clear" w:color="auto" w:fill="auto"/>
            <w:noWrap/>
            <w:vAlign w:val="bottom"/>
            <w:hideMark/>
          </w:tcPr>
          <w:p w14:paraId="7ACAA3CE" w14:textId="77777777" w:rsidR="00F7044C" w:rsidRPr="00C421E4" w:rsidRDefault="00F7044C" w:rsidP="00804E6B">
            <w:pPr>
              <w:jc w:val="right"/>
              <w:rPr>
                <w:rFonts w:ascii="Times" w:hAnsi="Times"/>
              </w:rPr>
            </w:pPr>
            <w:r w:rsidRPr="00C421E4">
              <w:rPr>
                <w:rFonts w:ascii="Times" w:hAnsi="Times"/>
              </w:rPr>
              <w:t>3.743</w:t>
            </w:r>
          </w:p>
        </w:tc>
        <w:tc>
          <w:tcPr>
            <w:tcW w:w="1432" w:type="dxa"/>
            <w:shd w:val="clear" w:color="auto" w:fill="auto"/>
            <w:noWrap/>
            <w:vAlign w:val="bottom"/>
            <w:hideMark/>
          </w:tcPr>
          <w:p w14:paraId="4AFB1E21" w14:textId="77777777" w:rsidR="00F7044C" w:rsidRPr="00C421E4" w:rsidRDefault="00F7044C" w:rsidP="00804E6B">
            <w:pPr>
              <w:jc w:val="right"/>
              <w:rPr>
                <w:rFonts w:ascii="Times" w:hAnsi="Times"/>
              </w:rPr>
            </w:pPr>
            <w:r w:rsidRPr="00C421E4">
              <w:rPr>
                <w:rFonts w:ascii="Times" w:hAnsi="Times"/>
              </w:rPr>
              <w:t>-0.004</w:t>
            </w:r>
          </w:p>
        </w:tc>
        <w:tc>
          <w:tcPr>
            <w:tcW w:w="1432" w:type="dxa"/>
            <w:shd w:val="clear" w:color="auto" w:fill="auto"/>
            <w:noWrap/>
            <w:vAlign w:val="bottom"/>
            <w:hideMark/>
          </w:tcPr>
          <w:p w14:paraId="1EBFC16A" w14:textId="77777777" w:rsidR="00F7044C" w:rsidRPr="00C421E4" w:rsidRDefault="00F7044C" w:rsidP="00804E6B">
            <w:pPr>
              <w:jc w:val="right"/>
              <w:rPr>
                <w:rFonts w:ascii="Times" w:hAnsi="Times"/>
              </w:rPr>
            </w:pPr>
            <w:r w:rsidRPr="00C421E4">
              <w:rPr>
                <w:rFonts w:ascii="Times" w:hAnsi="Times"/>
              </w:rPr>
              <w:t>-0.041</w:t>
            </w:r>
          </w:p>
        </w:tc>
        <w:tc>
          <w:tcPr>
            <w:tcW w:w="1432" w:type="dxa"/>
            <w:shd w:val="clear" w:color="auto" w:fill="auto"/>
            <w:noWrap/>
            <w:vAlign w:val="bottom"/>
            <w:hideMark/>
          </w:tcPr>
          <w:p w14:paraId="3D6BC8CA" w14:textId="77777777" w:rsidR="00F7044C" w:rsidRPr="00C421E4" w:rsidRDefault="00F7044C" w:rsidP="00804E6B">
            <w:pPr>
              <w:jc w:val="right"/>
              <w:rPr>
                <w:rFonts w:ascii="Times" w:hAnsi="Times"/>
              </w:rPr>
            </w:pPr>
            <w:r w:rsidRPr="00C421E4">
              <w:rPr>
                <w:rFonts w:ascii="Times" w:hAnsi="Times"/>
              </w:rPr>
              <w:t>0.967</w:t>
            </w:r>
          </w:p>
        </w:tc>
      </w:tr>
      <w:tr w:rsidR="00F7044C" w:rsidRPr="00C421E4" w14:paraId="5D002C13" w14:textId="77777777" w:rsidTr="00804E6B">
        <w:trPr>
          <w:trHeight w:val="320"/>
        </w:trPr>
        <w:tc>
          <w:tcPr>
            <w:tcW w:w="1975" w:type="dxa"/>
            <w:shd w:val="clear" w:color="auto" w:fill="auto"/>
            <w:noWrap/>
            <w:vAlign w:val="bottom"/>
            <w:hideMark/>
          </w:tcPr>
          <w:p w14:paraId="62967EEA" w14:textId="77777777" w:rsidR="00F7044C" w:rsidRPr="00C421E4" w:rsidRDefault="00F7044C" w:rsidP="00804E6B">
            <w:pPr>
              <w:rPr>
                <w:rFonts w:ascii="Times" w:hAnsi="Times"/>
              </w:rPr>
            </w:pPr>
            <w:r w:rsidRPr="00C421E4">
              <w:rPr>
                <w:rFonts w:ascii="Times" w:hAnsi="Times"/>
              </w:rPr>
              <w:t>Heart rate</w:t>
            </w:r>
          </w:p>
        </w:tc>
        <w:tc>
          <w:tcPr>
            <w:tcW w:w="1080" w:type="dxa"/>
            <w:shd w:val="clear" w:color="auto" w:fill="auto"/>
            <w:noWrap/>
            <w:vAlign w:val="bottom"/>
            <w:hideMark/>
          </w:tcPr>
          <w:p w14:paraId="428FC587" w14:textId="77777777" w:rsidR="00F7044C" w:rsidRPr="00C421E4" w:rsidRDefault="00F7044C" w:rsidP="00804E6B">
            <w:pPr>
              <w:jc w:val="right"/>
              <w:rPr>
                <w:rFonts w:ascii="Times" w:hAnsi="Times"/>
              </w:rPr>
            </w:pPr>
            <w:r w:rsidRPr="00C421E4">
              <w:rPr>
                <w:rFonts w:ascii="Times" w:hAnsi="Times"/>
              </w:rPr>
              <w:t>0.013</w:t>
            </w:r>
          </w:p>
        </w:tc>
        <w:tc>
          <w:tcPr>
            <w:tcW w:w="1279" w:type="dxa"/>
            <w:shd w:val="clear" w:color="auto" w:fill="auto"/>
            <w:noWrap/>
            <w:vAlign w:val="bottom"/>
            <w:hideMark/>
          </w:tcPr>
          <w:p w14:paraId="2099A2D0" w14:textId="77777777" w:rsidR="00F7044C" w:rsidRPr="00C421E4" w:rsidRDefault="00F7044C" w:rsidP="00804E6B">
            <w:pPr>
              <w:jc w:val="right"/>
              <w:rPr>
                <w:rFonts w:ascii="Times" w:hAnsi="Times"/>
              </w:rPr>
            </w:pPr>
            <w:r w:rsidRPr="00C421E4">
              <w:rPr>
                <w:rFonts w:ascii="Times" w:hAnsi="Times"/>
              </w:rPr>
              <w:t>0.209</w:t>
            </w:r>
          </w:p>
        </w:tc>
        <w:tc>
          <w:tcPr>
            <w:tcW w:w="1432" w:type="dxa"/>
            <w:shd w:val="clear" w:color="auto" w:fill="auto"/>
            <w:noWrap/>
            <w:vAlign w:val="bottom"/>
            <w:hideMark/>
          </w:tcPr>
          <w:p w14:paraId="4107C613" w14:textId="77777777" w:rsidR="00F7044C" w:rsidRPr="00C421E4" w:rsidRDefault="00F7044C" w:rsidP="00804E6B">
            <w:pPr>
              <w:jc w:val="right"/>
              <w:rPr>
                <w:rFonts w:ascii="Times" w:hAnsi="Times"/>
              </w:rPr>
            </w:pPr>
            <w:r w:rsidRPr="00C421E4">
              <w:rPr>
                <w:rFonts w:ascii="Times" w:hAnsi="Times"/>
              </w:rPr>
              <w:t>0.007</w:t>
            </w:r>
          </w:p>
        </w:tc>
        <w:tc>
          <w:tcPr>
            <w:tcW w:w="1432" w:type="dxa"/>
            <w:shd w:val="clear" w:color="auto" w:fill="auto"/>
            <w:noWrap/>
            <w:vAlign w:val="bottom"/>
            <w:hideMark/>
          </w:tcPr>
          <w:p w14:paraId="6246AFCD" w14:textId="77777777" w:rsidR="00F7044C" w:rsidRPr="00C421E4" w:rsidRDefault="00F7044C" w:rsidP="00804E6B">
            <w:pPr>
              <w:jc w:val="right"/>
              <w:rPr>
                <w:rFonts w:ascii="Times" w:hAnsi="Times"/>
              </w:rPr>
            </w:pPr>
            <w:r w:rsidRPr="00C421E4">
              <w:rPr>
                <w:rFonts w:ascii="Times" w:hAnsi="Times"/>
              </w:rPr>
              <w:t>0.06</w:t>
            </w:r>
          </w:p>
        </w:tc>
        <w:tc>
          <w:tcPr>
            <w:tcW w:w="1432" w:type="dxa"/>
            <w:shd w:val="clear" w:color="auto" w:fill="auto"/>
            <w:noWrap/>
            <w:vAlign w:val="bottom"/>
            <w:hideMark/>
          </w:tcPr>
          <w:p w14:paraId="4CD330B3" w14:textId="77777777" w:rsidR="00F7044C" w:rsidRPr="00C421E4" w:rsidRDefault="00F7044C" w:rsidP="00804E6B">
            <w:pPr>
              <w:jc w:val="right"/>
              <w:rPr>
                <w:rFonts w:ascii="Times" w:hAnsi="Times"/>
              </w:rPr>
            </w:pPr>
            <w:r w:rsidRPr="00C421E4">
              <w:rPr>
                <w:rFonts w:ascii="Times" w:hAnsi="Times"/>
              </w:rPr>
              <w:t>0.952</w:t>
            </w:r>
          </w:p>
        </w:tc>
      </w:tr>
      <w:tr w:rsidR="00F7044C" w:rsidRPr="00C421E4" w14:paraId="41B314FC" w14:textId="77777777" w:rsidTr="00804E6B">
        <w:trPr>
          <w:trHeight w:val="320"/>
        </w:trPr>
        <w:tc>
          <w:tcPr>
            <w:tcW w:w="8630" w:type="dxa"/>
            <w:gridSpan w:val="6"/>
            <w:shd w:val="clear" w:color="auto" w:fill="auto"/>
            <w:noWrap/>
            <w:vAlign w:val="bottom"/>
            <w:hideMark/>
          </w:tcPr>
          <w:p w14:paraId="6AA7C811"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69A56195" w14:textId="77777777" w:rsidTr="00804E6B">
        <w:trPr>
          <w:trHeight w:val="320"/>
        </w:trPr>
        <w:tc>
          <w:tcPr>
            <w:tcW w:w="1975" w:type="dxa"/>
            <w:shd w:val="clear" w:color="auto" w:fill="auto"/>
            <w:noWrap/>
            <w:vAlign w:val="bottom"/>
            <w:hideMark/>
          </w:tcPr>
          <w:p w14:paraId="0E38D51A" w14:textId="77777777" w:rsidR="00F7044C" w:rsidRPr="00C421E4" w:rsidRDefault="00F7044C" w:rsidP="00804E6B">
            <w:pPr>
              <w:rPr>
                <w:rFonts w:ascii="Times" w:hAnsi="Times"/>
              </w:rPr>
            </w:pPr>
            <w:r w:rsidRPr="00C421E4">
              <w:rPr>
                <w:rFonts w:ascii="Times" w:hAnsi="Times"/>
              </w:rPr>
              <w:t>Valence</w:t>
            </w:r>
          </w:p>
        </w:tc>
        <w:tc>
          <w:tcPr>
            <w:tcW w:w="1080" w:type="dxa"/>
            <w:shd w:val="clear" w:color="auto" w:fill="auto"/>
            <w:noWrap/>
            <w:vAlign w:val="bottom"/>
            <w:hideMark/>
          </w:tcPr>
          <w:p w14:paraId="3553F9D9" w14:textId="77777777" w:rsidR="00F7044C" w:rsidRPr="00C421E4" w:rsidRDefault="00F7044C" w:rsidP="00804E6B">
            <w:pPr>
              <w:jc w:val="right"/>
              <w:rPr>
                <w:rFonts w:ascii="Times" w:hAnsi="Times"/>
              </w:rPr>
            </w:pPr>
            <w:r w:rsidRPr="00C421E4">
              <w:rPr>
                <w:rFonts w:ascii="Times" w:hAnsi="Times"/>
              </w:rPr>
              <w:t>-6.355</w:t>
            </w:r>
          </w:p>
        </w:tc>
        <w:tc>
          <w:tcPr>
            <w:tcW w:w="1279" w:type="dxa"/>
            <w:shd w:val="clear" w:color="auto" w:fill="auto"/>
            <w:noWrap/>
            <w:vAlign w:val="bottom"/>
            <w:hideMark/>
          </w:tcPr>
          <w:p w14:paraId="71A4C488" w14:textId="77777777" w:rsidR="00F7044C" w:rsidRPr="00C421E4" w:rsidRDefault="00F7044C" w:rsidP="00804E6B">
            <w:pPr>
              <w:jc w:val="right"/>
              <w:rPr>
                <w:rFonts w:ascii="Times" w:hAnsi="Times"/>
              </w:rPr>
            </w:pPr>
            <w:r w:rsidRPr="00C421E4">
              <w:rPr>
                <w:rFonts w:ascii="Times" w:hAnsi="Times"/>
              </w:rPr>
              <w:t>3.996</w:t>
            </w:r>
          </w:p>
        </w:tc>
        <w:tc>
          <w:tcPr>
            <w:tcW w:w="1432" w:type="dxa"/>
            <w:shd w:val="clear" w:color="auto" w:fill="auto"/>
            <w:noWrap/>
            <w:vAlign w:val="bottom"/>
            <w:hideMark/>
          </w:tcPr>
          <w:p w14:paraId="59149947" w14:textId="77777777" w:rsidR="00F7044C" w:rsidRPr="00C421E4" w:rsidRDefault="00F7044C" w:rsidP="00804E6B">
            <w:pPr>
              <w:jc w:val="right"/>
              <w:rPr>
                <w:rFonts w:ascii="Times" w:hAnsi="Times"/>
              </w:rPr>
            </w:pPr>
            <w:r w:rsidRPr="00C421E4">
              <w:rPr>
                <w:rFonts w:ascii="Times" w:hAnsi="Times"/>
              </w:rPr>
              <w:t>-1.088</w:t>
            </w:r>
          </w:p>
        </w:tc>
        <w:tc>
          <w:tcPr>
            <w:tcW w:w="1432" w:type="dxa"/>
            <w:shd w:val="clear" w:color="auto" w:fill="auto"/>
            <w:noWrap/>
            <w:vAlign w:val="bottom"/>
            <w:hideMark/>
          </w:tcPr>
          <w:p w14:paraId="06492D03" w14:textId="77777777" w:rsidR="00F7044C" w:rsidRPr="00C421E4" w:rsidRDefault="00F7044C" w:rsidP="00804E6B">
            <w:pPr>
              <w:jc w:val="right"/>
              <w:rPr>
                <w:rFonts w:ascii="Times" w:hAnsi="Times"/>
              </w:rPr>
            </w:pPr>
            <w:r w:rsidRPr="00C421E4">
              <w:rPr>
                <w:rFonts w:ascii="Times" w:hAnsi="Times"/>
              </w:rPr>
              <w:t>-1.59</w:t>
            </w:r>
          </w:p>
        </w:tc>
        <w:tc>
          <w:tcPr>
            <w:tcW w:w="1432" w:type="dxa"/>
            <w:shd w:val="clear" w:color="auto" w:fill="auto"/>
            <w:noWrap/>
            <w:vAlign w:val="bottom"/>
            <w:hideMark/>
          </w:tcPr>
          <w:p w14:paraId="40507500" w14:textId="77777777" w:rsidR="00F7044C" w:rsidRPr="00C421E4" w:rsidRDefault="00F7044C" w:rsidP="00804E6B">
            <w:pPr>
              <w:jc w:val="right"/>
              <w:rPr>
                <w:rFonts w:ascii="Times" w:hAnsi="Times"/>
              </w:rPr>
            </w:pPr>
            <w:r w:rsidRPr="00C421E4">
              <w:rPr>
                <w:rFonts w:ascii="Times" w:hAnsi="Times"/>
              </w:rPr>
              <w:t>0.115</w:t>
            </w:r>
          </w:p>
        </w:tc>
      </w:tr>
      <w:tr w:rsidR="00F7044C" w:rsidRPr="00C421E4" w14:paraId="498BC51F" w14:textId="77777777" w:rsidTr="00804E6B">
        <w:trPr>
          <w:trHeight w:val="320"/>
        </w:trPr>
        <w:tc>
          <w:tcPr>
            <w:tcW w:w="1975" w:type="dxa"/>
            <w:shd w:val="clear" w:color="auto" w:fill="auto"/>
            <w:noWrap/>
            <w:vAlign w:val="bottom"/>
            <w:hideMark/>
          </w:tcPr>
          <w:p w14:paraId="089D7024" w14:textId="77777777" w:rsidR="00F7044C" w:rsidRPr="00C421E4" w:rsidRDefault="00F7044C" w:rsidP="00804E6B">
            <w:pPr>
              <w:rPr>
                <w:rFonts w:ascii="Times" w:hAnsi="Times"/>
              </w:rPr>
            </w:pPr>
            <w:r w:rsidRPr="00C421E4">
              <w:rPr>
                <w:rFonts w:ascii="Times" w:hAnsi="Times"/>
              </w:rPr>
              <w:t>Arousal</w:t>
            </w:r>
          </w:p>
        </w:tc>
        <w:tc>
          <w:tcPr>
            <w:tcW w:w="1080" w:type="dxa"/>
            <w:shd w:val="clear" w:color="auto" w:fill="auto"/>
            <w:noWrap/>
            <w:vAlign w:val="bottom"/>
            <w:hideMark/>
          </w:tcPr>
          <w:p w14:paraId="1AE3D4D8" w14:textId="77777777" w:rsidR="00F7044C" w:rsidRPr="00C421E4" w:rsidRDefault="00F7044C" w:rsidP="00804E6B">
            <w:pPr>
              <w:jc w:val="right"/>
              <w:rPr>
                <w:rFonts w:ascii="Times" w:hAnsi="Times"/>
              </w:rPr>
            </w:pPr>
            <w:r w:rsidRPr="00C421E4">
              <w:rPr>
                <w:rFonts w:ascii="Times" w:hAnsi="Times"/>
              </w:rPr>
              <w:t>-1.987</w:t>
            </w:r>
          </w:p>
        </w:tc>
        <w:tc>
          <w:tcPr>
            <w:tcW w:w="1279" w:type="dxa"/>
            <w:shd w:val="clear" w:color="auto" w:fill="auto"/>
            <w:noWrap/>
            <w:vAlign w:val="bottom"/>
            <w:hideMark/>
          </w:tcPr>
          <w:p w14:paraId="31692C0D" w14:textId="77777777" w:rsidR="00F7044C" w:rsidRPr="00C421E4" w:rsidRDefault="00F7044C" w:rsidP="00804E6B">
            <w:pPr>
              <w:jc w:val="right"/>
              <w:rPr>
                <w:rFonts w:ascii="Times" w:hAnsi="Times"/>
              </w:rPr>
            </w:pPr>
            <w:r w:rsidRPr="00C421E4">
              <w:rPr>
                <w:rFonts w:ascii="Times" w:hAnsi="Times"/>
              </w:rPr>
              <w:t>1.668</w:t>
            </w:r>
          </w:p>
        </w:tc>
        <w:tc>
          <w:tcPr>
            <w:tcW w:w="1432" w:type="dxa"/>
            <w:shd w:val="clear" w:color="auto" w:fill="auto"/>
            <w:noWrap/>
            <w:vAlign w:val="bottom"/>
            <w:hideMark/>
          </w:tcPr>
          <w:p w14:paraId="2ACBB070" w14:textId="77777777" w:rsidR="00F7044C" w:rsidRPr="00C421E4" w:rsidRDefault="00F7044C" w:rsidP="00804E6B">
            <w:pPr>
              <w:jc w:val="right"/>
              <w:rPr>
                <w:rFonts w:ascii="Times" w:hAnsi="Times"/>
              </w:rPr>
            </w:pPr>
            <w:r w:rsidRPr="00C421E4">
              <w:rPr>
                <w:rFonts w:ascii="Times" w:hAnsi="Times"/>
              </w:rPr>
              <w:t>-0.279</w:t>
            </w:r>
          </w:p>
        </w:tc>
        <w:tc>
          <w:tcPr>
            <w:tcW w:w="1432" w:type="dxa"/>
            <w:shd w:val="clear" w:color="auto" w:fill="auto"/>
            <w:noWrap/>
            <w:vAlign w:val="bottom"/>
            <w:hideMark/>
          </w:tcPr>
          <w:p w14:paraId="633C77A0" w14:textId="77777777" w:rsidR="00F7044C" w:rsidRPr="00C421E4" w:rsidRDefault="00F7044C" w:rsidP="00804E6B">
            <w:pPr>
              <w:jc w:val="right"/>
              <w:rPr>
                <w:rFonts w:ascii="Times" w:hAnsi="Times"/>
              </w:rPr>
            </w:pPr>
            <w:r w:rsidRPr="00C421E4">
              <w:rPr>
                <w:rFonts w:ascii="Times" w:hAnsi="Times"/>
              </w:rPr>
              <w:t>-1.191</w:t>
            </w:r>
          </w:p>
        </w:tc>
        <w:tc>
          <w:tcPr>
            <w:tcW w:w="1432" w:type="dxa"/>
            <w:shd w:val="clear" w:color="auto" w:fill="auto"/>
            <w:noWrap/>
            <w:vAlign w:val="bottom"/>
            <w:hideMark/>
          </w:tcPr>
          <w:p w14:paraId="21C62525" w14:textId="77777777" w:rsidR="00F7044C" w:rsidRPr="00C421E4" w:rsidRDefault="00F7044C" w:rsidP="00804E6B">
            <w:pPr>
              <w:jc w:val="right"/>
              <w:rPr>
                <w:rFonts w:ascii="Times" w:hAnsi="Times"/>
              </w:rPr>
            </w:pPr>
            <w:r w:rsidRPr="00C421E4">
              <w:rPr>
                <w:rFonts w:ascii="Times" w:hAnsi="Times"/>
              </w:rPr>
              <w:t>0.237</w:t>
            </w:r>
          </w:p>
        </w:tc>
      </w:tr>
      <w:tr w:rsidR="00F7044C" w:rsidRPr="00C421E4" w14:paraId="13CF9A21" w14:textId="77777777" w:rsidTr="00804E6B">
        <w:trPr>
          <w:trHeight w:val="320"/>
        </w:trPr>
        <w:tc>
          <w:tcPr>
            <w:tcW w:w="1975" w:type="dxa"/>
            <w:shd w:val="clear" w:color="auto" w:fill="auto"/>
            <w:noWrap/>
            <w:vAlign w:val="bottom"/>
            <w:hideMark/>
          </w:tcPr>
          <w:p w14:paraId="12161772" w14:textId="77777777" w:rsidR="00F7044C" w:rsidRPr="00C421E4" w:rsidRDefault="00F7044C" w:rsidP="00804E6B">
            <w:pPr>
              <w:rPr>
                <w:rFonts w:ascii="Times" w:hAnsi="Times"/>
              </w:rPr>
            </w:pPr>
            <w:r w:rsidRPr="00C421E4">
              <w:rPr>
                <w:rFonts w:ascii="Times" w:hAnsi="Times"/>
              </w:rPr>
              <w:t>Skin conductance</w:t>
            </w:r>
          </w:p>
        </w:tc>
        <w:tc>
          <w:tcPr>
            <w:tcW w:w="1080" w:type="dxa"/>
            <w:shd w:val="clear" w:color="auto" w:fill="auto"/>
            <w:noWrap/>
            <w:vAlign w:val="bottom"/>
            <w:hideMark/>
          </w:tcPr>
          <w:p w14:paraId="748E3A71" w14:textId="77777777" w:rsidR="00F7044C" w:rsidRPr="00C421E4" w:rsidRDefault="00F7044C" w:rsidP="00804E6B">
            <w:pPr>
              <w:jc w:val="right"/>
              <w:rPr>
                <w:rFonts w:ascii="Times" w:hAnsi="Times"/>
              </w:rPr>
            </w:pPr>
            <w:r w:rsidRPr="00C421E4">
              <w:rPr>
                <w:rFonts w:ascii="Times" w:hAnsi="Times"/>
              </w:rPr>
              <w:t>24.03</w:t>
            </w:r>
          </w:p>
        </w:tc>
        <w:tc>
          <w:tcPr>
            <w:tcW w:w="1279" w:type="dxa"/>
            <w:shd w:val="clear" w:color="auto" w:fill="auto"/>
            <w:noWrap/>
            <w:vAlign w:val="bottom"/>
            <w:hideMark/>
          </w:tcPr>
          <w:p w14:paraId="0F64EC94" w14:textId="77777777" w:rsidR="00F7044C" w:rsidRPr="00C421E4" w:rsidRDefault="00F7044C" w:rsidP="00804E6B">
            <w:pPr>
              <w:jc w:val="right"/>
              <w:rPr>
                <w:rFonts w:ascii="Times" w:hAnsi="Times"/>
              </w:rPr>
            </w:pPr>
            <w:r w:rsidRPr="00C421E4">
              <w:rPr>
                <w:rFonts w:ascii="Times" w:hAnsi="Times"/>
              </w:rPr>
              <w:t>14.17</w:t>
            </w:r>
          </w:p>
        </w:tc>
        <w:tc>
          <w:tcPr>
            <w:tcW w:w="1432" w:type="dxa"/>
            <w:shd w:val="clear" w:color="auto" w:fill="auto"/>
            <w:noWrap/>
            <w:vAlign w:val="bottom"/>
            <w:hideMark/>
          </w:tcPr>
          <w:p w14:paraId="2DD4900E" w14:textId="77777777" w:rsidR="00F7044C" w:rsidRPr="00C421E4" w:rsidRDefault="00F7044C" w:rsidP="00804E6B">
            <w:pPr>
              <w:jc w:val="right"/>
              <w:rPr>
                <w:rFonts w:ascii="Times" w:hAnsi="Times"/>
              </w:rPr>
            </w:pPr>
            <w:r w:rsidRPr="00C421E4">
              <w:rPr>
                <w:rFonts w:ascii="Times" w:hAnsi="Times"/>
              </w:rPr>
              <w:t>0.291</w:t>
            </w:r>
          </w:p>
        </w:tc>
        <w:tc>
          <w:tcPr>
            <w:tcW w:w="1432" w:type="dxa"/>
            <w:shd w:val="clear" w:color="auto" w:fill="auto"/>
            <w:noWrap/>
            <w:vAlign w:val="bottom"/>
            <w:hideMark/>
          </w:tcPr>
          <w:p w14:paraId="4EA73BF5" w14:textId="77777777" w:rsidR="00F7044C" w:rsidRPr="00C421E4" w:rsidRDefault="00F7044C" w:rsidP="00804E6B">
            <w:pPr>
              <w:jc w:val="right"/>
              <w:rPr>
                <w:rFonts w:ascii="Times" w:hAnsi="Times"/>
              </w:rPr>
            </w:pPr>
            <w:r w:rsidRPr="00C421E4">
              <w:rPr>
                <w:rFonts w:ascii="Times" w:hAnsi="Times"/>
              </w:rPr>
              <w:t>1.696</w:t>
            </w:r>
          </w:p>
        </w:tc>
        <w:tc>
          <w:tcPr>
            <w:tcW w:w="1432" w:type="dxa"/>
            <w:shd w:val="clear" w:color="auto" w:fill="auto"/>
            <w:noWrap/>
            <w:vAlign w:val="bottom"/>
            <w:hideMark/>
          </w:tcPr>
          <w:p w14:paraId="00B3FBCD" w14:textId="77777777" w:rsidR="00F7044C" w:rsidRPr="00C421E4" w:rsidRDefault="00F7044C" w:rsidP="00804E6B">
            <w:pPr>
              <w:jc w:val="right"/>
              <w:rPr>
                <w:rFonts w:ascii="Times" w:hAnsi="Times"/>
              </w:rPr>
            </w:pPr>
            <w:r w:rsidRPr="00C421E4">
              <w:rPr>
                <w:rFonts w:ascii="Times" w:hAnsi="Times"/>
              </w:rPr>
              <w:t>0.094</w:t>
            </w:r>
          </w:p>
        </w:tc>
      </w:tr>
      <w:tr w:rsidR="00F7044C" w:rsidRPr="00C421E4" w14:paraId="6093B86C" w14:textId="77777777" w:rsidTr="00804E6B">
        <w:trPr>
          <w:trHeight w:val="320"/>
        </w:trPr>
        <w:tc>
          <w:tcPr>
            <w:tcW w:w="1975" w:type="dxa"/>
            <w:shd w:val="clear" w:color="auto" w:fill="auto"/>
            <w:noWrap/>
            <w:vAlign w:val="bottom"/>
            <w:hideMark/>
          </w:tcPr>
          <w:p w14:paraId="1E588F60" w14:textId="77777777" w:rsidR="00F7044C" w:rsidRPr="00C421E4" w:rsidRDefault="00F7044C" w:rsidP="00804E6B">
            <w:pPr>
              <w:rPr>
                <w:rFonts w:ascii="Times" w:hAnsi="Times"/>
              </w:rPr>
            </w:pPr>
            <w:r w:rsidRPr="00C421E4">
              <w:rPr>
                <w:rFonts w:ascii="Times" w:hAnsi="Times"/>
              </w:rPr>
              <w:t>Zygomaticus tone</w:t>
            </w:r>
          </w:p>
        </w:tc>
        <w:tc>
          <w:tcPr>
            <w:tcW w:w="1080" w:type="dxa"/>
            <w:shd w:val="clear" w:color="auto" w:fill="auto"/>
            <w:noWrap/>
            <w:vAlign w:val="bottom"/>
            <w:hideMark/>
          </w:tcPr>
          <w:p w14:paraId="46811B5F" w14:textId="77777777" w:rsidR="00F7044C" w:rsidRPr="00C421E4" w:rsidRDefault="00F7044C" w:rsidP="00804E6B">
            <w:pPr>
              <w:jc w:val="right"/>
              <w:rPr>
                <w:rFonts w:ascii="Times" w:hAnsi="Times"/>
              </w:rPr>
            </w:pPr>
            <w:r w:rsidRPr="00C421E4">
              <w:rPr>
                <w:rFonts w:ascii="Times" w:hAnsi="Times"/>
              </w:rPr>
              <w:t>-2.231</w:t>
            </w:r>
          </w:p>
        </w:tc>
        <w:tc>
          <w:tcPr>
            <w:tcW w:w="1279" w:type="dxa"/>
            <w:shd w:val="clear" w:color="auto" w:fill="auto"/>
            <w:noWrap/>
            <w:vAlign w:val="bottom"/>
            <w:hideMark/>
          </w:tcPr>
          <w:p w14:paraId="6203E443" w14:textId="77777777" w:rsidR="00F7044C" w:rsidRPr="00C421E4" w:rsidRDefault="00F7044C" w:rsidP="00804E6B">
            <w:pPr>
              <w:jc w:val="right"/>
              <w:rPr>
                <w:rFonts w:ascii="Times" w:hAnsi="Times"/>
              </w:rPr>
            </w:pPr>
            <w:r w:rsidRPr="00C421E4">
              <w:rPr>
                <w:rFonts w:ascii="Times" w:hAnsi="Times"/>
              </w:rPr>
              <w:t>2.396</w:t>
            </w:r>
          </w:p>
        </w:tc>
        <w:tc>
          <w:tcPr>
            <w:tcW w:w="1432" w:type="dxa"/>
            <w:shd w:val="clear" w:color="auto" w:fill="auto"/>
            <w:noWrap/>
            <w:vAlign w:val="bottom"/>
            <w:hideMark/>
          </w:tcPr>
          <w:p w14:paraId="4A58D148" w14:textId="77777777" w:rsidR="00F7044C" w:rsidRPr="00C421E4" w:rsidRDefault="00F7044C" w:rsidP="00804E6B">
            <w:pPr>
              <w:jc w:val="right"/>
              <w:rPr>
                <w:rFonts w:ascii="Times" w:hAnsi="Times"/>
              </w:rPr>
            </w:pPr>
            <w:r w:rsidRPr="00C421E4">
              <w:rPr>
                <w:rFonts w:ascii="Times" w:hAnsi="Times"/>
              </w:rPr>
              <w:t>-0.145</w:t>
            </w:r>
          </w:p>
        </w:tc>
        <w:tc>
          <w:tcPr>
            <w:tcW w:w="1432" w:type="dxa"/>
            <w:shd w:val="clear" w:color="auto" w:fill="auto"/>
            <w:noWrap/>
            <w:vAlign w:val="bottom"/>
            <w:hideMark/>
          </w:tcPr>
          <w:p w14:paraId="4C61830F" w14:textId="77777777" w:rsidR="00F7044C" w:rsidRPr="00C421E4" w:rsidRDefault="00F7044C" w:rsidP="00804E6B">
            <w:pPr>
              <w:jc w:val="right"/>
              <w:rPr>
                <w:rFonts w:ascii="Times" w:hAnsi="Times"/>
              </w:rPr>
            </w:pPr>
            <w:r w:rsidRPr="00C421E4">
              <w:rPr>
                <w:rFonts w:ascii="Times" w:hAnsi="Times"/>
              </w:rPr>
              <w:t>-0.931</w:t>
            </w:r>
          </w:p>
        </w:tc>
        <w:tc>
          <w:tcPr>
            <w:tcW w:w="1432" w:type="dxa"/>
            <w:shd w:val="clear" w:color="auto" w:fill="auto"/>
            <w:noWrap/>
            <w:vAlign w:val="bottom"/>
            <w:hideMark/>
          </w:tcPr>
          <w:p w14:paraId="53EDB05D" w14:textId="77777777" w:rsidR="00F7044C" w:rsidRPr="00C421E4" w:rsidRDefault="00F7044C" w:rsidP="00804E6B">
            <w:pPr>
              <w:jc w:val="right"/>
              <w:rPr>
                <w:rFonts w:ascii="Times" w:hAnsi="Times"/>
              </w:rPr>
            </w:pPr>
            <w:r w:rsidRPr="00C421E4">
              <w:rPr>
                <w:rFonts w:ascii="Times" w:hAnsi="Times"/>
              </w:rPr>
              <w:t>0.355</w:t>
            </w:r>
          </w:p>
        </w:tc>
      </w:tr>
      <w:tr w:rsidR="00F7044C" w:rsidRPr="00C421E4" w14:paraId="09A279A6" w14:textId="77777777" w:rsidTr="00804E6B">
        <w:trPr>
          <w:trHeight w:val="320"/>
        </w:trPr>
        <w:tc>
          <w:tcPr>
            <w:tcW w:w="1975" w:type="dxa"/>
            <w:shd w:val="clear" w:color="auto" w:fill="auto"/>
            <w:noWrap/>
            <w:vAlign w:val="bottom"/>
            <w:hideMark/>
          </w:tcPr>
          <w:p w14:paraId="1E1702DE" w14:textId="77777777" w:rsidR="00F7044C" w:rsidRPr="00C421E4" w:rsidRDefault="00F7044C" w:rsidP="00804E6B">
            <w:pPr>
              <w:rPr>
                <w:rFonts w:ascii="Times" w:hAnsi="Times"/>
              </w:rPr>
            </w:pPr>
            <w:r w:rsidRPr="00C421E4">
              <w:rPr>
                <w:rFonts w:ascii="Times" w:hAnsi="Times"/>
              </w:rPr>
              <w:t>Heart rate</w:t>
            </w:r>
          </w:p>
        </w:tc>
        <w:tc>
          <w:tcPr>
            <w:tcW w:w="1080" w:type="dxa"/>
            <w:shd w:val="clear" w:color="auto" w:fill="auto"/>
            <w:noWrap/>
            <w:vAlign w:val="bottom"/>
            <w:hideMark/>
          </w:tcPr>
          <w:p w14:paraId="73D5CD3F" w14:textId="77777777" w:rsidR="00F7044C" w:rsidRPr="00C421E4" w:rsidRDefault="00F7044C" w:rsidP="00804E6B">
            <w:pPr>
              <w:jc w:val="right"/>
              <w:rPr>
                <w:rFonts w:ascii="Times" w:hAnsi="Times"/>
              </w:rPr>
            </w:pPr>
            <w:r w:rsidRPr="00C421E4">
              <w:rPr>
                <w:rFonts w:ascii="Times" w:hAnsi="Times"/>
              </w:rPr>
              <w:t>-0.015</w:t>
            </w:r>
          </w:p>
        </w:tc>
        <w:tc>
          <w:tcPr>
            <w:tcW w:w="1279" w:type="dxa"/>
            <w:shd w:val="clear" w:color="auto" w:fill="auto"/>
            <w:noWrap/>
            <w:vAlign w:val="bottom"/>
            <w:hideMark/>
          </w:tcPr>
          <w:p w14:paraId="6C2FD87A" w14:textId="77777777" w:rsidR="00F7044C" w:rsidRPr="00C421E4" w:rsidRDefault="00F7044C" w:rsidP="00804E6B">
            <w:pPr>
              <w:jc w:val="right"/>
              <w:rPr>
                <w:rFonts w:ascii="Times" w:hAnsi="Times"/>
              </w:rPr>
            </w:pPr>
            <w:r w:rsidRPr="00C421E4">
              <w:rPr>
                <w:rFonts w:ascii="Times" w:hAnsi="Times"/>
              </w:rPr>
              <w:t>0.199</w:t>
            </w:r>
          </w:p>
        </w:tc>
        <w:tc>
          <w:tcPr>
            <w:tcW w:w="1432" w:type="dxa"/>
            <w:shd w:val="clear" w:color="auto" w:fill="auto"/>
            <w:noWrap/>
            <w:vAlign w:val="bottom"/>
            <w:hideMark/>
          </w:tcPr>
          <w:p w14:paraId="0290C46C" w14:textId="77777777" w:rsidR="00F7044C" w:rsidRPr="00C421E4" w:rsidRDefault="00F7044C" w:rsidP="00804E6B">
            <w:pPr>
              <w:jc w:val="right"/>
              <w:rPr>
                <w:rFonts w:ascii="Times" w:hAnsi="Times"/>
              </w:rPr>
            </w:pPr>
            <w:r w:rsidRPr="00C421E4">
              <w:rPr>
                <w:rFonts w:ascii="Times" w:hAnsi="Times"/>
              </w:rPr>
              <w:t>-0.01</w:t>
            </w:r>
          </w:p>
        </w:tc>
        <w:tc>
          <w:tcPr>
            <w:tcW w:w="1432" w:type="dxa"/>
            <w:shd w:val="clear" w:color="auto" w:fill="auto"/>
            <w:noWrap/>
            <w:vAlign w:val="bottom"/>
            <w:hideMark/>
          </w:tcPr>
          <w:p w14:paraId="06CC1FB5" w14:textId="77777777" w:rsidR="00F7044C" w:rsidRPr="00C421E4" w:rsidRDefault="00F7044C" w:rsidP="00804E6B">
            <w:pPr>
              <w:jc w:val="right"/>
              <w:rPr>
                <w:rFonts w:ascii="Times" w:hAnsi="Times"/>
              </w:rPr>
            </w:pPr>
            <w:r w:rsidRPr="00C421E4">
              <w:rPr>
                <w:rFonts w:ascii="Times" w:hAnsi="Times"/>
              </w:rPr>
              <w:t>-0.078</w:t>
            </w:r>
          </w:p>
        </w:tc>
        <w:tc>
          <w:tcPr>
            <w:tcW w:w="1432" w:type="dxa"/>
            <w:shd w:val="clear" w:color="auto" w:fill="auto"/>
            <w:noWrap/>
            <w:vAlign w:val="bottom"/>
            <w:hideMark/>
          </w:tcPr>
          <w:p w14:paraId="5FE90645" w14:textId="77777777" w:rsidR="00F7044C" w:rsidRPr="00C421E4" w:rsidRDefault="00F7044C" w:rsidP="00804E6B">
            <w:pPr>
              <w:jc w:val="right"/>
              <w:rPr>
                <w:rFonts w:ascii="Times" w:hAnsi="Times"/>
              </w:rPr>
            </w:pPr>
            <w:r w:rsidRPr="00C421E4">
              <w:rPr>
                <w:rFonts w:ascii="Times" w:hAnsi="Times"/>
              </w:rPr>
              <w:t>0.938</w:t>
            </w:r>
          </w:p>
        </w:tc>
      </w:tr>
    </w:tbl>
    <w:p w14:paraId="392191C6" w14:textId="77777777" w:rsidR="00F7044C" w:rsidRPr="00C421E4" w:rsidRDefault="00F7044C" w:rsidP="00F7044C">
      <w:pPr>
        <w:rPr>
          <w:rFonts w:ascii="Times" w:hAnsi="Times"/>
        </w:rPr>
      </w:pPr>
    </w:p>
    <w:p w14:paraId="57E222CF" w14:textId="77777777" w:rsidR="00F7044C" w:rsidRPr="00C421E4" w:rsidRDefault="00F7044C" w:rsidP="00F7044C">
      <w:pPr>
        <w:rPr>
          <w:rFonts w:ascii="Times" w:hAnsi="Times"/>
        </w:rPr>
      </w:pPr>
      <w:r>
        <w:rPr>
          <w:rFonts w:ascii="Times" w:hAnsi="Times"/>
        </w:rPr>
        <w:t>Table 11</w:t>
      </w:r>
      <w:r w:rsidRPr="00C421E4">
        <w:rPr>
          <w:rFonts w:ascii="Times" w:hAnsi="Times"/>
        </w:rPr>
        <w:t xml:space="preserve">: Regression results for interactions predicting anxiety symptoms.  </w:t>
      </w:r>
    </w:p>
    <w:p w14:paraId="195E3CCA" w14:textId="77777777" w:rsidR="00F7044C" w:rsidRPr="00C421E4" w:rsidRDefault="00F7044C" w:rsidP="00F7044C">
      <w:pPr>
        <w:rPr>
          <w:rFonts w:ascii="Times" w:hAnsi="Times"/>
        </w:rPr>
      </w:pPr>
      <w:r w:rsidRPr="00C421E4">
        <w:rPr>
          <w:rFonts w:ascii="Times" w:hAnsi="Times"/>
        </w:rPr>
        <w:br w:type="page"/>
      </w:r>
    </w:p>
    <w:p w14:paraId="4F4EBFD6" w14:textId="77777777" w:rsidR="00F7044C" w:rsidRPr="00C421E4" w:rsidRDefault="00F7044C" w:rsidP="00F7044C">
      <w:pPr>
        <w:rPr>
          <w:rFonts w:ascii="Times" w:hAnsi="Times"/>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0"/>
        <w:gridCol w:w="1300"/>
        <w:gridCol w:w="1300"/>
        <w:gridCol w:w="1300"/>
        <w:gridCol w:w="1300"/>
        <w:gridCol w:w="1300"/>
      </w:tblGrid>
      <w:tr w:rsidR="00F7044C" w:rsidRPr="00C421E4" w14:paraId="2F0ED57A" w14:textId="77777777" w:rsidTr="00804E6B">
        <w:trPr>
          <w:trHeight w:val="320"/>
        </w:trPr>
        <w:tc>
          <w:tcPr>
            <w:tcW w:w="2000" w:type="dxa"/>
            <w:shd w:val="clear" w:color="auto" w:fill="auto"/>
            <w:noWrap/>
            <w:vAlign w:val="bottom"/>
            <w:hideMark/>
          </w:tcPr>
          <w:p w14:paraId="1B226643" w14:textId="77777777" w:rsidR="00F7044C" w:rsidRPr="00C421E4" w:rsidRDefault="00F7044C" w:rsidP="00804E6B">
            <w:pPr>
              <w:rPr>
                <w:rFonts w:ascii="Times" w:hAnsi="Times"/>
              </w:rPr>
            </w:pPr>
          </w:p>
        </w:tc>
        <w:tc>
          <w:tcPr>
            <w:tcW w:w="1300" w:type="dxa"/>
            <w:shd w:val="clear" w:color="auto" w:fill="auto"/>
            <w:noWrap/>
            <w:vAlign w:val="bottom"/>
            <w:hideMark/>
          </w:tcPr>
          <w:p w14:paraId="11B9D2F0" w14:textId="77777777" w:rsidR="00F7044C" w:rsidRPr="00C421E4" w:rsidRDefault="00F7044C" w:rsidP="00804E6B">
            <w:pPr>
              <w:rPr>
                <w:rFonts w:ascii="Times" w:hAnsi="Times"/>
              </w:rPr>
            </w:pPr>
            <w:r w:rsidRPr="00C421E4">
              <w:rPr>
                <w:rFonts w:ascii="Times" w:hAnsi="Times"/>
              </w:rPr>
              <w:t>B</w:t>
            </w:r>
          </w:p>
        </w:tc>
        <w:tc>
          <w:tcPr>
            <w:tcW w:w="1300" w:type="dxa"/>
            <w:shd w:val="clear" w:color="auto" w:fill="auto"/>
            <w:noWrap/>
            <w:vAlign w:val="bottom"/>
            <w:hideMark/>
          </w:tcPr>
          <w:p w14:paraId="20DDF650" w14:textId="77777777" w:rsidR="00F7044C" w:rsidRPr="00C421E4" w:rsidRDefault="00F7044C" w:rsidP="00804E6B">
            <w:pPr>
              <w:rPr>
                <w:rFonts w:ascii="Times" w:hAnsi="Times"/>
              </w:rPr>
            </w:pPr>
            <w:r w:rsidRPr="00C421E4">
              <w:rPr>
                <w:rFonts w:ascii="Times" w:hAnsi="Times"/>
              </w:rPr>
              <w:t>Std. Error</w:t>
            </w:r>
          </w:p>
        </w:tc>
        <w:tc>
          <w:tcPr>
            <w:tcW w:w="1300" w:type="dxa"/>
            <w:shd w:val="clear" w:color="auto" w:fill="auto"/>
            <w:noWrap/>
            <w:vAlign w:val="bottom"/>
            <w:hideMark/>
          </w:tcPr>
          <w:p w14:paraId="7E3F2C95" w14:textId="77777777" w:rsidR="00F7044C" w:rsidRPr="00C421E4" w:rsidRDefault="00F7044C" w:rsidP="00804E6B">
            <w:pPr>
              <w:rPr>
                <w:rFonts w:ascii="Times" w:hAnsi="Times"/>
              </w:rPr>
            </w:pPr>
            <w:r w:rsidRPr="00C421E4">
              <w:rPr>
                <w:rFonts w:ascii="Times" w:hAnsi="Times"/>
              </w:rPr>
              <w:t>Beta</w:t>
            </w:r>
          </w:p>
        </w:tc>
        <w:tc>
          <w:tcPr>
            <w:tcW w:w="1300" w:type="dxa"/>
            <w:shd w:val="clear" w:color="auto" w:fill="auto"/>
            <w:noWrap/>
            <w:vAlign w:val="bottom"/>
            <w:hideMark/>
          </w:tcPr>
          <w:p w14:paraId="589E41F2" w14:textId="77777777" w:rsidR="00F7044C" w:rsidRPr="00C421E4" w:rsidRDefault="00F7044C" w:rsidP="00804E6B">
            <w:pPr>
              <w:rPr>
                <w:rFonts w:ascii="Times" w:hAnsi="Times"/>
              </w:rPr>
            </w:pPr>
            <w:r w:rsidRPr="00C421E4">
              <w:rPr>
                <w:rFonts w:ascii="Times" w:hAnsi="Times"/>
              </w:rPr>
              <w:t>T</w:t>
            </w:r>
          </w:p>
        </w:tc>
        <w:tc>
          <w:tcPr>
            <w:tcW w:w="1300" w:type="dxa"/>
            <w:shd w:val="clear" w:color="auto" w:fill="auto"/>
            <w:noWrap/>
            <w:vAlign w:val="bottom"/>
            <w:hideMark/>
          </w:tcPr>
          <w:p w14:paraId="4A54B775" w14:textId="77777777" w:rsidR="00F7044C" w:rsidRPr="00C421E4" w:rsidRDefault="00F7044C" w:rsidP="00804E6B">
            <w:pPr>
              <w:rPr>
                <w:rFonts w:ascii="Times" w:hAnsi="Times"/>
              </w:rPr>
            </w:pPr>
            <w:r w:rsidRPr="00C421E4">
              <w:rPr>
                <w:rFonts w:ascii="Times" w:hAnsi="Times"/>
              </w:rPr>
              <w:t>Sig.</w:t>
            </w:r>
          </w:p>
        </w:tc>
      </w:tr>
      <w:tr w:rsidR="00F7044C" w:rsidRPr="00C421E4" w14:paraId="63B0E072" w14:textId="77777777" w:rsidTr="00804E6B">
        <w:trPr>
          <w:trHeight w:val="320"/>
        </w:trPr>
        <w:tc>
          <w:tcPr>
            <w:tcW w:w="8500" w:type="dxa"/>
            <w:gridSpan w:val="6"/>
            <w:shd w:val="clear" w:color="auto" w:fill="auto"/>
            <w:noWrap/>
            <w:vAlign w:val="bottom"/>
            <w:hideMark/>
          </w:tcPr>
          <w:p w14:paraId="67207838" w14:textId="77777777" w:rsidR="00F7044C" w:rsidRPr="00C421E4" w:rsidRDefault="00F7044C" w:rsidP="00804E6B">
            <w:pPr>
              <w:jc w:val="center"/>
              <w:rPr>
                <w:rFonts w:ascii="Times" w:hAnsi="Times"/>
              </w:rPr>
            </w:pPr>
            <w:r w:rsidRPr="00C421E4">
              <w:rPr>
                <w:rFonts w:ascii="Times" w:hAnsi="Times"/>
              </w:rPr>
              <w:t>Negative Reactivity</w:t>
            </w:r>
          </w:p>
        </w:tc>
      </w:tr>
      <w:tr w:rsidR="00F7044C" w:rsidRPr="00C421E4" w14:paraId="6370AA98" w14:textId="77777777" w:rsidTr="00804E6B">
        <w:trPr>
          <w:trHeight w:val="320"/>
        </w:trPr>
        <w:tc>
          <w:tcPr>
            <w:tcW w:w="2000" w:type="dxa"/>
            <w:shd w:val="clear" w:color="auto" w:fill="auto"/>
            <w:noWrap/>
            <w:vAlign w:val="bottom"/>
            <w:hideMark/>
          </w:tcPr>
          <w:p w14:paraId="139F6908"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center"/>
            <w:hideMark/>
          </w:tcPr>
          <w:p w14:paraId="658D15CC" w14:textId="77777777" w:rsidR="00F7044C" w:rsidRPr="00C421E4" w:rsidRDefault="00F7044C" w:rsidP="00804E6B">
            <w:pPr>
              <w:jc w:val="right"/>
              <w:rPr>
                <w:rFonts w:ascii="Times" w:hAnsi="Times" w:cs="Arial"/>
              </w:rPr>
            </w:pPr>
            <w:r w:rsidRPr="00C421E4">
              <w:rPr>
                <w:rFonts w:ascii="Times" w:hAnsi="Times"/>
              </w:rPr>
              <w:t>0.16</w:t>
            </w:r>
          </w:p>
        </w:tc>
        <w:tc>
          <w:tcPr>
            <w:tcW w:w="1300" w:type="dxa"/>
            <w:shd w:val="clear" w:color="auto" w:fill="auto"/>
            <w:noWrap/>
            <w:vAlign w:val="center"/>
            <w:hideMark/>
          </w:tcPr>
          <w:p w14:paraId="708A0E4B" w14:textId="77777777" w:rsidR="00F7044C" w:rsidRPr="00C421E4" w:rsidRDefault="00F7044C" w:rsidP="00804E6B">
            <w:pPr>
              <w:jc w:val="right"/>
              <w:rPr>
                <w:rFonts w:ascii="Times" w:hAnsi="Times" w:cs="Arial"/>
              </w:rPr>
            </w:pPr>
            <w:r w:rsidRPr="00C421E4">
              <w:rPr>
                <w:rFonts w:ascii="Times" w:hAnsi="Times"/>
              </w:rPr>
              <w:t>0.23</w:t>
            </w:r>
          </w:p>
        </w:tc>
        <w:tc>
          <w:tcPr>
            <w:tcW w:w="1300" w:type="dxa"/>
            <w:shd w:val="clear" w:color="auto" w:fill="auto"/>
            <w:noWrap/>
            <w:vAlign w:val="center"/>
            <w:hideMark/>
          </w:tcPr>
          <w:p w14:paraId="7B53559E" w14:textId="77777777" w:rsidR="00F7044C" w:rsidRPr="00C421E4" w:rsidRDefault="00F7044C" w:rsidP="00804E6B">
            <w:pPr>
              <w:jc w:val="right"/>
              <w:rPr>
                <w:rFonts w:ascii="Times" w:hAnsi="Times" w:cs="Arial"/>
              </w:rPr>
            </w:pPr>
            <w:r w:rsidRPr="00C421E4">
              <w:rPr>
                <w:rFonts w:ascii="Times" w:hAnsi="Times"/>
              </w:rPr>
              <w:t>0.27</w:t>
            </w:r>
          </w:p>
        </w:tc>
        <w:tc>
          <w:tcPr>
            <w:tcW w:w="1300" w:type="dxa"/>
            <w:shd w:val="clear" w:color="auto" w:fill="auto"/>
            <w:noWrap/>
            <w:vAlign w:val="center"/>
            <w:hideMark/>
          </w:tcPr>
          <w:p w14:paraId="470890B3" w14:textId="77777777" w:rsidR="00F7044C" w:rsidRPr="00C421E4" w:rsidRDefault="00F7044C" w:rsidP="00804E6B">
            <w:pPr>
              <w:jc w:val="right"/>
              <w:rPr>
                <w:rFonts w:ascii="Times" w:hAnsi="Times" w:cs="Arial"/>
              </w:rPr>
            </w:pPr>
            <w:r w:rsidRPr="00C421E4">
              <w:rPr>
                <w:rFonts w:ascii="Times" w:hAnsi="Times"/>
              </w:rPr>
              <w:t>0.68</w:t>
            </w:r>
          </w:p>
        </w:tc>
        <w:tc>
          <w:tcPr>
            <w:tcW w:w="1300" w:type="dxa"/>
            <w:shd w:val="clear" w:color="auto" w:fill="auto"/>
            <w:noWrap/>
            <w:vAlign w:val="center"/>
            <w:hideMark/>
          </w:tcPr>
          <w:p w14:paraId="2EA3F813" w14:textId="77777777" w:rsidR="00F7044C" w:rsidRPr="00C421E4" w:rsidRDefault="00F7044C" w:rsidP="00804E6B">
            <w:pPr>
              <w:jc w:val="right"/>
              <w:rPr>
                <w:rFonts w:ascii="Times" w:hAnsi="Times" w:cs="Arial"/>
              </w:rPr>
            </w:pPr>
            <w:r w:rsidRPr="00C421E4">
              <w:rPr>
                <w:rFonts w:ascii="Times" w:hAnsi="Times"/>
              </w:rPr>
              <w:t>0.49</w:t>
            </w:r>
          </w:p>
        </w:tc>
      </w:tr>
      <w:tr w:rsidR="00F7044C" w:rsidRPr="00C421E4" w14:paraId="547CA8FB" w14:textId="77777777" w:rsidTr="00804E6B">
        <w:trPr>
          <w:trHeight w:val="320"/>
        </w:trPr>
        <w:tc>
          <w:tcPr>
            <w:tcW w:w="2000" w:type="dxa"/>
            <w:shd w:val="clear" w:color="auto" w:fill="auto"/>
            <w:noWrap/>
            <w:vAlign w:val="bottom"/>
            <w:hideMark/>
          </w:tcPr>
          <w:p w14:paraId="744D842C"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center"/>
            <w:hideMark/>
          </w:tcPr>
          <w:p w14:paraId="5CD48EF5" w14:textId="77777777" w:rsidR="00F7044C" w:rsidRPr="00C421E4" w:rsidRDefault="00F7044C" w:rsidP="00804E6B">
            <w:pPr>
              <w:jc w:val="right"/>
              <w:rPr>
                <w:rFonts w:ascii="Times" w:hAnsi="Times"/>
              </w:rPr>
            </w:pPr>
            <w:r w:rsidRPr="00C421E4">
              <w:rPr>
                <w:rFonts w:ascii="Times" w:hAnsi="Times"/>
              </w:rPr>
              <w:t>0.25</w:t>
            </w:r>
          </w:p>
        </w:tc>
        <w:tc>
          <w:tcPr>
            <w:tcW w:w="1300" w:type="dxa"/>
            <w:shd w:val="clear" w:color="auto" w:fill="auto"/>
            <w:noWrap/>
            <w:vAlign w:val="center"/>
            <w:hideMark/>
          </w:tcPr>
          <w:p w14:paraId="617D3A53" w14:textId="77777777" w:rsidR="00F7044C" w:rsidRPr="00C421E4" w:rsidRDefault="00F7044C" w:rsidP="00804E6B">
            <w:pPr>
              <w:jc w:val="right"/>
              <w:rPr>
                <w:rFonts w:ascii="Times" w:hAnsi="Times"/>
              </w:rPr>
            </w:pPr>
            <w:r w:rsidRPr="00C421E4">
              <w:rPr>
                <w:rFonts w:ascii="Times" w:hAnsi="Times"/>
              </w:rPr>
              <w:t>0.13</w:t>
            </w:r>
          </w:p>
        </w:tc>
        <w:tc>
          <w:tcPr>
            <w:tcW w:w="1300" w:type="dxa"/>
            <w:shd w:val="clear" w:color="auto" w:fill="auto"/>
            <w:noWrap/>
            <w:vAlign w:val="center"/>
            <w:hideMark/>
          </w:tcPr>
          <w:p w14:paraId="1C335C85" w14:textId="77777777" w:rsidR="00F7044C" w:rsidRPr="00C421E4" w:rsidRDefault="00F7044C" w:rsidP="00804E6B">
            <w:pPr>
              <w:jc w:val="right"/>
              <w:rPr>
                <w:rFonts w:ascii="Times" w:hAnsi="Times"/>
              </w:rPr>
            </w:pPr>
            <w:r w:rsidRPr="00C421E4">
              <w:rPr>
                <w:rFonts w:ascii="Times" w:hAnsi="Times"/>
              </w:rPr>
              <w:t>0.81</w:t>
            </w:r>
          </w:p>
        </w:tc>
        <w:tc>
          <w:tcPr>
            <w:tcW w:w="1300" w:type="dxa"/>
            <w:shd w:val="clear" w:color="auto" w:fill="auto"/>
            <w:noWrap/>
            <w:vAlign w:val="center"/>
            <w:hideMark/>
          </w:tcPr>
          <w:p w14:paraId="79711009" w14:textId="77777777" w:rsidR="00F7044C" w:rsidRPr="00C421E4" w:rsidRDefault="00F7044C" w:rsidP="00804E6B">
            <w:pPr>
              <w:jc w:val="right"/>
              <w:rPr>
                <w:rFonts w:ascii="Times" w:hAnsi="Times"/>
              </w:rPr>
            </w:pPr>
            <w:r w:rsidRPr="00C421E4">
              <w:rPr>
                <w:rFonts w:ascii="Times" w:hAnsi="Times"/>
              </w:rPr>
              <w:t>1.94</w:t>
            </w:r>
          </w:p>
        </w:tc>
        <w:tc>
          <w:tcPr>
            <w:tcW w:w="1300" w:type="dxa"/>
            <w:shd w:val="clear" w:color="auto" w:fill="auto"/>
            <w:noWrap/>
            <w:vAlign w:val="center"/>
            <w:hideMark/>
          </w:tcPr>
          <w:p w14:paraId="0181328B" w14:textId="77777777" w:rsidR="00F7044C" w:rsidRPr="00C421E4" w:rsidRDefault="00F7044C" w:rsidP="00804E6B">
            <w:pPr>
              <w:jc w:val="right"/>
              <w:rPr>
                <w:rFonts w:ascii="Times" w:hAnsi="Times"/>
              </w:rPr>
            </w:pPr>
            <w:r w:rsidRPr="00C421E4">
              <w:rPr>
                <w:rFonts w:ascii="Times" w:hAnsi="Times"/>
              </w:rPr>
              <w:t>0.05</w:t>
            </w:r>
          </w:p>
        </w:tc>
      </w:tr>
      <w:tr w:rsidR="00F7044C" w:rsidRPr="00C421E4" w14:paraId="365B8BBF" w14:textId="77777777" w:rsidTr="00804E6B">
        <w:trPr>
          <w:trHeight w:val="320"/>
        </w:trPr>
        <w:tc>
          <w:tcPr>
            <w:tcW w:w="2000" w:type="dxa"/>
            <w:shd w:val="clear" w:color="auto" w:fill="auto"/>
            <w:noWrap/>
            <w:vAlign w:val="bottom"/>
            <w:hideMark/>
          </w:tcPr>
          <w:p w14:paraId="4D6B7EA6"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center"/>
            <w:hideMark/>
          </w:tcPr>
          <w:p w14:paraId="2FE686F7" w14:textId="77777777" w:rsidR="00F7044C" w:rsidRPr="00C421E4" w:rsidRDefault="00F7044C" w:rsidP="00804E6B">
            <w:pPr>
              <w:jc w:val="right"/>
              <w:rPr>
                <w:rFonts w:ascii="Times" w:hAnsi="Times"/>
              </w:rPr>
            </w:pPr>
            <w:r w:rsidRPr="00C421E4">
              <w:rPr>
                <w:rFonts w:ascii="Times" w:hAnsi="Times"/>
              </w:rPr>
              <w:t>-0.15</w:t>
            </w:r>
          </w:p>
        </w:tc>
        <w:tc>
          <w:tcPr>
            <w:tcW w:w="1300" w:type="dxa"/>
            <w:shd w:val="clear" w:color="auto" w:fill="auto"/>
            <w:noWrap/>
            <w:vAlign w:val="center"/>
            <w:hideMark/>
          </w:tcPr>
          <w:p w14:paraId="39D47158" w14:textId="77777777" w:rsidR="00F7044C" w:rsidRPr="00C421E4" w:rsidRDefault="00F7044C" w:rsidP="00804E6B">
            <w:pPr>
              <w:jc w:val="right"/>
              <w:rPr>
                <w:rFonts w:ascii="Times" w:hAnsi="Times"/>
              </w:rPr>
            </w:pPr>
            <w:r w:rsidRPr="00C421E4">
              <w:rPr>
                <w:rFonts w:ascii="Times" w:hAnsi="Times"/>
              </w:rPr>
              <w:t>0.39</w:t>
            </w:r>
          </w:p>
        </w:tc>
        <w:tc>
          <w:tcPr>
            <w:tcW w:w="1300" w:type="dxa"/>
            <w:shd w:val="clear" w:color="auto" w:fill="auto"/>
            <w:noWrap/>
            <w:vAlign w:val="center"/>
            <w:hideMark/>
          </w:tcPr>
          <w:p w14:paraId="260D1EFA" w14:textId="77777777" w:rsidR="00F7044C" w:rsidRPr="00C421E4" w:rsidRDefault="00F7044C" w:rsidP="00804E6B">
            <w:pPr>
              <w:jc w:val="right"/>
              <w:rPr>
                <w:rFonts w:ascii="Times" w:hAnsi="Times"/>
              </w:rPr>
            </w:pPr>
            <w:r w:rsidRPr="00C421E4">
              <w:rPr>
                <w:rFonts w:ascii="Times" w:hAnsi="Times"/>
              </w:rPr>
              <w:t>-0.04</w:t>
            </w:r>
          </w:p>
        </w:tc>
        <w:tc>
          <w:tcPr>
            <w:tcW w:w="1300" w:type="dxa"/>
            <w:shd w:val="clear" w:color="auto" w:fill="auto"/>
            <w:noWrap/>
            <w:vAlign w:val="center"/>
            <w:hideMark/>
          </w:tcPr>
          <w:p w14:paraId="606A26C6" w14:textId="77777777" w:rsidR="00F7044C" w:rsidRPr="00C421E4" w:rsidRDefault="00F7044C" w:rsidP="00804E6B">
            <w:pPr>
              <w:jc w:val="right"/>
              <w:rPr>
                <w:rFonts w:ascii="Times" w:hAnsi="Times"/>
              </w:rPr>
            </w:pPr>
            <w:r w:rsidRPr="00C421E4">
              <w:rPr>
                <w:rFonts w:ascii="Times" w:hAnsi="Times"/>
              </w:rPr>
              <w:t>-0.40</w:t>
            </w:r>
          </w:p>
        </w:tc>
        <w:tc>
          <w:tcPr>
            <w:tcW w:w="1300" w:type="dxa"/>
            <w:shd w:val="clear" w:color="auto" w:fill="auto"/>
            <w:noWrap/>
            <w:vAlign w:val="center"/>
            <w:hideMark/>
          </w:tcPr>
          <w:p w14:paraId="635E5E7B" w14:textId="77777777" w:rsidR="00F7044C" w:rsidRPr="00C421E4" w:rsidRDefault="00F7044C" w:rsidP="00804E6B">
            <w:pPr>
              <w:jc w:val="right"/>
              <w:rPr>
                <w:rFonts w:ascii="Times" w:hAnsi="Times"/>
              </w:rPr>
            </w:pPr>
            <w:r w:rsidRPr="00C421E4">
              <w:rPr>
                <w:rFonts w:ascii="Times" w:hAnsi="Times"/>
              </w:rPr>
              <w:t>0.68</w:t>
            </w:r>
          </w:p>
        </w:tc>
      </w:tr>
      <w:tr w:rsidR="00F7044C" w:rsidRPr="00C421E4" w14:paraId="200DDFC8" w14:textId="77777777" w:rsidTr="00804E6B">
        <w:trPr>
          <w:trHeight w:val="320"/>
        </w:trPr>
        <w:tc>
          <w:tcPr>
            <w:tcW w:w="2000" w:type="dxa"/>
            <w:shd w:val="clear" w:color="auto" w:fill="auto"/>
            <w:noWrap/>
            <w:vAlign w:val="bottom"/>
            <w:hideMark/>
          </w:tcPr>
          <w:p w14:paraId="710CE9E9"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center"/>
            <w:hideMark/>
          </w:tcPr>
          <w:p w14:paraId="17769372" w14:textId="77777777" w:rsidR="00F7044C" w:rsidRPr="00C421E4" w:rsidRDefault="00F7044C" w:rsidP="00804E6B">
            <w:pPr>
              <w:jc w:val="right"/>
              <w:rPr>
                <w:rFonts w:ascii="Times" w:hAnsi="Times"/>
              </w:rPr>
            </w:pPr>
            <w:r w:rsidRPr="00C421E4">
              <w:rPr>
                <w:rFonts w:ascii="Times" w:hAnsi="Times"/>
              </w:rPr>
              <w:t>0.15</w:t>
            </w:r>
          </w:p>
        </w:tc>
        <w:tc>
          <w:tcPr>
            <w:tcW w:w="1300" w:type="dxa"/>
            <w:shd w:val="clear" w:color="auto" w:fill="auto"/>
            <w:noWrap/>
            <w:vAlign w:val="center"/>
            <w:hideMark/>
          </w:tcPr>
          <w:p w14:paraId="3B03435F" w14:textId="77777777" w:rsidR="00F7044C" w:rsidRPr="00C421E4" w:rsidRDefault="00F7044C" w:rsidP="00804E6B">
            <w:pPr>
              <w:jc w:val="right"/>
              <w:rPr>
                <w:rFonts w:ascii="Times" w:hAnsi="Times"/>
              </w:rPr>
            </w:pPr>
            <w:r w:rsidRPr="00C421E4">
              <w:rPr>
                <w:rFonts w:ascii="Times" w:hAnsi="Times"/>
              </w:rPr>
              <w:t>0.22</w:t>
            </w:r>
          </w:p>
        </w:tc>
        <w:tc>
          <w:tcPr>
            <w:tcW w:w="1300" w:type="dxa"/>
            <w:shd w:val="clear" w:color="auto" w:fill="auto"/>
            <w:noWrap/>
            <w:vAlign w:val="center"/>
            <w:hideMark/>
          </w:tcPr>
          <w:p w14:paraId="073C6DE1" w14:textId="77777777" w:rsidR="00F7044C" w:rsidRPr="00C421E4" w:rsidRDefault="00F7044C" w:rsidP="00804E6B">
            <w:pPr>
              <w:jc w:val="right"/>
              <w:rPr>
                <w:rFonts w:ascii="Times" w:hAnsi="Times"/>
              </w:rPr>
            </w:pPr>
            <w:r w:rsidRPr="00C421E4">
              <w:rPr>
                <w:rFonts w:ascii="Times" w:hAnsi="Times"/>
              </w:rPr>
              <w:t>0.26</w:t>
            </w:r>
          </w:p>
        </w:tc>
        <w:tc>
          <w:tcPr>
            <w:tcW w:w="1300" w:type="dxa"/>
            <w:shd w:val="clear" w:color="auto" w:fill="auto"/>
            <w:noWrap/>
            <w:vAlign w:val="center"/>
            <w:hideMark/>
          </w:tcPr>
          <w:p w14:paraId="34500677" w14:textId="77777777" w:rsidR="00F7044C" w:rsidRPr="00C421E4" w:rsidRDefault="00F7044C" w:rsidP="00804E6B">
            <w:pPr>
              <w:jc w:val="right"/>
              <w:rPr>
                <w:rFonts w:ascii="Times" w:hAnsi="Times"/>
              </w:rPr>
            </w:pPr>
            <w:r w:rsidRPr="00C421E4">
              <w:rPr>
                <w:rFonts w:ascii="Times" w:hAnsi="Times"/>
              </w:rPr>
              <w:t>0.70</w:t>
            </w:r>
          </w:p>
        </w:tc>
        <w:tc>
          <w:tcPr>
            <w:tcW w:w="1300" w:type="dxa"/>
            <w:shd w:val="clear" w:color="auto" w:fill="auto"/>
            <w:noWrap/>
            <w:vAlign w:val="center"/>
            <w:hideMark/>
          </w:tcPr>
          <w:p w14:paraId="7D14BFC5" w14:textId="77777777" w:rsidR="00F7044C" w:rsidRPr="00C421E4" w:rsidRDefault="00F7044C" w:rsidP="00804E6B">
            <w:pPr>
              <w:jc w:val="right"/>
              <w:rPr>
                <w:rFonts w:ascii="Times" w:hAnsi="Times"/>
              </w:rPr>
            </w:pPr>
            <w:r w:rsidRPr="00C421E4">
              <w:rPr>
                <w:rFonts w:ascii="Times" w:hAnsi="Times"/>
              </w:rPr>
              <w:t>0.48</w:t>
            </w:r>
          </w:p>
        </w:tc>
      </w:tr>
      <w:tr w:rsidR="00F7044C" w:rsidRPr="00C421E4" w14:paraId="0124C1F4" w14:textId="77777777" w:rsidTr="00804E6B">
        <w:trPr>
          <w:trHeight w:val="320"/>
        </w:trPr>
        <w:tc>
          <w:tcPr>
            <w:tcW w:w="2000" w:type="dxa"/>
            <w:shd w:val="clear" w:color="auto" w:fill="auto"/>
            <w:noWrap/>
            <w:vAlign w:val="bottom"/>
            <w:hideMark/>
          </w:tcPr>
          <w:p w14:paraId="4F4EAED5"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center"/>
            <w:hideMark/>
          </w:tcPr>
          <w:p w14:paraId="1895FD8B" w14:textId="77777777" w:rsidR="00F7044C" w:rsidRPr="00C421E4" w:rsidRDefault="00F7044C" w:rsidP="00804E6B">
            <w:pPr>
              <w:jc w:val="right"/>
              <w:rPr>
                <w:rFonts w:ascii="Times" w:hAnsi="Times"/>
              </w:rPr>
            </w:pPr>
            <w:r w:rsidRPr="00C421E4">
              <w:rPr>
                <w:rFonts w:ascii="Times" w:hAnsi="Times"/>
              </w:rPr>
              <w:t>0.02</w:t>
            </w:r>
          </w:p>
        </w:tc>
        <w:tc>
          <w:tcPr>
            <w:tcW w:w="1300" w:type="dxa"/>
            <w:shd w:val="clear" w:color="auto" w:fill="auto"/>
            <w:noWrap/>
            <w:vAlign w:val="center"/>
            <w:hideMark/>
          </w:tcPr>
          <w:p w14:paraId="4D2C8102" w14:textId="77777777" w:rsidR="00F7044C" w:rsidRPr="00C421E4" w:rsidRDefault="00F7044C" w:rsidP="00804E6B">
            <w:pPr>
              <w:jc w:val="right"/>
              <w:rPr>
                <w:rFonts w:ascii="Times" w:hAnsi="Times"/>
              </w:rPr>
            </w:pPr>
            <w:r w:rsidRPr="00C421E4">
              <w:rPr>
                <w:rFonts w:ascii="Times" w:hAnsi="Times"/>
              </w:rPr>
              <w:t>0.03</w:t>
            </w:r>
          </w:p>
        </w:tc>
        <w:tc>
          <w:tcPr>
            <w:tcW w:w="1300" w:type="dxa"/>
            <w:shd w:val="clear" w:color="auto" w:fill="auto"/>
            <w:noWrap/>
            <w:vAlign w:val="center"/>
            <w:hideMark/>
          </w:tcPr>
          <w:p w14:paraId="3F5DF674" w14:textId="77777777" w:rsidR="00F7044C" w:rsidRPr="00C421E4" w:rsidRDefault="00F7044C" w:rsidP="00804E6B">
            <w:pPr>
              <w:jc w:val="right"/>
              <w:rPr>
                <w:rFonts w:ascii="Times" w:hAnsi="Times"/>
              </w:rPr>
            </w:pPr>
            <w:r w:rsidRPr="00C421E4">
              <w:rPr>
                <w:rFonts w:ascii="Times" w:hAnsi="Times"/>
              </w:rPr>
              <w:t>0.11</w:t>
            </w:r>
          </w:p>
        </w:tc>
        <w:tc>
          <w:tcPr>
            <w:tcW w:w="1300" w:type="dxa"/>
            <w:shd w:val="clear" w:color="auto" w:fill="auto"/>
            <w:noWrap/>
            <w:vAlign w:val="center"/>
            <w:hideMark/>
          </w:tcPr>
          <w:p w14:paraId="12C499FC" w14:textId="77777777" w:rsidR="00F7044C" w:rsidRPr="00C421E4" w:rsidRDefault="00F7044C" w:rsidP="00804E6B">
            <w:pPr>
              <w:jc w:val="right"/>
              <w:rPr>
                <w:rFonts w:ascii="Times" w:hAnsi="Times"/>
              </w:rPr>
            </w:pPr>
            <w:r w:rsidRPr="00C421E4">
              <w:rPr>
                <w:rFonts w:ascii="Times" w:hAnsi="Times"/>
              </w:rPr>
              <w:t>0.57</w:t>
            </w:r>
          </w:p>
        </w:tc>
        <w:tc>
          <w:tcPr>
            <w:tcW w:w="1300" w:type="dxa"/>
            <w:shd w:val="clear" w:color="auto" w:fill="auto"/>
            <w:noWrap/>
            <w:vAlign w:val="center"/>
            <w:hideMark/>
          </w:tcPr>
          <w:p w14:paraId="1B5403DC" w14:textId="77777777" w:rsidR="00F7044C" w:rsidRPr="00C421E4" w:rsidRDefault="00F7044C" w:rsidP="00804E6B">
            <w:pPr>
              <w:jc w:val="right"/>
              <w:rPr>
                <w:rFonts w:ascii="Times" w:hAnsi="Times"/>
              </w:rPr>
            </w:pPr>
            <w:r w:rsidRPr="00C421E4">
              <w:rPr>
                <w:rFonts w:ascii="Times" w:hAnsi="Times"/>
              </w:rPr>
              <w:t>0.56</w:t>
            </w:r>
          </w:p>
        </w:tc>
      </w:tr>
      <w:tr w:rsidR="00F7044C" w:rsidRPr="00C421E4" w14:paraId="51AA019E" w14:textId="77777777" w:rsidTr="00804E6B">
        <w:trPr>
          <w:trHeight w:val="320"/>
        </w:trPr>
        <w:tc>
          <w:tcPr>
            <w:tcW w:w="8500" w:type="dxa"/>
            <w:gridSpan w:val="6"/>
            <w:shd w:val="clear" w:color="auto" w:fill="auto"/>
            <w:noWrap/>
            <w:vAlign w:val="bottom"/>
            <w:hideMark/>
          </w:tcPr>
          <w:p w14:paraId="7A315580" w14:textId="77777777" w:rsidR="00F7044C" w:rsidRPr="00C421E4" w:rsidRDefault="00F7044C" w:rsidP="00804E6B">
            <w:pPr>
              <w:jc w:val="center"/>
              <w:rPr>
                <w:rFonts w:ascii="Times" w:hAnsi="Times"/>
              </w:rPr>
            </w:pPr>
            <w:r w:rsidRPr="00C421E4">
              <w:rPr>
                <w:rFonts w:ascii="Times" w:hAnsi="Times"/>
              </w:rPr>
              <w:t>Positive Reactivity</w:t>
            </w:r>
          </w:p>
        </w:tc>
      </w:tr>
      <w:tr w:rsidR="00F7044C" w:rsidRPr="00C421E4" w14:paraId="104D8BD2" w14:textId="77777777" w:rsidTr="00804E6B">
        <w:trPr>
          <w:trHeight w:val="320"/>
        </w:trPr>
        <w:tc>
          <w:tcPr>
            <w:tcW w:w="2000" w:type="dxa"/>
            <w:shd w:val="clear" w:color="auto" w:fill="auto"/>
            <w:noWrap/>
            <w:vAlign w:val="bottom"/>
            <w:hideMark/>
          </w:tcPr>
          <w:p w14:paraId="020CE1FE"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center"/>
            <w:hideMark/>
          </w:tcPr>
          <w:p w14:paraId="43468DB6" w14:textId="77777777" w:rsidR="00F7044C" w:rsidRPr="00C421E4" w:rsidRDefault="00F7044C" w:rsidP="00804E6B">
            <w:pPr>
              <w:jc w:val="right"/>
              <w:rPr>
                <w:rFonts w:ascii="Times" w:hAnsi="Times" w:cs="Arial"/>
              </w:rPr>
            </w:pPr>
            <w:r w:rsidRPr="00C421E4">
              <w:rPr>
                <w:rFonts w:ascii="Times" w:hAnsi="Times"/>
              </w:rPr>
              <w:t>-0.11</w:t>
            </w:r>
          </w:p>
        </w:tc>
        <w:tc>
          <w:tcPr>
            <w:tcW w:w="1300" w:type="dxa"/>
            <w:shd w:val="clear" w:color="auto" w:fill="auto"/>
            <w:noWrap/>
            <w:vAlign w:val="center"/>
            <w:hideMark/>
          </w:tcPr>
          <w:p w14:paraId="04B7610E" w14:textId="77777777" w:rsidR="00F7044C" w:rsidRPr="00C421E4" w:rsidRDefault="00F7044C" w:rsidP="00804E6B">
            <w:pPr>
              <w:jc w:val="right"/>
              <w:rPr>
                <w:rFonts w:ascii="Times" w:hAnsi="Times" w:cs="Arial"/>
              </w:rPr>
            </w:pPr>
            <w:r w:rsidRPr="00C421E4">
              <w:rPr>
                <w:rFonts w:ascii="Times" w:hAnsi="Times"/>
              </w:rPr>
              <w:t>0.25</w:t>
            </w:r>
          </w:p>
        </w:tc>
        <w:tc>
          <w:tcPr>
            <w:tcW w:w="1300" w:type="dxa"/>
            <w:shd w:val="clear" w:color="auto" w:fill="auto"/>
            <w:noWrap/>
            <w:vAlign w:val="center"/>
            <w:hideMark/>
          </w:tcPr>
          <w:p w14:paraId="0A1309B7" w14:textId="77777777" w:rsidR="00F7044C" w:rsidRPr="00C421E4" w:rsidRDefault="00F7044C" w:rsidP="00804E6B">
            <w:pPr>
              <w:jc w:val="right"/>
              <w:rPr>
                <w:rFonts w:ascii="Times" w:hAnsi="Times" w:cs="Arial"/>
              </w:rPr>
            </w:pPr>
            <w:r w:rsidRPr="00C421E4">
              <w:rPr>
                <w:rFonts w:ascii="Times" w:hAnsi="Times"/>
              </w:rPr>
              <w:t>-0.39</w:t>
            </w:r>
          </w:p>
        </w:tc>
        <w:tc>
          <w:tcPr>
            <w:tcW w:w="1300" w:type="dxa"/>
            <w:shd w:val="clear" w:color="auto" w:fill="auto"/>
            <w:noWrap/>
            <w:vAlign w:val="center"/>
            <w:hideMark/>
          </w:tcPr>
          <w:p w14:paraId="17686ABA" w14:textId="77777777" w:rsidR="00F7044C" w:rsidRPr="00C421E4" w:rsidRDefault="00F7044C" w:rsidP="00804E6B">
            <w:pPr>
              <w:jc w:val="right"/>
              <w:rPr>
                <w:rFonts w:ascii="Times" w:hAnsi="Times" w:cs="Arial"/>
              </w:rPr>
            </w:pPr>
            <w:r w:rsidRPr="00C421E4">
              <w:rPr>
                <w:rFonts w:ascii="Times" w:hAnsi="Times"/>
              </w:rPr>
              <w:t>-0.44</w:t>
            </w:r>
          </w:p>
        </w:tc>
        <w:tc>
          <w:tcPr>
            <w:tcW w:w="1300" w:type="dxa"/>
            <w:shd w:val="clear" w:color="auto" w:fill="auto"/>
            <w:noWrap/>
            <w:vAlign w:val="center"/>
            <w:hideMark/>
          </w:tcPr>
          <w:p w14:paraId="1BD332B8" w14:textId="77777777" w:rsidR="00F7044C" w:rsidRPr="00C421E4" w:rsidRDefault="00F7044C" w:rsidP="00804E6B">
            <w:pPr>
              <w:jc w:val="right"/>
              <w:rPr>
                <w:rFonts w:ascii="Times" w:hAnsi="Times" w:cs="Arial"/>
              </w:rPr>
            </w:pPr>
            <w:r w:rsidRPr="00C421E4">
              <w:rPr>
                <w:rFonts w:ascii="Times" w:hAnsi="Times"/>
              </w:rPr>
              <w:t>0.65</w:t>
            </w:r>
          </w:p>
        </w:tc>
      </w:tr>
      <w:tr w:rsidR="00F7044C" w:rsidRPr="00C421E4" w14:paraId="7C6F78C7" w14:textId="77777777" w:rsidTr="00804E6B">
        <w:trPr>
          <w:trHeight w:val="320"/>
        </w:trPr>
        <w:tc>
          <w:tcPr>
            <w:tcW w:w="2000" w:type="dxa"/>
            <w:shd w:val="clear" w:color="auto" w:fill="auto"/>
            <w:noWrap/>
            <w:vAlign w:val="bottom"/>
            <w:hideMark/>
          </w:tcPr>
          <w:p w14:paraId="09F9BC00"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center"/>
            <w:hideMark/>
          </w:tcPr>
          <w:p w14:paraId="4CAE1521" w14:textId="77777777" w:rsidR="00F7044C" w:rsidRPr="00C421E4" w:rsidRDefault="00F7044C" w:rsidP="00804E6B">
            <w:pPr>
              <w:jc w:val="right"/>
              <w:rPr>
                <w:rFonts w:ascii="Times" w:hAnsi="Times"/>
                <w:b/>
                <w:bCs/>
              </w:rPr>
            </w:pPr>
            <w:r w:rsidRPr="00C421E4">
              <w:rPr>
                <w:rFonts w:ascii="Times" w:hAnsi="Times"/>
              </w:rPr>
              <w:t>0.02</w:t>
            </w:r>
          </w:p>
        </w:tc>
        <w:tc>
          <w:tcPr>
            <w:tcW w:w="1300" w:type="dxa"/>
            <w:shd w:val="clear" w:color="auto" w:fill="auto"/>
            <w:noWrap/>
            <w:vAlign w:val="center"/>
            <w:hideMark/>
          </w:tcPr>
          <w:p w14:paraId="4D6D779E" w14:textId="77777777" w:rsidR="00F7044C" w:rsidRPr="00C421E4" w:rsidRDefault="00F7044C" w:rsidP="00804E6B">
            <w:pPr>
              <w:jc w:val="right"/>
              <w:rPr>
                <w:rFonts w:ascii="Times" w:hAnsi="Times"/>
                <w:b/>
                <w:bCs/>
              </w:rPr>
            </w:pPr>
            <w:r w:rsidRPr="00C421E4">
              <w:rPr>
                <w:rFonts w:ascii="Times" w:hAnsi="Times"/>
              </w:rPr>
              <w:t>0.10</w:t>
            </w:r>
          </w:p>
        </w:tc>
        <w:tc>
          <w:tcPr>
            <w:tcW w:w="1300" w:type="dxa"/>
            <w:shd w:val="clear" w:color="auto" w:fill="auto"/>
            <w:noWrap/>
            <w:vAlign w:val="center"/>
            <w:hideMark/>
          </w:tcPr>
          <w:p w14:paraId="7B92C010" w14:textId="77777777" w:rsidR="00F7044C" w:rsidRPr="00C421E4" w:rsidRDefault="00F7044C" w:rsidP="00804E6B">
            <w:pPr>
              <w:jc w:val="right"/>
              <w:rPr>
                <w:rFonts w:ascii="Times" w:hAnsi="Times"/>
                <w:b/>
                <w:bCs/>
              </w:rPr>
            </w:pPr>
            <w:r w:rsidRPr="00C421E4">
              <w:rPr>
                <w:rFonts w:ascii="Times" w:hAnsi="Times"/>
              </w:rPr>
              <w:t>0.05</w:t>
            </w:r>
          </w:p>
        </w:tc>
        <w:tc>
          <w:tcPr>
            <w:tcW w:w="1300" w:type="dxa"/>
            <w:shd w:val="clear" w:color="auto" w:fill="auto"/>
            <w:noWrap/>
            <w:vAlign w:val="center"/>
            <w:hideMark/>
          </w:tcPr>
          <w:p w14:paraId="47DF1395" w14:textId="77777777" w:rsidR="00F7044C" w:rsidRPr="00C421E4" w:rsidRDefault="00F7044C" w:rsidP="00804E6B">
            <w:pPr>
              <w:jc w:val="right"/>
              <w:rPr>
                <w:rFonts w:ascii="Times" w:hAnsi="Times"/>
                <w:b/>
                <w:bCs/>
              </w:rPr>
            </w:pPr>
            <w:r w:rsidRPr="00C421E4">
              <w:rPr>
                <w:rFonts w:ascii="Times" w:hAnsi="Times"/>
              </w:rPr>
              <w:t>0.18</w:t>
            </w:r>
          </w:p>
        </w:tc>
        <w:tc>
          <w:tcPr>
            <w:tcW w:w="1300" w:type="dxa"/>
            <w:shd w:val="clear" w:color="auto" w:fill="auto"/>
            <w:noWrap/>
            <w:vAlign w:val="center"/>
            <w:hideMark/>
          </w:tcPr>
          <w:p w14:paraId="53FF1903" w14:textId="77777777" w:rsidR="00F7044C" w:rsidRPr="00C421E4" w:rsidRDefault="00F7044C" w:rsidP="00804E6B">
            <w:pPr>
              <w:jc w:val="right"/>
              <w:rPr>
                <w:rFonts w:ascii="Times" w:hAnsi="Times"/>
                <w:b/>
                <w:bCs/>
              </w:rPr>
            </w:pPr>
            <w:r w:rsidRPr="00C421E4">
              <w:rPr>
                <w:rFonts w:ascii="Times" w:hAnsi="Times"/>
              </w:rPr>
              <w:t>0.85</w:t>
            </w:r>
          </w:p>
        </w:tc>
      </w:tr>
      <w:tr w:rsidR="00F7044C" w:rsidRPr="00C421E4" w14:paraId="395EF062" w14:textId="77777777" w:rsidTr="00804E6B">
        <w:trPr>
          <w:trHeight w:val="320"/>
        </w:trPr>
        <w:tc>
          <w:tcPr>
            <w:tcW w:w="2000" w:type="dxa"/>
            <w:shd w:val="clear" w:color="auto" w:fill="auto"/>
            <w:noWrap/>
            <w:vAlign w:val="bottom"/>
            <w:hideMark/>
          </w:tcPr>
          <w:p w14:paraId="5B7971B0"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center"/>
            <w:hideMark/>
          </w:tcPr>
          <w:p w14:paraId="5D0B4F77" w14:textId="77777777" w:rsidR="00F7044C" w:rsidRPr="00C421E4" w:rsidRDefault="00F7044C" w:rsidP="00804E6B">
            <w:pPr>
              <w:jc w:val="right"/>
              <w:rPr>
                <w:rFonts w:ascii="Times" w:hAnsi="Times"/>
              </w:rPr>
            </w:pPr>
            <w:r w:rsidRPr="00C421E4">
              <w:rPr>
                <w:rFonts w:ascii="Times" w:hAnsi="Times"/>
              </w:rPr>
              <w:t>-0.71</w:t>
            </w:r>
          </w:p>
        </w:tc>
        <w:tc>
          <w:tcPr>
            <w:tcW w:w="1300" w:type="dxa"/>
            <w:shd w:val="clear" w:color="auto" w:fill="auto"/>
            <w:noWrap/>
            <w:vAlign w:val="center"/>
            <w:hideMark/>
          </w:tcPr>
          <w:p w14:paraId="15F482F7" w14:textId="77777777" w:rsidR="00F7044C" w:rsidRPr="00C421E4" w:rsidRDefault="00F7044C" w:rsidP="00804E6B">
            <w:pPr>
              <w:jc w:val="right"/>
              <w:rPr>
                <w:rFonts w:ascii="Times" w:hAnsi="Times"/>
              </w:rPr>
            </w:pPr>
            <w:r w:rsidRPr="00C421E4">
              <w:rPr>
                <w:rFonts w:ascii="Times" w:hAnsi="Times"/>
              </w:rPr>
              <w:t>0.64</w:t>
            </w:r>
          </w:p>
        </w:tc>
        <w:tc>
          <w:tcPr>
            <w:tcW w:w="1300" w:type="dxa"/>
            <w:shd w:val="clear" w:color="auto" w:fill="auto"/>
            <w:noWrap/>
            <w:vAlign w:val="center"/>
            <w:hideMark/>
          </w:tcPr>
          <w:p w14:paraId="6051056F" w14:textId="77777777" w:rsidR="00F7044C" w:rsidRPr="00C421E4" w:rsidRDefault="00F7044C" w:rsidP="00804E6B">
            <w:pPr>
              <w:jc w:val="right"/>
              <w:rPr>
                <w:rFonts w:ascii="Times" w:hAnsi="Times"/>
              </w:rPr>
            </w:pPr>
            <w:r w:rsidRPr="00C421E4">
              <w:rPr>
                <w:rFonts w:ascii="Times" w:hAnsi="Times"/>
              </w:rPr>
              <w:t>-0.16</w:t>
            </w:r>
          </w:p>
        </w:tc>
        <w:tc>
          <w:tcPr>
            <w:tcW w:w="1300" w:type="dxa"/>
            <w:shd w:val="clear" w:color="auto" w:fill="auto"/>
            <w:noWrap/>
            <w:vAlign w:val="center"/>
            <w:hideMark/>
          </w:tcPr>
          <w:p w14:paraId="1F4A6D03" w14:textId="77777777" w:rsidR="00F7044C" w:rsidRPr="00C421E4" w:rsidRDefault="00F7044C" w:rsidP="00804E6B">
            <w:pPr>
              <w:jc w:val="right"/>
              <w:rPr>
                <w:rFonts w:ascii="Times" w:hAnsi="Times"/>
              </w:rPr>
            </w:pPr>
            <w:r w:rsidRPr="00C421E4">
              <w:rPr>
                <w:rFonts w:ascii="Times" w:hAnsi="Times"/>
              </w:rPr>
              <w:t>-1.10</w:t>
            </w:r>
          </w:p>
        </w:tc>
        <w:tc>
          <w:tcPr>
            <w:tcW w:w="1300" w:type="dxa"/>
            <w:shd w:val="clear" w:color="auto" w:fill="auto"/>
            <w:noWrap/>
            <w:vAlign w:val="center"/>
            <w:hideMark/>
          </w:tcPr>
          <w:p w14:paraId="0544BEF8" w14:textId="77777777" w:rsidR="00F7044C" w:rsidRPr="00C421E4" w:rsidRDefault="00F7044C" w:rsidP="00804E6B">
            <w:pPr>
              <w:jc w:val="right"/>
              <w:rPr>
                <w:rFonts w:ascii="Times" w:hAnsi="Times"/>
              </w:rPr>
            </w:pPr>
            <w:r w:rsidRPr="00C421E4">
              <w:rPr>
                <w:rFonts w:ascii="Times" w:hAnsi="Times"/>
              </w:rPr>
              <w:t>0.27</w:t>
            </w:r>
          </w:p>
        </w:tc>
      </w:tr>
      <w:tr w:rsidR="00F7044C" w:rsidRPr="00C421E4" w14:paraId="256E481B" w14:textId="77777777" w:rsidTr="00804E6B">
        <w:trPr>
          <w:trHeight w:val="320"/>
        </w:trPr>
        <w:tc>
          <w:tcPr>
            <w:tcW w:w="2000" w:type="dxa"/>
            <w:shd w:val="clear" w:color="auto" w:fill="auto"/>
            <w:noWrap/>
            <w:vAlign w:val="bottom"/>
            <w:hideMark/>
          </w:tcPr>
          <w:p w14:paraId="0A38B39A" w14:textId="77777777" w:rsidR="00F7044C" w:rsidRPr="00C421E4" w:rsidRDefault="00F7044C" w:rsidP="00804E6B">
            <w:pPr>
              <w:rPr>
                <w:rFonts w:ascii="Times" w:hAnsi="Times"/>
              </w:rPr>
            </w:pPr>
            <w:r w:rsidRPr="00C421E4">
              <w:rPr>
                <w:rFonts w:ascii="Times" w:hAnsi="Times"/>
              </w:rPr>
              <w:t>Zygomaticus tone</w:t>
            </w:r>
          </w:p>
        </w:tc>
        <w:tc>
          <w:tcPr>
            <w:tcW w:w="1300" w:type="dxa"/>
            <w:shd w:val="clear" w:color="auto" w:fill="auto"/>
            <w:noWrap/>
            <w:vAlign w:val="center"/>
            <w:hideMark/>
          </w:tcPr>
          <w:p w14:paraId="3C4EBFD0" w14:textId="77777777" w:rsidR="00F7044C" w:rsidRPr="00C421E4" w:rsidRDefault="00F7044C" w:rsidP="00804E6B">
            <w:pPr>
              <w:jc w:val="right"/>
              <w:rPr>
                <w:rFonts w:ascii="Times" w:hAnsi="Times"/>
              </w:rPr>
            </w:pPr>
            <w:r w:rsidRPr="00C421E4">
              <w:rPr>
                <w:rFonts w:ascii="Times" w:hAnsi="Times"/>
              </w:rPr>
              <w:t>-0.11</w:t>
            </w:r>
          </w:p>
        </w:tc>
        <w:tc>
          <w:tcPr>
            <w:tcW w:w="1300" w:type="dxa"/>
            <w:shd w:val="clear" w:color="auto" w:fill="auto"/>
            <w:noWrap/>
            <w:vAlign w:val="center"/>
            <w:hideMark/>
          </w:tcPr>
          <w:p w14:paraId="34215020" w14:textId="77777777" w:rsidR="00F7044C" w:rsidRPr="00C421E4" w:rsidRDefault="00F7044C" w:rsidP="00804E6B">
            <w:pPr>
              <w:jc w:val="right"/>
              <w:rPr>
                <w:rFonts w:ascii="Times" w:hAnsi="Times"/>
              </w:rPr>
            </w:pPr>
            <w:r w:rsidRPr="00C421E4">
              <w:rPr>
                <w:rFonts w:ascii="Times" w:hAnsi="Times"/>
              </w:rPr>
              <w:t>0.13</w:t>
            </w:r>
          </w:p>
        </w:tc>
        <w:tc>
          <w:tcPr>
            <w:tcW w:w="1300" w:type="dxa"/>
            <w:shd w:val="clear" w:color="auto" w:fill="auto"/>
            <w:noWrap/>
            <w:vAlign w:val="center"/>
            <w:hideMark/>
          </w:tcPr>
          <w:p w14:paraId="7D0BB2FD" w14:textId="77777777" w:rsidR="00F7044C" w:rsidRPr="00C421E4" w:rsidRDefault="00F7044C" w:rsidP="00804E6B">
            <w:pPr>
              <w:jc w:val="right"/>
              <w:rPr>
                <w:rFonts w:ascii="Times" w:hAnsi="Times"/>
              </w:rPr>
            </w:pPr>
            <w:r w:rsidRPr="00C421E4">
              <w:rPr>
                <w:rFonts w:ascii="Times" w:hAnsi="Times"/>
              </w:rPr>
              <w:t>-0.22</w:t>
            </w:r>
          </w:p>
        </w:tc>
        <w:tc>
          <w:tcPr>
            <w:tcW w:w="1300" w:type="dxa"/>
            <w:shd w:val="clear" w:color="auto" w:fill="auto"/>
            <w:noWrap/>
            <w:vAlign w:val="center"/>
            <w:hideMark/>
          </w:tcPr>
          <w:p w14:paraId="44DE8C2C" w14:textId="77777777" w:rsidR="00F7044C" w:rsidRPr="00C421E4" w:rsidRDefault="00F7044C" w:rsidP="00804E6B">
            <w:pPr>
              <w:jc w:val="right"/>
              <w:rPr>
                <w:rFonts w:ascii="Times" w:hAnsi="Times"/>
              </w:rPr>
            </w:pPr>
            <w:r w:rsidRPr="00C421E4">
              <w:rPr>
                <w:rFonts w:ascii="Times" w:hAnsi="Times"/>
              </w:rPr>
              <w:t>-0.80</w:t>
            </w:r>
          </w:p>
        </w:tc>
        <w:tc>
          <w:tcPr>
            <w:tcW w:w="1300" w:type="dxa"/>
            <w:shd w:val="clear" w:color="auto" w:fill="auto"/>
            <w:noWrap/>
            <w:vAlign w:val="center"/>
            <w:hideMark/>
          </w:tcPr>
          <w:p w14:paraId="28B43BFE" w14:textId="77777777" w:rsidR="00F7044C" w:rsidRPr="00C421E4" w:rsidRDefault="00F7044C" w:rsidP="00804E6B">
            <w:pPr>
              <w:jc w:val="right"/>
              <w:rPr>
                <w:rFonts w:ascii="Times" w:hAnsi="Times"/>
              </w:rPr>
            </w:pPr>
            <w:r w:rsidRPr="00C421E4">
              <w:rPr>
                <w:rFonts w:ascii="Times" w:hAnsi="Times"/>
              </w:rPr>
              <w:t>0.42</w:t>
            </w:r>
          </w:p>
        </w:tc>
      </w:tr>
      <w:tr w:rsidR="00F7044C" w:rsidRPr="00C421E4" w14:paraId="21636A72" w14:textId="77777777" w:rsidTr="00804E6B">
        <w:trPr>
          <w:trHeight w:val="320"/>
        </w:trPr>
        <w:tc>
          <w:tcPr>
            <w:tcW w:w="2000" w:type="dxa"/>
            <w:shd w:val="clear" w:color="auto" w:fill="auto"/>
            <w:noWrap/>
            <w:vAlign w:val="bottom"/>
            <w:hideMark/>
          </w:tcPr>
          <w:p w14:paraId="12D0FC91"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center"/>
            <w:hideMark/>
          </w:tcPr>
          <w:p w14:paraId="76760876" w14:textId="77777777" w:rsidR="00F7044C" w:rsidRPr="00C421E4" w:rsidRDefault="00F7044C" w:rsidP="00804E6B">
            <w:pPr>
              <w:jc w:val="right"/>
              <w:rPr>
                <w:rFonts w:ascii="Times" w:hAnsi="Times"/>
              </w:rPr>
            </w:pPr>
            <w:r w:rsidRPr="00C421E4">
              <w:rPr>
                <w:rFonts w:ascii="Times" w:hAnsi="Times"/>
              </w:rPr>
              <w:t>0.006</w:t>
            </w:r>
          </w:p>
        </w:tc>
        <w:tc>
          <w:tcPr>
            <w:tcW w:w="1300" w:type="dxa"/>
            <w:shd w:val="clear" w:color="auto" w:fill="auto"/>
            <w:noWrap/>
            <w:vAlign w:val="center"/>
            <w:hideMark/>
          </w:tcPr>
          <w:p w14:paraId="292F8324" w14:textId="77777777" w:rsidR="00F7044C" w:rsidRPr="00C421E4" w:rsidRDefault="00F7044C" w:rsidP="00804E6B">
            <w:pPr>
              <w:jc w:val="right"/>
              <w:rPr>
                <w:rFonts w:ascii="Times" w:hAnsi="Times"/>
              </w:rPr>
            </w:pPr>
            <w:r w:rsidRPr="00C421E4">
              <w:rPr>
                <w:rFonts w:ascii="Times" w:hAnsi="Times"/>
              </w:rPr>
              <w:t>0.02</w:t>
            </w:r>
          </w:p>
        </w:tc>
        <w:tc>
          <w:tcPr>
            <w:tcW w:w="1300" w:type="dxa"/>
            <w:shd w:val="clear" w:color="auto" w:fill="auto"/>
            <w:noWrap/>
            <w:vAlign w:val="center"/>
            <w:hideMark/>
          </w:tcPr>
          <w:p w14:paraId="1EC6C1B0" w14:textId="77777777" w:rsidR="00F7044C" w:rsidRPr="00C421E4" w:rsidRDefault="00F7044C" w:rsidP="00804E6B">
            <w:pPr>
              <w:jc w:val="right"/>
              <w:rPr>
                <w:rFonts w:ascii="Times" w:hAnsi="Times"/>
              </w:rPr>
            </w:pPr>
            <w:r w:rsidRPr="00C421E4">
              <w:rPr>
                <w:rFonts w:ascii="Times" w:hAnsi="Times"/>
              </w:rPr>
              <w:t>0.03</w:t>
            </w:r>
          </w:p>
        </w:tc>
        <w:tc>
          <w:tcPr>
            <w:tcW w:w="1300" w:type="dxa"/>
            <w:shd w:val="clear" w:color="auto" w:fill="auto"/>
            <w:noWrap/>
            <w:vAlign w:val="center"/>
            <w:hideMark/>
          </w:tcPr>
          <w:p w14:paraId="4A014CF6" w14:textId="77777777" w:rsidR="00F7044C" w:rsidRPr="00C421E4" w:rsidRDefault="00F7044C" w:rsidP="00804E6B">
            <w:pPr>
              <w:jc w:val="right"/>
              <w:rPr>
                <w:rFonts w:ascii="Times" w:hAnsi="Times"/>
              </w:rPr>
            </w:pPr>
            <w:r w:rsidRPr="00C421E4">
              <w:rPr>
                <w:rFonts w:ascii="Times" w:hAnsi="Times"/>
              </w:rPr>
              <w:t>0.25</w:t>
            </w:r>
          </w:p>
        </w:tc>
        <w:tc>
          <w:tcPr>
            <w:tcW w:w="1300" w:type="dxa"/>
            <w:shd w:val="clear" w:color="auto" w:fill="auto"/>
            <w:noWrap/>
            <w:vAlign w:val="center"/>
            <w:hideMark/>
          </w:tcPr>
          <w:p w14:paraId="2EF252E8" w14:textId="77777777" w:rsidR="00F7044C" w:rsidRPr="00C421E4" w:rsidRDefault="00F7044C" w:rsidP="00804E6B">
            <w:pPr>
              <w:jc w:val="right"/>
              <w:rPr>
                <w:rFonts w:ascii="Times" w:hAnsi="Times"/>
              </w:rPr>
            </w:pPr>
            <w:r w:rsidRPr="00C421E4">
              <w:rPr>
                <w:rFonts w:ascii="Times" w:hAnsi="Times"/>
              </w:rPr>
              <w:t>0.80</w:t>
            </w:r>
          </w:p>
        </w:tc>
      </w:tr>
      <w:tr w:rsidR="00F7044C" w:rsidRPr="00C421E4" w14:paraId="156802D4" w14:textId="77777777" w:rsidTr="00804E6B">
        <w:trPr>
          <w:trHeight w:val="320"/>
        </w:trPr>
        <w:tc>
          <w:tcPr>
            <w:tcW w:w="8500" w:type="dxa"/>
            <w:gridSpan w:val="6"/>
            <w:shd w:val="clear" w:color="auto" w:fill="auto"/>
            <w:noWrap/>
            <w:vAlign w:val="bottom"/>
            <w:hideMark/>
          </w:tcPr>
          <w:p w14:paraId="7DF75AEC" w14:textId="77777777" w:rsidR="00F7044C" w:rsidRPr="00C421E4" w:rsidRDefault="00F7044C" w:rsidP="00804E6B">
            <w:pPr>
              <w:jc w:val="center"/>
              <w:rPr>
                <w:rFonts w:ascii="Times" w:hAnsi="Times"/>
              </w:rPr>
            </w:pPr>
            <w:r w:rsidRPr="00C421E4">
              <w:rPr>
                <w:rFonts w:ascii="Times" w:hAnsi="Times"/>
              </w:rPr>
              <w:t>Negative Habituation</w:t>
            </w:r>
          </w:p>
        </w:tc>
      </w:tr>
      <w:tr w:rsidR="00F7044C" w:rsidRPr="00C421E4" w14:paraId="50AD568D" w14:textId="77777777" w:rsidTr="00804E6B">
        <w:trPr>
          <w:trHeight w:val="320"/>
        </w:trPr>
        <w:tc>
          <w:tcPr>
            <w:tcW w:w="2000" w:type="dxa"/>
            <w:shd w:val="clear" w:color="auto" w:fill="auto"/>
            <w:noWrap/>
            <w:vAlign w:val="bottom"/>
            <w:hideMark/>
          </w:tcPr>
          <w:p w14:paraId="5241327E"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center"/>
            <w:hideMark/>
          </w:tcPr>
          <w:p w14:paraId="2A3ADD72" w14:textId="77777777" w:rsidR="00F7044C" w:rsidRPr="00C421E4" w:rsidRDefault="00F7044C" w:rsidP="00804E6B">
            <w:pPr>
              <w:jc w:val="right"/>
              <w:rPr>
                <w:rFonts w:ascii="Times" w:hAnsi="Times"/>
              </w:rPr>
            </w:pPr>
            <w:r w:rsidRPr="00C421E4">
              <w:rPr>
                <w:rFonts w:ascii="Times" w:hAnsi="Times"/>
              </w:rPr>
              <w:t>0.40</w:t>
            </w:r>
          </w:p>
        </w:tc>
        <w:tc>
          <w:tcPr>
            <w:tcW w:w="1300" w:type="dxa"/>
            <w:shd w:val="clear" w:color="auto" w:fill="auto"/>
            <w:noWrap/>
            <w:vAlign w:val="center"/>
            <w:hideMark/>
          </w:tcPr>
          <w:p w14:paraId="2F4E37CE" w14:textId="77777777" w:rsidR="00F7044C" w:rsidRPr="00C421E4" w:rsidRDefault="00F7044C" w:rsidP="00804E6B">
            <w:pPr>
              <w:jc w:val="right"/>
              <w:rPr>
                <w:rFonts w:ascii="Times" w:hAnsi="Times"/>
              </w:rPr>
            </w:pPr>
            <w:r w:rsidRPr="00C421E4">
              <w:rPr>
                <w:rFonts w:ascii="Times" w:hAnsi="Times"/>
              </w:rPr>
              <w:t>0.27</w:t>
            </w:r>
          </w:p>
        </w:tc>
        <w:tc>
          <w:tcPr>
            <w:tcW w:w="1300" w:type="dxa"/>
            <w:shd w:val="clear" w:color="auto" w:fill="auto"/>
            <w:noWrap/>
            <w:vAlign w:val="center"/>
            <w:hideMark/>
          </w:tcPr>
          <w:p w14:paraId="66BFA80F" w14:textId="77777777" w:rsidR="00F7044C" w:rsidRPr="00C421E4" w:rsidRDefault="00F7044C" w:rsidP="00804E6B">
            <w:pPr>
              <w:jc w:val="right"/>
              <w:rPr>
                <w:rFonts w:ascii="Times" w:hAnsi="Times"/>
              </w:rPr>
            </w:pPr>
            <w:r w:rsidRPr="00C421E4">
              <w:rPr>
                <w:rFonts w:ascii="Times" w:hAnsi="Times"/>
              </w:rPr>
              <w:t>0.21</w:t>
            </w:r>
          </w:p>
        </w:tc>
        <w:tc>
          <w:tcPr>
            <w:tcW w:w="1300" w:type="dxa"/>
            <w:shd w:val="clear" w:color="auto" w:fill="auto"/>
            <w:noWrap/>
            <w:vAlign w:val="center"/>
            <w:hideMark/>
          </w:tcPr>
          <w:p w14:paraId="619F3990" w14:textId="77777777" w:rsidR="00F7044C" w:rsidRPr="00C421E4" w:rsidRDefault="00F7044C" w:rsidP="00804E6B">
            <w:pPr>
              <w:jc w:val="right"/>
              <w:rPr>
                <w:rFonts w:ascii="Times" w:hAnsi="Times"/>
              </w:rPr>
            </w:pPr>
            <w:r w:rsidRPr="00C421E4">
              <w:rPr>
                <w:rFonts w:ascii="Times" w:hAnsi="Times"/>
              </w:rPr>
              <w:t>1.46</w:t>
            </w:r>
          </w:p>
        </w:tc>
        <w:tc>
          <w:tcPr>
            <w:tcW w:w="1300" w:type="dxa"/>
            <w:shd w:val="clear" w:color="auto" w:fill="auto"/>
            <w:noWrap/>
            <w:vAlign w:val="center"/>
            <w:hideMark/>
          </w:tcPr>
          <w:p w14:paraId="34703BA7" w14:textId="77777777" w:rsidR="00F7044C" w:rsidRPr="00C421E4" w:rsidRDefault="00F7044C" w:rsidP="00804E6B">
            <w:pPr>
              <w:jc w:val="right"/>
              <w:rPr>
                <w:rFonts w:ascii="Times" w:hAnsi="Times"/>
              </w:rPr>
            </w:pPr>
            <w:r w:rsidRPr="00C421E4">
              <w:rPr>
                <w:rFonts w:ascii="Times" w:hAnsi="Times"/>
              </w:rPr>
              <w:t>0.14</w:t>
            </w:r>
          </w:p>
        </w:tc>
      </w:tr>
      <w:tr w:rsidR="00F7044C" w:rsidRPr="00C421E4" w14:paraId="1D0AF053" w14:textId="77777777" w:rsidTr="00804E6B">
        <w:trPr>
          <w:trHeight w:val="320"/>
        </w:trPr>
        <w:tc>
          <w:tcPr>
            <w:tcW w:w="2000" w:type="dxa"/>
            <w:shd w:val="clear" w:color="auto" w:fill="auto"/>
            <w:noWrap/>
            <w:vAlign w:val="bottom"/>
            <w:hideMark/>
          </w:tcPr>
          <w:p w14:paraId="24DE33BE"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center"/>
            <w:hideMark/>
          </w:tcPr>
          <w:p w14:paraId="7B73D5AA" w14:textId="77777777" w:rsidR="00F7044C" w:rsidRPr="00C421E4" w:rsidRDefault="00F7044C" w:rsidP="00804E6B">
            <w:pPr>
              <w:jc w:val="right"/>
              <w:rPr>
                <w:rFonts w:ascii="Times" w:hAnsi="Times"/>
              </w:rPr>
            </w:pPr>
            <w:r w:rsidRPr="00C421E4">
              <w:rPr>
                <w:rFonts w:ascii="Times" w:hAnsi="Times"/>
              </w:rPr>
              <w:t>0.22</w:t>
            </w:r>
          </w:p>
        </w:tc>
        <w:tc>
          <w:tcPr>
            <w:tcW w:w="1300" w:type="dxa"/>
            <w:shd w:val="clear" w:color="auto" w:fill="auto"/>
            <w:noWrap/>
            <w:vAlign w:val="center"/>
            <w:hideMark/>
          </w:tcPr>
          <w:p w14:paraId="25D8CC34" w14:textId="77777777" w:rsidR="00F7044C" w:rsidRPr="00C421E4" w:rsidRDefault="00F7044C" w:rsidP="00804E6B">
            <w:pPr>
              <w:jc w:val="right"/>
              <w:rPr>
                <w:rFonts w:ascii="Times" w:hAnsi="Times"/>
              </w:rPr>
            </w:pPr>
            <w:r w:rsidRPr="00C421E4">
              <w:rPr>
                <w:rFonts w:ascii="Times" w:hAnsi="Times"/>
              </w:rPr>
              <w:t>0.13</w:t>
            </w:r>
          </w:p>
        </w:tc>
        <w:tc>
          <w:tcPr>
            <w:tcW w:w="1300" w:type="dxa"/>
            <w:shd w:val="clear" w:color="auto" w:fill="auto"/>
            <w:noWrap/>
            <w:vAlign w:val="center"/>
            <w:hideMark/>
          </w:tcPr>
          <w:p w14:paraId="091E9AAB" w14:textId="77777777" w:rsidR="00F7044C" w:rsidRPr="00C421E4" w:rsidRDefault="00F7044C" w:rsidP="00804E6B">
            <w:pPr>
              <w:jc w:val="right"/>
              <w:rPr>
                <w:rFonts w:ascii="Times" w:hAnsi="Times"/>
              </w:rPr>
            </w:pPr>
            <w:r w:rsidRPr="00C421E4">
              <w:rPr>
                <w:rFonts w:ascii="Times" w:hAnsi="Times"/>
              </w:rPr>
              <w:t>0.30</w:t>
            </w:r>
          </w:p>
        </w:tc>
        <w:tc>
          <w:tcPr>
            <w:tcW w:w="1300" w:type="dxa"/>
            <w:shd w:val="clear" w:color="auto" w:fill="auto"/>
            <w:noWrap/>
            <w:vAlign w:val="center"/>
            <w:hideMark/>
          </w:tcPr>
          <w:p w14:paraId="7620594D" w14:textId="77777777" w:rsidR="00F7044C" w:rsidRPr="00C421E4" w:rsidRDefault="00F7044C" w:rsidP="00804E6B">
            <w:pPr>
              <w:jc w:val="right"/>
              <w:rPr>
                <w:rFonts w:ascii="Times" w:hAnsi="Times"/>
              </w:rPr>
            </w:pPr>
            <w:r w:rsidRPr="00C421E4">
              <w:rPr>
                <w:rFonts w:ascii="Times" w:hAnsi="Times"/>
              </w:rPr>
              <w:t>1.71</w:t>
            </w:r>
          </w:p>
        </w:tc>
        <w:tc>
          <w:tcPr>
            <w:tcW w:w="1300" w:type="dxa"/>
            <w:shd w:val="clear" w:color="auto" w:fill="auto"/>
            <w:noWrap/>
            <w:vAlign w:val="center"/>
            <w:hideMark/>
          </w:tcPr>
          <w:p w14:paraId="520ECE3E" w14:textId="77777777" w:rsidR="00F7044C" w:rsidRPr="00C421E4" w:rsidRDefault="00F7044C" w:rsidP="00804E6B">
            <w:pPr>
              <w:jc w:val="right"/>
              <w:rPr>
                <w:rFonts w:ascii="Times" w:hAnsi="Times"/>
              </w:rPr>
            </w:pPr>
            <w:r w:rsidRPr="00C421E4">
              <w:rPr>
                <w:rFonts w:ascii="Times" w:hAnsi="Times"/>
              </w:rPr>
              <w:t>0.08</w:t>
            </w:r>
          </w:p>
        </w:tc>
      </w:tr>
      <w:tr w:rsidR="00F7044C" w:rsidRPr="00C421E4" w14:paraId="56AE3019" w14:textId="77777777" w:rsidTr="00804E6B">
        <w:trPr>
          <w:trHeight w:val="320"/>
        </w:trPr>
        <w:tc>
          <w:tcPr>
            <w:tcW w:w="2000" w:type="dxa"/>
            <w:shd w:val="clear" w:color="auto" w:fill="auto"/>
            <w:noWrap/>
            <w:vAlign w:val="bottom"/>
            <w:hideMark/>
          </w:tcPr>
          <w:p w14:paraId="47B264C9"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center"/>
            <w:hideMark/>
          </w:tcPr>
          <w:p w14:paraId="21D15B8C" w14:textId="77777777" w:rsidR="00F7044C" w:rsidRPr="00C421E4" w:rsidRDefault="00F7044C" w:rsidP="00804E6B">
            <w:pPr>
              <w:jc w:val="right"/>
              <w:rPr>
                <w:rFonts w:ascii="Times" w:hAnsi="Times"/>
              </w:rPr>
            </w:pPr>
            <w:r w:rsidRPr="00C421E4">
              <w:rPr>
                <w:rFonts w:ascii="Times" w:hAnsi="Times"/>
              </w:rPr>
              <w:t>0.10</w:t>
            </w:r>
          </w:p>
        </w:tc>
        <w:tc>
          <w:tcPr>
            <w:tcW w:w="1300" w:type="dxa"/>
            <w:shd w:val="clear" w:color="auto" w:fill="auto"/>
            <w:noWrap/>
            <w:vAlign w:val="center"/>
            <w:hideMark/>
          </w:tcPr>
          <w:p w14:paraId="77B1CC3E" w14:textId="77777777" w:rsidR="00F7044C" w:rsidRPr="00C421E4" w:rsidRDefault="00F7044C" w:rsidP="00804E6B">
            <w:pPr>
              <w:jc w:val="right"/>
              <w:rPr>
                <w:rFonts w:ascii="Times" w:hAnsi="Times"/>
              </w:rPr>
            </w:pPr>
            <w:r w:rsidRPr="00C421E4">
              <w:rPr>
                <w:rFonts w:ascii="Times" w:hAnsi="Times"/>
              </w:rPr>
              <w:t>0.32</w:t>
            </w:r>
          </w:p>
        </w:tc>
        <w:tc>
          <w:tcPr>
            <w:tcW w:w="1300" w:type="dxa"/>
            <w:shd w:val="clear" w:color="auto" w:fill="auto"/>
            <w:noWrap/>
            <w:vAlign w:val="center"/>
            <w:hideMark/>
          </w:tcPr>
          <w:p w14:paraId="7AF5642D" w14:textId="77777777" w:rsidR="00F7044C" w:rsidRPr="00C421E4" w:rsidRDefault="00F7044C" w:rsidP="00804E6B">
            <w:pPr>
              <w:jc w:val="right"/>
              <w:rPr>
                <w:rFonts w:ascii="Times" w:hAnsi="Times"/>
              </w:rPr>
            </w:pPr>
            <w:r w:rsidRPr="00C421E4">
              <w:rPr>
                <w:rFonts w:ascii="Times" w:hAnsi="Times"/>
              </w:rPr>
              <w:t>0.03</w:t>
            </w:r>
          </w:p>
        </w:tc>
        <w:tc>
          <w:tcPr>
            <w:tcW w:w="1300" w:type="dxa"/>
            <w:shd w:val="clear" w:color="auto" w:fill="auto"/>
            <w:noWrap/>
            <w:vAlign w:val="center"/>
            <w:hideMark/>
          </w:tcPr>
          <w:p w14:paraId="331103B7" w14:textId="77777777" w:rsidR="00F7044C" w:rsidRPr="00C421E4" w:rsidRDefault="00F7044C" w:rsidP="00804E6B">
            <w:pPr>
              <w:jc w:val="right"/>
              <w:rPr>
                <w:rFonts w:ascii="Times" w:hAnsi="Times"/>
              </w:rPr>
            </w:pPr>
            <w:r w:rsidRPr="00C421E4">
              <w:rPr>
                <w:rFonts w:ascii="Times" w:hAnsi="Times"/>
              </w:rPr>
              <w:t>0.31</w:t>
            </w:r>
          </w:p>
        </w:tc>
        <w:tc>
          <w:tcPr>
            <w:tcW w:w="1300" w:type="dxa"/>
            <w:shd w:val="clear" w:color="auto" w:fill="auto"/>
            <w:noWrap/>
            <w:vAlign w:val="center"/>
            <w:hideMark/>
          </w:tcPr>
          <w:p w14:paraId="2EC85694" w14:textId="77777777" w:rsidR="00F7044C" w:rsidRPr="00C421E4" w:rsidRDefault="00F7044C" w:rsidP="00804E6B">
            <w:pPr>
              <w:jc w:val="right"/>
              <w:rPr>
                <w:rFonts w:ascii="Times" w:hAnsi="Times"/>
              </w:rPr>
            </w:pPr>
            <w:r w:rsidRPr="00C421E4">
              <w:rPr>
                <w:rFonts w:ascii="Times" w:hAnsi="Times"/>
              </w:rPr>
              <w:t>0.75</w:t>
            </w:r>
          </w:p>
        </w:tc>
      </w:tr>
      <w:tr w:rsidR="00F7044C" w:rsidRPr="00C421E4" w14:paraId="44E589EE" w14:textId="77777777" w:rsidTr="00804E6B">
        <w:trPr>
          <w:trHeight w:val="320"/>
        </w:trPr>
        <w:tc>
          <w:tcPr>
            <w:tcW w:w="2000" w:type="dxa"/>
            <w:shd w:val="clear" w:color="auto" w:fill="auto"/>
            <w:noWrap/>
            <w:vAlign w:val="bottom"/>
            <w:hideMark/>
          </w:tcPr>
          <w:p w14:paraId="73782218" w14:textId="77777777" w:rsidR="00F7044C" w:rsidRPr="00C421E4" w:rsidRDefault="00F7044C" w:rsidP="00804E6B">
            <w:pPr>
              <w:rPr>
                <w:rFonts w:ascii="Times" w:hAnsi="Times"/>
              </w:rPr>
            </w:pPr>
            <w:r w:rsidRPr="00C421E4">
              <w:rPr>
                <w:rFonts w:ascii="Times" w:hAnsi="Times"/>
              </w:rPr>
              <w:t>Corrugator tone</w:t>
            </w:r>
          </w:p>
        </w:tc>
        <w:tc>
          <w:tcPr>
            <w:tcW w:w="1300" w:type="dxa"/>
            <w:shd w:val="clear" w:color="auto" w:fill="auto"/>
            <w:noWrap/>
            <w:vAlign w:val="center"/>
            <w:hideMark/>
          </w:tcPr>
          <w:p w14:paraId="62C0EBF3" w14:textId="77777777" w:rsidR="00F7044C" w:rsidRPr="00C421E4" w:rsidRDefault="00F7044C" w:rsidP="00804E6B">
            <w:pPr>
              <w:jc w:val="right"/>
              <w:rPr>
                <w:rFonts w:ascii="Times" w:hAnsi="Times"/>
              </w:rPr>
            </w:pPr>
            <w:r w:rsidRPr="00C421E4">
              <w:rPr>
                <w:rFonts w:ascii="Times" w:hAnsi="Times"/>
              </w:rPr>
              <w:t>-0.17</w:t>
            </w:r>
          </w:p>
        </w:tc>
        <w:tc>
          <w:tcPr>
            <w:tcW w:w="1300" w:type="dxa"/>
            <w:shd w:val="clear" w:color="auto" w:fill="auto"/>
            <w:noWrap/>
            <w:vAlign w:val="center"/>
            <w:hideMark/>
          </w:tcPr>
          <w:p w14:paraId="1E28C596" w14:textId="77777777" w:rsidR="00F7044C" w:rsidRPr="00C421E4" w:rsidRDefault="00F7044C" w:rsidP="00804E6B">
            <w:pPr>
              <w:jc w:val="right"/>
              <w:rPr>
                <w:rFonts w:ascii="Times" w:hAnsi="Times"/>
              </w:rPr>
            </w:pPr>
            <w:r w:rsidRPr="00C421E4">
              <w:rPr>
                <w:rFonts w:ascii="Times" w:hAnsi="Times"/>
              </w:rPr>
              <w:t>0.35</w:t>
            </w:r>
          </w:p>
        </w:tc>
        <w:tc>
          <w:tcPr>
            <w:tcW w:w="1300" w:type="dxa"/>
            <w:shd w:val="clear" w:color="auto" w:fill="auto"/>
            <w:noWrap/>
            <w:vAlign w:val="center"/>
            <w:hideMark/>
          </w:tcPr>
          <w:p w14:paraId="1D30CC15" w14:textId="77777777" w:rsidR="00F7044C" w:rsidRPr="00C421E4" w:rsidRDefault="00F7044C" w:rsidP="00804E6B">
            <w:pPr>
              <w:jc w:val="right"/>
              <w:rPr>
                <w:rFonts w:ascii="Times" w:hAnsi="Times"/>
              </w:rPr>
            </w:pPr>
            <w:r w:rsidRPr="00C421E4">
              <w:rPr>
                <w:rFonts w:ascii="Times" w:hAnsi="Times"/>
              </w:rPr>
              <w:t>-0.09</w:t>
            </w:r>
          </w:p>
        </w:tc>
        <w:tc>
          <w:tcPr>
            <w:tcW w:w="1300" w:type="dxa"/>
            <w:shd w:val="clear" w:color="auto" w:fill="auto"/>
            <w:noWrap/>
            <w:vAlign w:val="center"/>
            <w:hideMark/>
          </w:tcPr>
          <w:p w14:paraId="74120B21" w14:textId="77777777" w:rsidR="00F7044C" w:rsidRPr="00C421E4" w:rsidRDefault="00F7044C" w:rsidP="00804E6B">
            <w:pPr>
              <w:jc w:val="right"/>
              <w:rPr>
                <w:rFonts w:ascii="Times" w:hAnsi="Times"/>
              </w:rPr>
            </w:pPr>
            <w:r w:rsidRPr="00C421E4">
              <w:rPr>
                <w:rFonts w:ascii="Times" w:hAnsi="Times"/>
              </w:rPr>
              <w:t>-0.48</w:t>
            </w:r>
          </w:p>
        </w:tc>
        <w:tc>
          <w:tcPr>
            <w:tcW w:w="1300" w:type="dxa"/>
            <w:shd w:val="clear" w:color="auto" w:fill="auto"/>
            <w:noWrap/>
            <w:vAlign w:val="center"/>
            <w:hideMark/>
          </w:tcPr>
          <w:p w14:paraId="7341F875" w14:textId="77777777" w:rsidR="00F7044C" w:rsidRPr="00C421E4" w:rsidRDefault="00F7044C" w:rsidP="00804E6B">
            <w:pPr>
              <w:jc w:val="right"/>
              <w:rPr>
                <w:rFonts w:ascii="Times" w:hAnsi="Times"/>
              </w:rPr>
            </w:pPr>
            <w:r w:rsidRPr="00C421E4">
              <w:rPr>
                <w:rFonts w:ascii="Times" w:hAnsi="Times"/>
              </w:rPr>
              <w:t>0.63</w:t>
            </w:r>
          </w:p>
        </w:tc>
      </w:tr>
      <w:tr w:rsidR="00F7044C" w:rsidRPr="00C421E4" w14:paraId="10A1EEFE" w14:textId="77777777" w:rsidTr="00804E6B">
        <w:trPr>
          <w:trHeight w:val="320"/>
        </w:trPr>
        <w:tc>
          <w:tcPr>
            <w:tcW w:w="2000" w:type="dxa"/>
            <w:shd w:val="clear" w:color="auto" w:fill="auto"/>
            <w:noWrap/>
            <w:vAlign w:val="bottom"/>
            <w:hideMark/>
          </w:tcPr>
          <w:p w14:paraId="34E938D1"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center"/>
            <w:hideMark/>
          </w:tcPr>
          <w:p w14:paraId="72357D18" w14:textId="77777777" w:rsidR="00F7044C" w:rsidRPr="00C421E4" w:rsidRDefault="00F7044C" w:rsidP="00804E6B">
            <w:pPr>
              <w:jc w:val="right"/>
              <w:rPr>
                <w:rFonts w:ascii="Times" w:hAnsi="Times"/>
              </w:rPr>
            </w:pPr>
            <w:r w:rsidRPr="00C421E4">
              <w:rPr>
                <w:rFonts w:ascii="Times" w:hAnsi="Times"/>
              </w:rPr>
              <w:t>0.02</w:t>
            </w:r>
          </w:p>
        </w:tc>
        <w:tc>
          <w:tcPr>
            <w:tcW w:w="1300" w:type="dxa"/>
            <w:shd w:val="clear" w:color="auto" w:fill="auto"/>
            <w:noWrap/>
            <w:vAlign w:val="center"/>
            <w:hideMark/>
          </w:tcPr>
          <w:p w14:paraId="090CF363" w14:textId="77777777" w:rsidR="00F7044C" w:rsidRPr="00C421E4" w:rsidRDefault="00F7044C" w:rsidP="00804E6B">
            <w:pPr>
              <w:jc w:val="right"/>
              <w:rPr>
                <w:rFonts w:ascii="Times" w:hAnsi="Times"/>
              </w:rPr>
            </w:pPr>
            <w:r w:rsidRPr="00C421E4">
              <w:rPr>
                <w:rFonts w:ascii="Times" w:hAnsi="Times"/>
              </w:rPr>
              <w:t>0.024</w:t>
            </w:r>
          </w:p>
        </w:tc>
        <w:tc>
          <w:tcPr>
            <w:tcW w:w="1300" w:type="dxa"/>
            <w:shd w:val="clear" w:color="auto" w:fill="auto"/>
            <w:noWrap/>
            <w:vAlign w:val="center"/>
            <w:hideMark/>
          </w:tcPr>
          <w:p w14:paraId="50E1E592" w14:textId="77777777" w:rsidR="00F7044C" w:rsidRPr="00C421E4" w:rsidRDefault="00F7044C" w:rsidP="00804E6B">
            <w:pPr>
              <w:jc w:val="right"/>
              <w:rPr>
                <w:rFonts w:ascii="Times" w:hAnsi="Times"/>
              </w:rPr>
            </w:pPr>
            <w:r w:rsidRPr="00C421E4">
              <w:rPr>
                <w:rFonts w:ascii="Times" w:hAnsi="Times"/>
              </w:rPr>
              <w:t>0.10</w:t>
            </w:r>
          </w:p>
        </w:tc>
        <w:tc>
          <w:tcPr>
            <w:tcW w:w="1300" w:type="dxa"/>
            <w:shd w:val="clear" w:color="auto" w:fill="auto"/>
            <w:noWrap/>
            <w:vAlign w:val="center"/>
            <w:hideMark/>
          </w:tcPr>
          <w:p w14:paraId="0530EC42" w14:textId="77777777" w:rsidR="00F7044C" w:rsidRPr="00C421E4" w:rsidRDefault="00F7044C" w:rsidP="00804E6B">
            <w:pPr>
              <w:jc w:val="right"/>
              <w:rPr>
                <w:rFonts w:ascii="Times" w:hAnsi="Times"/>
              </w:rPr>
            </w:pPr>
            <w:r w:rsidRPr="00C421E4">
              <w:rPr>
                <w:rFonts w:ascii="Times" w:hAnsi="Times"/>
              </w:rPr>
              <w:t>0.82</w:t>
            </w:r>
          </w:p>
        </w:tc>
        <w:tc>
          <w:tcPr>
            <w:tcW w:w="1300" w:type="dxa"/>
            <w:shd w:val="clear" w:color="auto" w:fill="auto"/>
            <w:noWrap/>
            <w:vAlign w:val="center"/>
            <w:hideMark/>
          </w:tcPr>
          <w:p w14:paraId="40E447C4" w14:textId="77777777" w:rsidR="00F7044C" w:rsidRPr="00C421E4" w:rsidRDefault="00F7044C" w:rsidP="00804E6B">
            <w:pPr>
              <w:jc w:val="right"/>
              <w:rPr>
                <w:rFonts w:ascii="Times" w:hAnsi="Times"/>
              </w:rPr>
            </w:pPr>
            <w:r w:rsidRPr="00C421E4">
              <w:rPr>
                <w:rFonts w:ascii="Times" w:hAnsi="Times"/>
              </w:rPr>
              <w:t>0.41</w:t>
            </w:r>
          </w:p>
        </w:tc>
      </w:tr>
      <w:tr w:rsidR="00F7044C" w:rsidRPr="00C421E4" w14:paraId="31F09D3C" w14:textId="77777777" w:rsidTr="00804E6B">
        <w:trPr>
          <w:trHeight w:val="320"/>
        </w:trPr>
        <w:tc>
          <w:tcPr>
            <w:tcW w:w="8500" w:type="dxa"/>
            <w:gridSpan w:val="6"/>
            <w:shd w:val="clear" w:color="auto" w:fill="auto"/>
            <w:noWrap/>
            <w:vAlign w:val="bottom"/>
            <w:hideMark/>
          </w:tcPr>
          <w:p w14:paraId="2F5A3003" w14:textId="77777777" w:rsidR="00F7044C" w:rsidRPr="00C421E4" w:rsidRDefault="00F7044C" w:rsidP="00804E6B">
            <w:pPr>
              <w:jc w:val="center"/>
              <w:rPr>
                <w:rFonts w:ascii="Times" w:hAnsi="Times"/>
              </w:rPr>
            </w:pPr>
            <w:r w:rsidRPr="00C421E4">
              <w:rPr>
                <w:rFonts w:ascii="Times" w:hAnsi="Times"/>
              </w:rPr>
              <w:t>Positive Habituation</w:t>
            </w:r>
          </w:p>
        </w:tc>
      </w:tr>
      <w:tr w:rsidR="00F7044C" w:rsidRPr="00C421E4" w14:paraId="58581332" w14:textId="77777777" w:rsidTr="00804E6B">
        <w:trPr>
          <w:trHeight w:val="320"/>
        </w:trPr>
        <w:tc>
          <w:tcPr>
            <w:tcW w:w="2000" w:type="dxa"/>
            <w:shd w:val="clear" w:color="auto" w:fill="auto"/>
            <w:noWrap/>
            <w:vAlign w:val="bottom"/>
            <w:hideMark/>
          </w:tcPr>
          <w:p w14:paraId="76CCDED6" w14:textId="77777777" w:rsidR="00F7044C" w:rsidRPr="00C421E4" w:rsidRDefault="00F7044C" w:rsidP="00804E6B">
            <w:pPr>
              <w:rPr>
                <w:rFonts w:ascii="Times" w:hAnsi="Times"/>
              </w:rPr>
            </w:pPr>
            <w:r w:rsidRPr="00C421E4">
              <w:rPr>
                <w:rFonts w:ascii="Times" w:hAnsi="Times"/>
              </w:rPr>
              <w:t>Valence</w:t>
            </w:r>
          </w:p>
        </w:tc>
        <w:tc>
          <w:tcPr>
            <w:tcW w:w="1300" w:type="dxa"/>
            <w:shd w:val="clear" w:color="auto" w:fill="auto"/>
            <w:noWrap/>
            <w:vAlign w:val="center"/>
            <w:hideMark/>
          </w:tcPr>
          <w:p w14:paraId="2C8DA1FE" w14:textId="77777777" w:rsidR="00F7044C" w:rsidRPr="00C421E4" w:rsidRDefault="00F7044C" w:rsidP="00804E6B">
            <w:pPr>
              <w:jc w:val="right"/>
              <w:rPr>
                <w:rFonts w:ascii="Times" w:hAnsi="Times"/>
              </w:rPr>
            </w:pPr>
            <w:r w:rsidRPr="00C421E4">
              <w:rPr>
                <w:rFonts w:ascii="Times" w:hAnsi="Times"/>
              </w:rPr>
              <w:t>0.25</w:t>
            </w:r>
          </w:p>
        </w:tc>
        <w:tc>
          <w:tcPr>
            <w:tcW w:w="1300" w:type="dxa"/>
            <w:shd w:val="clear" w:color="auto" w:fill="auto"/>
            <w:noWrap/>
            <w:vAlign w:val="center"/>
            <w:hideMark/>
          </w:tcPr>
          <w:p w14:paraId="508C56A1" w14:textId="77777777" w:rsidR="00F7044C" w:rsidRPr="00C421E4" w:rsidRDefault="00F7044C" w:rsidP="00804E6B">
            <w:pPr>
              <w:jc w:val="right"/>
              <w:rPr>
                <w:rFonts w:ascii="Times" w:hAnsi="Times"/>
              </w:rPr>
            </w:pPr>
            <w:r w:rsidRPr="00C421E4">
              <w:rPr>
                <w:rFonts w:ascii="Times" w:hAnsi="Times"/>
              </w:rPr>
              <w:t>0.26</w:t>
            </w:r>
          </w:p>
        </w:tc>
        <w:tc>
          <w:tcPr>
            <w:tcW w:w="1300" w:type="dxa"/>
            <w:shd w:val="clear" w:color="auto" w:fill="auto"/>
            <w:noWrap/>
            <w:vAlign w:val="center"/>
            <w:hideMark/>
          </w:tcPr>
          <w:p w14:paraId="32E431A9" w14:textId="77777777" w:rsidR="00F7044C" w:rsidRPr="00C421E4" w:rsidRDefault="00F7044C" w:rsidP="00804E6B">
            <w:pPr>
              <w:jc w:val="right"/>
              <w:rPr>
                <w:rFonts w:ascii="Times" w:hAnsi="Times"/>
              </w:rPr>
            </w:pPr>
            <w:r w:rsidRPr="00C421E4">
              <w:rPr>
                <w:rFonts w:ascii="Times" w:hAnsi="Times"/>
              </w:rPr>
              <w:t>0.12</w:t>
            </w:r>
          </w:p>
        </w:tc>
        <w:tc>
          <w:tcPr>
            <w:tcW w:w="1300" w:type="dxa"/>
            <w:shd w:val="clear" w:color="auto" w:fill="auto"/>
            <w:noWrap/>
            <w:vAlign w:val="center"/>
            <w:hideMark/>
          </w:tcPr>
          <w:p w14:paraId="7751EBB2" w14:textId="77777777" w:rsidR="00F7044C" w:rsidRPr="00C421E4" w:rsidRDefault="00F7044C" w:rsidP="00804E6B">
            <w:pPr>
              <w:jc w:val="right"/>
              <w:rPr>
                <w:rFonts w:ascii="Times" w:hAnsi="Times"/>
              </w:rPr>
            </w:pPr>
            <w:r w:rsidRPr="00C421E4">
              <w:rPr>
                <w:rFonts w:ascii="Times" w:hAnsi="Times"/>
              </w:rPr>
              <w:t>0.94</w:t>
            </w:r>
          </w:p>
        </w:tc>
        <w:tc>
          <w:tcPr>
            <w:tcW w:w="1300" w:type="dxa"/>
            <w:shd w:val="clear" w:color="auto" w:fill="auto"/>
            <w:noWrap/>
            <w:vAlign w:val="center"/>
            <w:hideMark/>
          </w:tcPr>
          <w:p w14:paraId="1CCBFA8F" w14:textId="77777777" w:rsidR="00F7044C" w:rsidRPr="00C421E4" w:rsidRDefault="00F7044C" w:rsidP="00804E6B">
            <w:pPr>
              <w:jc w:val="right"/>
              <w:rPr>
                <w:rFonts w:ascii="Times" w:hAnsi="Times"/>
              </w:rPr>
            </w:pPr>
            <w:r w:rsidRPr="00C421E4">
              <w:rPr>
                <w:rFonts w:ascii="Times" w:hAnsi="Times"/>
              </w:rPr>
              <w:t>0.34</w:t>
            </w:r>
          </w:p>
        </w:tc>
      </w:tr>
      <w:tr w:rsidR="00F7044C" w:rsidRPr="00C421E4" w14:paraId="29057982" w14:textId="77777777" w:rsidTr="00804E6B">
        <w:trPr>
          <w:trHeight w:val="320"/>
        </w:trPr>
        <w:tc>
          <w:tcPr>
            <w:tcW w:w="2000" w:type="dxa"/>
            <w:shd w:val="clear" w:color="auto" w:fill="auto"/>
            <w:noWrap/>
            <w:vAlign w:val="bottom"/>
            <w:hideMark/>
          </w:tcPr>
          <w:p w14:paraId="45E5376F" w14:textId="77777777" w:rsidR="00F7044C" w:rsidRPr="00C421E4" w:rsidRDefault="00F7044C" w:rsidP="00804E6B">
            <w:pPr>
              <w:rPr>
                <w:rFonts w:ascii="Times" w:hAnsi="Times"/>
              </w:rPr>
            </w:pPr>
            <w:r w:rsidRPr="00C421E4">
              <w:rPr>
                <w:rFonts w:ascii="Times" w:hAnsi="Times"/>
              </w:rPr>
              <w:t>Arousal</w:t>
            </w:r>
          </w:p>
        </w:tc>
        <w:tc>
          <w:tcPr>
            <w:tcW w:w="1300" w:type="dxa"/>
            <w:shd w:val="clear" w:color="auto" w:fill="auto"/>
            <w:noWrap/>
            <w:vAlign w:val="center"/>
            <w:hideMark/>
          </w:tcPr>
          <w:p w14:paraId="058C881A" w14:textId="77777777" w:rsidR="00F7044C" w:rsidRPr="00C421E4" w:rsidRDefault="00F7044C" w:rsidP="00804E6B">
            <w:pPr>
              <w:jc w:val="right"/>
              <w:rPr>
                <w:rFonts w:ascii="Times" w:hAnsi="Times"/>
              </w:rPr>
            </w:pPr>
            <w:r w:rsidRPr="00C421E4">
              <w:rPr>
                <w:rFonts w:ascii="Times" w:hAnsi="Times"/>
              </w:rPr>
              <w:t>0.30</w:t>
            </w:r>
          </w:p>
        </w:tc>
        <w:tc>
          <w:tcPr>
            <w:tcW w:w="1300" w:type="dxa"/>
            <w:shd w:val="clear" w:color="auto" w:fill="auto"/>
            <w:noWrap/>
            <w:vAlign w:val="center"/>
            <w:hideMark/>
          </w:tcPr>
          <w:p w14:paraId="7B4DFAB3" w14:textId="77777777" w:rsidR="00F7044C" w:rsidRPr="00C421E4" w:rsidRDefault="00F7044C" w:rsidP="00804E6B">
            <w:pPr>
              <w:jc w:val="right"/>
              <w:rPr>
                <w:rFonts w:ascii="Times" w:hAnsi="Times"/>
              </w:rPr>
            </w:pPr>
            <w:r w:rsidRPr="00C421E4">
              <w:rPr>
                <w:rFonts w:ascii="Times" w:hAnsi="Times"/>
              </w:rPr>
              <w:t>0.13</w:t>
            </w:r>
          </w:p>
        </w:tc>
        <w:tc>
          <w:tcPr>
            <w:tcW w:w="1300" w:type="dxa"/>
            <w:shd w:val="clear" w:color="auto" w:fill="auto"/>
            <w:noWrap/>
            <w:vAlign w:val="center"/>
            <w:hideMark/>
          </w:tcPr>
          <w:p w14:paraId="79979A23" w14:textId="77777777" w:rsidR="00F7044C" w:rsidRPr="00C421E4" w:rsidRDefault="00F7044C" w:rsidP="00804E6B">
            <w:pPr>
              <w:jc w:val="right"/>
              <w:rPr>
                <w:rFonts w:ascii="Times" w:hAnsi="Times"/>
              </w:rPr>
            </w:pPr>
            <w:r w:rsidRPr="00C421E4">
              <w:rPr>
                <w:rFonts w:ascii="Times" w:hAnsi="Times"/>
              </w:rPr>
              <w:t>0.35</w:t>
            </w:r>
          </w:p>
        </w:tc>
        <w:tc>
          <w:tcPr>
            <w:tcW w:w="1300" w:type="dxa"/>
            <w:shd w:val="clear" w:color="auto" w:fill="auto"/>
            <w:noWrap/>
            <w:vAlign w:val="center"/>
            <w:hideMark/>
          </w:tcPr>
          <w:p w14:paraId="48012D52" w14:textId="77777777" w:rsidR="00F7044C" w:rsidRPr="00C421E4" w:rsidRDefault="00F7044C" w:rsidP="00804E6B">
            <w:pPr>
              <w:jc w:val="right"/>
              <w:rPr>
                <w:rFonts w:ascii="Times" w:hAnsi="Times"/>
              </w:rPr>
            </w:pPr>
            <w:r w:rsidRPr="00C421E4">
              <w:rPr>
                <w:rFonts w:ascii="Times" w:hAnsi="Times"/>
              </w:rPr>
              <w:t>2.20</w:t>
            </w:r>
          </w:p>
        </w:tc>
        <w:tc>
          <w:tcPr>
            <w:tcW w:w="1300" w:type="dxa"/>
            <w:shd w:val="clear" w:color="auto" w:fill="auto"/>
            <w:noWrap/>
            <w:vAlign w:val="center"/>
            <w:hideMark/>
          </w:tcPr>
          <w:p w14:paraId="70347F53" w14:textId="77777777" w:rsidR="00F7044C" w:rsidRPr="00C421E4" w:rsidRDefault="00F7044C" w:rsidP="00804E6B">
            <w:pPr>
              <w:jc w:val="right"/>
              <w:rPr>
                <w:rFonts w:ascii="Times" w:hAnsi="Times"/>
              </w:rPr>
            </w:pPr>
            <w:r w:rsidRPr="00C421E4">
              <w:rPr>
                <w:rFonts w:ascii="Times" w:hAnsi="Times"/>
              </w:rPr>
              <w:t>0.03</w:t>
            </w:r>
          </w:p>
        </w:tc>
      </w:tr>
      <w:tr w:rsidR="00F7044C" w:rsidRPr="00C421E4" w14:paraId="7E67CEB5" w14:textId="77777777" w:rsidTr="00804E6B">
        <w:trPr>
          <w:trHeight w:val="320"/>
        </w:trPr>
        <w:tc>
          <w:tcPr>
            <w:tcW w:w="2000" w:type="dxa"/>
            <w:shd w:val="clear" w:color="auto" w:fill="auto"/>
            <w:noWrap/>
            <w:vAlign w:val="bottom"/>
            <w:hideMark/>
          </w:tcPr>
          <w:p w14:paraId="5213287F" w14:textId="77777777" w:rsidR="00F7044C" w:rsidRPr="00C421E4" w:rsidRDefault="00F7044C" w:rsidP="00804E6B">
            <w:pPr>
              <w:rPr>
                <w:rFonts w:ascii="Times" w:hAnsi="Times"/>
              </w:rPr>
            </w:pPr>
            <w:r w:rsidRPr="00C421E4">
              <w:rPr>
                <w:rFonts w:ascii="Times" w:hAnsi="Times"/>
              </w:rPr>
              <w:t>Skin conductance</w:t>
            </w:r>
          </w:p>
        </w:tc>
        <w:tc>
          <w:tcPr>
            <w:tcW w:w="1300" w:type="dxa"/>
            <w:shd w:val="clear" w:color="auto" w:fill="auto"/>
            <w:noWrap/>
            <w:vAlign w:val="center"/>
            <w:hideMark/>
          </w:tcPr>
          <w:p w14:paraId="440579C9" w14:textId="77777777" w:rsidR="00F7044C" w:rsidRPr="00C421E4" w:rsidRDefault="00F7044C" w:rsidP="00804E6B">
            <w:pPr>
              <w:jc w:val="right"/>
              <w:rPr>
                <w:rFonts w:ascii="Times" w:hAnsi="Times"/>
              </w:rPr>
            </w:pPr>
            <w:r w:rsidRPr="00C421E4">
              <w:rPr>
                <w:rFonts w:ascii="Times" w:hAnsi="Times"/>
              </w:rPr>
              <w:t>1.38</w:t>
            </w:r>
          </w:p>
        </w:tc>
        <w:tc>
          <w:tcPr>
            <w:tcW w:w="1300" w:type="dxa"/>
            <w:shd w:val="clear" w:color="auto" w:fill="auto"/>
            <w:noWrap/>
            <w:vAlign w:val="center"/>
            <w:hideMark/>
          </w:tcPr>
          <w:p w14:paraId="211DF235" w14:textId="77777777" w:rsidR="00F7044C" w:rsidRPr="00C421E4" w:rsidRDefault="00F7044C" w:rsidP="00804E6B">
            <w:pPr>
              <w:jc w:val="right"/>
              <w:rPr>
                <w:rFonts w:ascii="Times" w:hAnsi="Times"/>
              </w:rPr>
            </w:pPr>
            <w:r w:rsidRPr="00C421E4">
              <w:rPr>
                <w:rFonts w:ascii="Times" w:hAnsi="Times"/>
              </w:rPr>
              <w:t>0.72</w:t>
            </w:r>
          </w:p>
        </w:tc>
        <w:tc>
          <w:tcPr>
            <w:tcW w:w="1300" w:type="dxa"/>
            <w:shd w:val="clear" w:color="auto" w:fill="auto"/>
            <w:noWrap/>
            <w:vAlign w:val="center"/>
            <w:hideMark/>
          </w:tcPr>
          <w:p w14:paraId="14E19B19" w14:textId="77777777" w:rsidR="00F7044C" w:rsidRPr="00C421E4" w:rsidRDefault="00F7044C" w:rsidP="00804E6B">
            <w:pPr>
              <w:jc w:val="right"/>
              <w:rPr>
                <w:rFonts w:ascii="Times" w:hAnsi="Times"/>
              </w:rPr>
            </w:pPr>
            <w:r w:rsidRPr="00C421E4">
              <w:rPr>
                <w:rFonts w:ascii="Times" w:hAnsi="Times"/>
              </w:rPr>
              <w:t>0.35</w:t>
            </w:r>
          </w:p>
        </w:tc>
        <w:tc>
          <w:tcPr>
            <w:tcW w:w="1300" w:type="dxa"/>
            <w:shd w:val="clear" w:color="auto" w:fill="auto"/>
            <w:noWrap/>
            <w:vAlign w:val="center"/>
            <w:hideMark/>
          </w:tcPr>
          <w:p w14:paraId="2E07B845" w14:textId="77777777" w:rsidR="00F7044C" w:rsidRPr="00C421E4" w:rsidRDefault="00F7044C" w:rsidP="00804E6B">
            <w:pPr>
              <w:jc w:val="right"/>
              <w:rPr>
                <w:rFonts w:ascii="Times" w:hAnsi="Times"/>
              </w:rPr>
            </w:pPr>
            <w:r w:rsidRPr="00C421E4">
              <w:rPr>
                <w:rFonts w:ascii="Times" w:hAnsi="Times"/>
              </w:rPr>
              <w:t>1.92</w:t>
            </w:r>
          </w:p>
        </w:tc>
        <w:tc>
          <w:tcPr>
            <w:tcW w:w="1300" w:type="dxa"/>
            <w:shd w:val="clear" w:color="auto" w:fill="auto"/>
            <w:noWrap/>
            <w:vAlign w:val="center"/>
            <w:hideMark/>
          </w:tcPr>
          <w:p w14:paraId="7934ECA8" w14:textId="77777777" w:rsidR="00F7044C" w:rsidRPr="00C421E4" w:rsidRDefault="00F7044C" w:rsidP="00804E6B">
            <w:pPr>
              <w:jc w:val="right"/>
              <w:rPr>
                <w:rFonts w:ascii="Times" w:hAnsi="Times"/>
              </w:rPr>
            </w:pPr>
            <w:r w:rsidRPr="00C421E4">
              <w:rPr>
                <w:rFonts w:ascii="Times" w:hAnsi="Times"/>
              </w:rPr>
              <w:t>0.05</w:t>
            </w:r>
          </w:p>
        </w:tc>
      </w:tr>
      <w:tr w:rsidR="00F7044C" w:rsidRPr="00C421E4" w14:paraId="052ADF30" w14:textId="77777777" w:rsidTr="00804E6B">
        <w:trPr>
          <w:trHeight w:val="320"/>
        </w:trPr>
        <w:tc>
          <w:tcPr>
            <w:tcW w:w="2000" w:type="dxa"/>
            <w:shd w:val="clear" w:color="auto" w:fill="auto"/>
            <w:noWrap/>
            <w:vAlign w:val="bottom"/>
            <w:hideMark/>
          </w:tcPr>
          <w:p w14:paraId="6F71E253" w14:textId="77777777" w:rsidR="00F7044C" w:rsidRPr="00C421E4" w:rsidRDefault="00F7044C" w:rsidP="00804E6B">
            <w:pPr>
              <w:rPr>
                <w:rFonts w:ascii="Times" w:hAnsi="Times"/>
                <w:bCs/>
              </w:rPr>
            </w:pPr>
            <w:r w:rsidRPr="00C421E4">
              <w:rPr>
                <w:rFonts w:ascii="Times" w:hAnsi="Times"/>
                <w:bCs/>
              </w:rPr>
              <w:t>Zygomaticus tone</w:t>
            </w:r>
          </w:p>
        </w:tc>
        <w:tc>
          <w:tcPr>
            <w:tcW w:w="1300" w:type="dxa"/>
            <w:shd w:val="clear" w:color="auto" w:fill="auto"/>
            <w:noWrap/>
            <w:vAlign w:val="center"/>
            <w:hideMark/>
          </w:tcPr>
          <w:p w14:paraId="7F046BA1" w14:textId="77777777" w:rsidR="00F7044C" w:rsidRPr="00C421E4" w:rsidRDefault="00F7044C" w:rsidP="00804E6B">
            <w:pPr>
              <w:jc w:val="right"/>
              <w:rPr>
                <w:rFonts w:ascii="Times" w:hAnsi="Times"/>
                <w:b/>
                <w:bCs/>
              </w:rPr>
            </w:pPr>
            <w:r w:rsidRPr="00C421E4">
              <w:rPr>
                <w:rFonts w:ascii="Times" w:hAnsi="Times"/>
              </w:rPr>
              <w:t>-0.01</w:t>
            </w:r>
          </w:p>
        </w:tc>
        <w:tc>
          <w:tcPr>
            <w:tcW w:w="1300" w:type="dxa"/>
            <w:shd w:val="clear" w:color="auto" w:fill="auto"/>
            <w:noWrap/>
            <w:vAlign w:val="center"/>
            <w:hideMark/>
          </w:tcPr>
          <w:p w14:paraId="67A20BD4" w14:textId="77777777" w:rsidR="00F7044C" w:rsidRPr="00C421E4" w:rsidRDefault="00F7044C" w:rsidP="00804E6B">
            <w:pPr>
              <w:jc w:val="right"/>
              <w:rPr>
                <w:rFonts w:ascii="Times" w:hAnsi="Times"/>
                <w:b/>
                <w:bCs/>
              </w:rPr>
            </w:pPr>
            <w:r w:rsidRPr="00C421E4">
              <w:rPr>
                <w:rFonts w:ascii="Times" w:hAnsi="Times"/>
              </w:rPr>
              <w:t>0.12</w:t>
            </w:r>
          </w:p>
        </w:tc>
        <w:tc>
          <w:tcPr>
            <w:tcW w:w="1300" w:type="dxa"/>
            <w:shd w:val="clear" w:color="auto" w:fill="auto"/>
            <w:noWrap/>
            <w:vAlign w:val="center"/>
            <w:hideMark/>
          </w:tcPr>
          <w:p w14:paraId="4EACA619" w14:textId="77777777" w:rsidR="00F7044C" w:rsidRPr="00C421E4" w:rsidRDefault="00F7044C" w:rsidP="00804E6B">
            <w:pPr>
              <w:jc w:val="right"/>
              <w:rPr>
                <w:rFonts w:ascii="Times" w:hAnsi="Times"/>
                <w:b/>
                <w:bCs/>
              </w:rPr>
            </w:pPr>
            <w:r w:rsidRPr="00C421E4">
              <w:rPr>
                <w:rFonts w:ascii="Times" w:hAnsi="Times"/>
              </w:rPr>
              <w:t>-0.01</w:t>
            </w:r>
          </w:p>
        </w:tc>
        <w:tc>
          <w:tcPr>
            <w:tcW w:w="1300" w:type="dxa"/>
            <w:shd w:val="clear" w:color="auto" w:fill="auto"/>
            <w:noWrap/>
            <w:vAlign w:val="center"/>
            <w:hideMark/>
          </w:tcPr>
          <w:p w14:paraId="506CDE01" w14:textId="77777777" w:rsidR="00F7044C" w:rsidRPr="00C421E4" w:rsidRDefault="00F7044C" w:rsidP="00804E6B">
            <w:pPr>
              <w:jc w:val="right"/>
              <w:rPr>
                <w:rFonts w:ascii="Times" w:hAnsi="Times"/>
                <w:b/>
                <w:bCs/>
              </w:rPr>
            </w:pPr>
            <w:r w:rsidRPr="00C421E4">
              <w:rPr>
                <w:rFonts w:ascii="Times" w:hAnsi="Times"/>
              </w:rPr>
              <w:t>-0.11</w:t>
            </w:r>
          </w:p>
        </w:tc>
        <w:tc>
          <w:tcPr>
            <w:tcW w:w="1300" w:type="dxa"/>
            <w:shd w:val="clear" w:color="auto" w:fill="auto"/>
            <w:noWrap/>
            <w:vAlign w:val="center"/>
            <w:hideMark/>
          </w:tcPr>
          <w:p w14:paraId="7B8DACCB" w14:textId="77777777" w:rsidR="00F7044C" w:rsidRPr="00C421E4" w:rsidRDefault="00F7044C" w:rsidP="00804E6B">
            <w:pPr>
              <w:jc w:val="right"/>
              <w:rPr>
                <w:rFonts w:ascii="Times" w:hAnsi="Times"/>
                <w:b/>
                <w:bCs/>
              </w:rPr>
            </w:pPr>
            <w:r w:rsidRPr="00C421E4">
              <w:rPr>
                <w:rFonts w:ascii="Times" w:hAnsi="Times"/>
              </w:rPr>
              <w:t>0.91</w:t>
            </w:r>
          </w:p>
        </w:tc>
      </w:tr>
      <w:tr w:rsidR="00F7044C" w:rsidRPr="00C421E4" w14:paraId="13D4F9ED" w14:textId="77777777" w:rsidTr="00804E6B">
        <w:trPr>
          <w:trHeight w:val="320"/>
        </w:trPr>
        <w:tc>
          <w:tcPr>
            <w:tcW w:w="2000" w:type="dxa"/>
            <w:shd w:val="clear" w:color="auto" w:fill="auto"/>
            <w:noWrap/>
            <w:vAlign w:val="bottom"/>
            <w:hideMark/>
          </w:tcPr>
          <w:p w14:paraId="58C0D63B" w14:textId="77777777" w:rsidR="00F7044C" w:rsidRPr="00C421E4" w:rsidRDefault="00F7044C" w:rsidP="00804E6B">
            <w:pPr>
              <w:rPr>
                <w:rFonts w:ascii="Times" w:hAnsi="Times"/>
              </w:rPr>
            </w:pPr>
            <w:r w:rsidRPr="00C421E4">
              <w:rPr>
                <w:rFonts w:ascii="Times" w:hAnsi="Times"/>
              </w:rPr>
              <w:t>Heart rate</w:t>
            </w:r>
          </w:p>
        </w:tc>
        <w:tc>
          <w:tcPr>
            <w:tcW w:w="1300" w:type="dxa"/>
            <w:shd w:val="clear" w:color="auto" w:fill="auto"/>
            <w:noWrap/>
            <w:vAlign w:val="center"/>
            <w:hideMark/>
          </w:tcPr>
          <w:p w14:paraId="78E76C33" w14:textId="77777777" w:rsidR="00F7044C" w:rsidRPr="00C421E4" w:rsidRDefault="00F7044C" w:rsidP="00804E6B">
            <w:pPr>
              <w:jc w:val="right"/>
              <w:rPr>
                <w:rFonts w:ascii="Times" w:hAnsi="Times"/>
              </w:rPr>
            </w:pPr>
            <w:r w:rsidRPr="00C421E4">
              <w:rPr>
                <w:rFonts w:ascii="Times" w:hAnsi="Times"/>
              </w:rPr>
              <w:t>-0.01</w:t>
            </w:r>
          </w:p>
        </w:tc>
        <w:tc>
          <w:tcPr>
            <w:tcW w:w="1300" w:type="dxa"/>
            <w:shd w:val="clear" w:color="auto" w:fill="auto"/>
            <w:noWrap/>
            <w:vAlign w:val="center"/>
            <w:hideMark/>
          </w:tcPr>
          <w:p w14:paraId="612EC767" w14:textId="77777777" w:rsidR="00F7044C" w:rsidRPr="00C421E4" w:rsidRDefault="00F7044C" w:rsidP="00804E6B">
            <w:pPr>
              <w:jc w:val="right"/>
              <w:rPr>
                <w:rFonts w:ascii="Times" w:hAnsi="Times"/>
              </w:rPr>
            </w:pPr>
            <w:r w:rsidRPr="00C421E4">
              <w:rPr>
                <w:rFonts w:ascii="Times" w:hAnsi="Times"/>
              </w:rPr>
              <w:t>0.01</w:t>
            </w:r>
          </w:p>
        </w:tc>
        <w:tc>
          <w:tcPr>
            <w:tcW w:w="1300" w:type="dxa"/>
            <w:shd w:val="clear" w:color="auto" w:fill="auto"/>
            <w:noWrap/>
            <w:vAlign w:val="center"/>
            <w:hideMark/>
          </w:tcPr>
          <w:p w14:paraId="5AA4A364" w14:textId="77777777" w:rsidR="00F7044C" w:rsidRPr="00C421E4" w:rsidRDefault="00F7044C" w:rsidP="00804E6B">
            <w:pPr>
              <w:jc w:val="right"/>
              <w:rPr>
                <w:rFonts w:ascii="Times" w:hAnsi="Times"/>
              </w:rPr>
            </w:pPr>
            <w:r w:rsidRPr="00C421E4">
              <w:rPr>
                <w:rFonts w:ascii="Times" w:hAnsi="Times"/>
              </w:rPr>
              <w:t>-0.08</w:t>
            </w:r>
          </w:p>
        </w:tc>
        <w:tc>
          <w:tcPr>
            <w:tcW w:w="1300" w:type="dxa"/>
            <w:shd w:val="clear" w:color="auto" w:fill="auto"/>
            <w:noWrap/>
            <w:vAlign w:val="center"/>
            <w:hideMark/>
          </w:tcPr>
          <w:p w14:paraId="791D1F85" w14:textId="77777777" w:rsidR="00F7044C" w:rsidRPr="00C421E4" w:rsidRDefault="00F7044C" w:rsidP="00804E6B">
            <w:pPr>
              <w:jc w:val="right"/>
              <w:rPr>
                <w:rFonts w:ascii="Times" w:hAnsi="Times"/>
              </w:rPr>
            </w:pPr>
            <w:r w:rsidRPr="00C421E4">
              <w:rPr>
                <w:rFonts w:ascii="Times" w:hAnsi="Times"/>
              </w:rPr>
              <w:t>-0.66</w:t>
            </w:r>
          </w:p>
        </w:tc>
        <w:tc>
          <w:tcPr>
            <w:tcW w:w="1300" w:type="dxa"/>
            <w:shd w:val="clear" w:color="auto" w:fill="auto"/>
            <w:noWrap/>
            <w:vAlign w:val="center"/>
            <w:hideMark/>
          </w:tcPr>
          <w:p w14:paraId="6D4F3C9B" w14:textId="77777777" w:rsidR="00F7044C" w:rsidRPr="00C421E4" w:rsidRDefault="00F7044C" w:rsidP="00804E6B">
            <w:pPr>
              <w:jc w:val="right"/>
              <w:rPr>
                <w:rFonts w:ascii="Times" w:hAnsi="Times"/>
              </w:rPr>
            </w:pPr>
            <w:r w:rsidRPr="00C421E4">
              <w:rPr>
                <w:rFonts w:ascii="Times" w:hAnsi="Times"/>
              </w:rPr>
              <w:t>0.51</w:t>
            </w:r>
          </w:p>
        </w:tc>
      </w:tr>
    </w:tbl>
    <w:p w14:paraId="6C84B710" w14:textId="77777777" w:rsidR="00F7044C" w:rsidRPr="00C421E4" w:rsidRDefault="00F7044C" w:rsidP="00F7044C">
      <w:pPr>
        <w:rPr>
          <w:rFonts w:ascii="Times" w:hAnsi="Times"/>
        </w:rPr>
      </w:pPr>
    </w:p>
    <w:p w14:paraId="3A6FC2F8" w14:textId="77777777" w:rsidR="00F7044C" w:rsidRPr="00C421E4" w:rsidRDefault="00F7044C" w:rsidP="00F7044C">
      <w:pPr>
        <w:rPr>
          <w:rFonts w:ascii="Times" w:hAnsi="Times"/>
        </w:rPr>
      </w:pPr>
      <w:r>
        <w:rPr>
          <w:rFonts w:ascii="Times" w:hAnsi="Times"/>
        </w:rPr>
        <w:t>Table 12</w:t>
      </w:r>
      <w:r w:rsidRPr="00C421E4">
        <w:rPr>
          <w:rFonts w:ascii="Times" w:hAnsi="Times"/>
        </w:rPr>
        <w:t>: Regression results for interactions predicting the combined outcome measure.</w:t>
      </w:r>
    </w:p>
    <w:p w14:paraId="6C977C22" w14:textId="77777777" w:rsidR="00F7044C" w:rsidRPr="00C421E4" w:rsidRDefault="00F7044C" w:rsidP="00F7044C">
      <w:pPr>
        <w:rPr>
          <w:rFonts w:ascii="Times" w:hAnsi="Times"/>
        </w:rPr>
      </w:pPr>
      <w:r w:rsidRPr="00C421E4">
        <w:rPr>
          <w:rFonts w:ascii="Times" w:hAnsi="Times"/>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508"/>
        <w:gridCol w:w="1668"/>
        <w:gridCol w:w="1308"/>
        <w:gridCol w:w="1344"/>
      </w:tblGrid>
      <w:tr w:rsidR="00F7044C" w:rsidRPr="00C421E4" w14:paraId="416B3DFC" w14:textId="77777777" w:rsidTr="00804E6B">
        <w:trPr>
          <w:trHeight w:val="320"/>
        </w:trPr>
        <w:tc>
          <w:tcPr>
            <w:tcW w:w="1582" w:type="pct"/>
            <w:shd w:val="clear" w:color="auto" w:fill="auto"/>
            <w:noWrap/>
            <w:vAlign w:val="center"/>
            <w:hideMark/>
          </w:tcPr>
          <w:p w14:paraId="0A820E9A" w14:textId="77777777" w:rsidR="00F7044C" w:rsidRPr="00C421E4" w:rsidRDefault="00F7044C" w:rsidP="00804E6B">
            <w:pPr>
              <w:jc w:val="center"/>
              <w:rPr>
                <w:rFonts w:ascii="Times" w:hAnsi="Times"/>
                <w:sz w:val="20"/>
                <w:szCs w:val="20"/>
              </w:rPr>
            </w:pPr>
          </w:p>
        </w:tc>
        <w:tc>
          <w:tcPr>
            <w:tcW w:w="851" w:type="pct"/>
            <w:shd w:val="clear" w:color="auto" w:fill="auto"/>
            <w:noWrap/>
            <w:vAlign w:val="center"/>
            <w:hideMark/>
          </w:tcPr>
          <w:p w14:paraId="3A76F34D" w14:textId="77777777" w:rsidR="00F7044C" w:rsidRPr="00C421E4" w:rsidRDefault="00F7044C" w:rsidP="00804E6B">
            <w:pPr>
              <w:jc w:val="center"/>
              <w:rPr>
                <w:rFonts w:ascii="Times" w:hAnsi="Times"/>
              </w:rPr>
            </w:pPr>
            <w:r w:rsidRPr="00C421E4">
              <w:rPr>
                <w:rFonts w:ascii="Times" w:hAnsi="Times"/>
              </w:rPr>
              <w:t>MM</w:t>
            </w:r>
          </w:p>
        </w:tc>
        <w:tc>
          <w:tcPr>
            <w:tcW w:w="942" w:type="pct"/>
            <w:shd w:val="clear" w:color="auto" w:fill="auto"/>
            <w:noWrap/>
            <w:vAlign w:val="center"/>
            <w:hideMark/>
          </w:tcPr>
          <w:p w14:paraId="0060A426" w14:textId="77777777" w:rsidR="00F7044C" w:rsidRPr="00C421E4" w:rsidRDefault="00F7044C" w:rsidP="00804E6B">
            <w:pPr>
              <w:jc w:val="center"/>
              <w:rPr>
                <w:rFonts w:ascii="Times" w:hAnsi="Times"/>
              </w:rPr>
            </w:pPr>
            <w:r w:rsidRPr="00C421E4">
              <w:rPr>
                <w:rFonts w:ascii="Times" w:hAnsi="Times"/>
              </w:rPr>
              <w:t>non-TBI</w:t>
            </w:r>
          </w:p>
        </w:tc>
        <w:tc>
          <w:tcPr>
            <w:tcW w:w="802" w:type="pct"/>
            <w:vAlign w:val="center"/>
          </w:tcPr>
          <w:p w14:paraId="1685EABF" w14:textId="77777777" w:rsidR="00F7044C" w:rsidRPr="00C421E4" w:rsidRDefault="00F7044C" w:rsidP="00804E6B">
            <w:pPr>
              <w:jc w:val="center"/>
              <w:rPr>
                <w:rFonts w:ascii="Times" w:hAnsi="Times"/>
              </w:rPr>
            </w:pPr>
            <w:r w:rsidRPr="00C421E4">
              <w:rPr>
                <w:rFonts w:ascii="Times" w:hAnsi="Times"/>
              </w:rPr>
              <w:t>T</w:t>
            </w:r>
          </w:p>
        </w:tc>
        <w:tc>
          <w:tcPr>
            <w:tcW w:w="823" w:type="pct"/>
          </w:tcPr>
          <w:p w14:paraId="2A8B69EC" w14:textId="77777777" w:rsidR="00F7044C" w:rsidRPr="00C421E4" w:rsidRDefault="00F7044C" w:rsidP="00804E6B">
            <w:pPr>
              <w:jc w:val="center"/>
              <w:rPr>
                <w:rFonts w:ascii="Times" w:hAnsi="Times"/>
              </w:rPr>
            </w:pPr>
            <w:r w:rsidRPr="00C421E4">
              <w:rPr>
                <w:rFonts w:ascii="Times" w:hAnsi="Times"/>
              </w:rPr>
              <w:t>Sig.</w:t>
            </w:r>
          </w:p>
        </w:tc>
      </w:tr>
      <w:tr w:rsidR="00F7044C" w:rsidRPr="00C421E4" w14:paraId="0B5C1D66" w14:textId="77777777" w:rsidTr="00804E6B">
        <w:trPr>
          <w:trHeight w:val="320"/>
        </w:trPr>
        <w:tc>
          <w:tcPr>
            <w:tcW w:w="5000" w:type="pct"/>
            <w:gridSpan w:val="5"/>
            <w:shd w:val="clear" w:color="auto" w:fill="auto"/>
            <w:noWrap/>
            <w:vAlign w:val="center"/>
          </w:tcPr>
          <w:p w14:paraId="4A35C1E4" w14:textId="77777777" w:rsidR="00F7044C" w:rsidRPr="00C421E4" w:rsidRDefault="00F7044C" w:rsidP="00804E6B">
            <w:pPr>
              <w:jc w:val="center"/>
              <w:rPr>
                <w:rFonts w:ascii="Times" w:hAnsi="Times"/>
              </w:rPr>
            </w:pPr>
            <w:r w:rsidRPr="00C421E4">
              <w:rPr>
                <w:rFonts w:ascii="Times" w:hAnsi="Times"/>
              </w:rPr>
              <w:t>Reactivity</w:t>
            </w:r>
          </w:p>
        </w:tc>
      </w:tr>
      <w:tr w:rsidR="00F7044C" w:rsidRPr="00C421E4" w14:paraId="7D657923" w14:textId="77777777" w:rsidTr="00804E6B">
        <w:trPr>
          <w:trHeight w:val="320"/>
        </w:trPr>
        <w:tc>
          <w:tcPr>
            <w:tcW w:w="1582" w:type="pct"/>
            <w:shd w:val="clear" w:color="auto" w:fill="auto"/>
            <w:noWrap/>
            <w:vAlign w:val="center"/>
            <w:hideMark/>
          </w:tcPr>
          <w:p w14:paraId="67E0962A" w14:textId="77777777" w:rsidR="00F7044C" w:rsidRPr="00C421E4" w:rsidRDefault="00F7044C" w:rsidP="00804E6B">
            <w:pPr>
              <w:jc w:val="center"/>
              <w:rPr>
                <w:rFonts w:ascii="Times" w:hAnsi="Times"/>
              </w:rPr>
            </w:pPr>
            <w:r w:rsidRPr="00C421E4">
              <w:rPr>
                <w:rFonts w:ascii="Times" w:hAnsi="Times"/>
              </w:rPr>
              <w:t>Negative valence</w:t>
            </w:r>
          </w:p>
        </w:tc>
        <w:tc>
          <w:tcPr>
            <w:tcW w:w="851" w:type="pct"/>
            <w:shd w:val="clear" w:color="auto" w:fill="auto"/>
            <w:noWrap/>
            <w:vAlign w:val="center"/>
            <w:hideMark/>
          </w:tcPr>
          <w:p w14:paraId="2DEDA75F" w14:textId="77777777" w:rsidR="00F7044C" w:rsidRPr="00C421E4" w:rsidRDefault="00F7044C" w:rsidP="00804E6B">
            <w:pPr>
              <w:jc w:val="center"/>
              <w:rPr>
                <w:rFonts w:ascii="Times" w:hAnsi="Times"/>
              </w:rPr>
            </w:pPr>
            <w:r w:rsidRPr="00C421E4">
              <w:rPr>
                <w:rFonts w:ascii="Times" w:hAnsi="Times"/>
              </w:rPr>
              <w:t>3.108</w:t>
            </w:r>
            <w:r w:rsidRPr="00C421E4">
              <w:rPr>
                <w:rFonts w:ascii="Times" w:hAnsi="Times"/>
              </w:rPr>
              <w:sym w:font="Symbol" w:char="F0B1"/>
            </w:r>
            <w:r w:rsidRPr="00C421E4">
              <w:rPr>
                <w:rFonts w:ascii="Times" w:hAnsi="Times"/>
              </w:rPr>
              <w:t>0.977</w:t>
            </w:r>
          </w:p>
        </w:tc>
        <w:tc>
          <w:tcPr>
            <w:tcW w:w="942" w:type="pct"/>
            <w:shd w:val="clear" w:color="auto" w:fill="auto"/>
            <w:noWrap/>
            <w:vAlign w:val="center"/>
            <w:hideMark/>
          </w:tcPr>
          <w:p w14:paraId="113AA063" w14:textId="77777777" w:rsidR="00F7044C" w:rsidRPr="00C421E4" w:rsidRDefault="00F7044C" w:rsidP="00804E6B">
            <w:pPr>
              <w:jc w:val="center"/>
              <w:rPr>
                <w:rFonts w:ascii="Times" w:hAnsi="Times"/>
              </w:rPr>
            </w:pPr>
            <w:r w:rsidRPr="00C421E4">
              <w:rPr>
                <w:rFonts w:ascii="Times" w:hAnsi="Times"/>
              </w:rPr>
              <w:t>2.694</w:t>
            </w:r>
            <w:r w:rsidRPr="00C421E4">
              <w:rPr>
                <w:rFonts w:ascii="Times" w:hAnsi="Times"/>
              </w:rPr>
              <w:sym w:font="Symbol" w:char="F0B1"/>
            </w:r>
            <w:r w:rsidRPr="00C421E4">
              <w:rPr>
                <w:rFonts w:ascii="Times" w:hAnsi="Times"/>
              </w:rPr>
              <w:t>0.840</w:t>
            </w:r>
          </w:p>
        </w:tc>
        <w:tc>
          <w:tcPr>
            <w:tcW w:w="802" w:type="pct"/>
            <w:vAlign w:val="center"/>
          </w:tcPr>
          <w:p w14:paraId="1127A446" w14:textId="77777777" w:rsidR="00F7044C" w:rsidRPr="00C421E4" w:rsidRDefault="00F7044C" w:rsidP="00804E6B">
            <w:pPr>
              <w:jc w:val="center"/>
              <w:rPr>
                <w:rFonts w:ascii="Times" w:hAnsi="Times"/>
              </w:rPr>
            </w:pPr>
            <w:r w:rsidRPr="00C421E4">
              <w:rPr>
                <w:rFonts w:ascii="Times" w:hAnsi="Times"/>
              </w:rPr>
              <w:t>0.71</w:t>
            </w:r>
          </w:p>
        </w:tc>
        <w:tc>
          <w:tcPr>
            <w:tcW w:w="823" w:type="pct"/>
          </w:tcPr>
          <w:p w14:paraId="38D5CEA6" w14:textId="77777777" w:rsidR="00F7044C" w:rsidRPr="00C421E4" w:rsidRDefault="00F7044C" w:rsidP="00804E6B">
            <w:pPr>
              <w:jc w:val="center"/>
              <w:rPr>
                <w:rFonts w:ascii="Times" w:hAnsi="Times"/>
              </w:rPr>
            </w:pPr>
            <w:r w:rsidRPr="00C421E4">
              <w:rPr>
                <w:rFonts w:ascii="Times" w:hAnsi="Times"/>
              </w:rPr>
              <w:t>.48</w:t>
            </w:r>
          </w:p>
        </w:tc>
      </w:tr>
      <w:tr w:rsidR="00F7044C" w:rsidRPr="00C421E4" w14:paraId="3BD393CF" w14:textId="77777777" w:rsidTr="00804E6B">
        <w:trPr>
          <w:trHeight w:val="320"/>
        </w:trPr>
        <w:tc>
          <w:tcPr>
            <w:tcW w:w="1582" w:type="pct"/>
            <w:shd w:val="clear" w:color="auto" w:fill="auto"/>
            <w:noWrap/>
            <w:vAlign w:val="center"/>
          </w:tcPr>
          <w:p w14:paraId="38E534D1" w14:textId="77777777" w:rsidR="00F7044C" w:rsidRPr="00C421E4" w:rsidRDefault="00F7044C" w:rsidP="00804E6B">
            <w:pPr>
              <w:jc w:val="center"/>
              <w:rPr>
                <w:rFonts w:ascii="Times" w:hAnsi="Times"/>
              </w:rPr>
            </w:pPr>
            <w:r w:rsidRPr="00C421E4">
              <w:rPr>
                <w:rFonts w:ascii="Times" w:hAnsi="Times"/>
              </w:rPr>
              <w:t>Positive valence</w:t>
            </w:r>
          </w:p>
        </w:tc>
        <w:tc>
          <w:tcPr>
            <w:tcW w:w="851" w:type="pct"/>
            <w:shd w:val="clear" w:color="auto" w:fill="auto"/>
            <w:noWrap/>
            <w:vAlign w:val="center"/>
          </w:tcPr>
          <w:p w14:paraId="4C280E91" w14:textId="77777777" w:rsidR="00F7044C" w:rsidRPr="00C421E4" w:rsidRDefault="00F7044C" w:rsidP="00804E6B">
            <w:pPr>
              <w:jc w:val="center"/>
              <w:rPr>
                <w:rFonts w:ascii="Times" w:hAnsi="Times"/>
              </w:rPr>
            </w:pPr>
            <w:r w:rsidRPr="00C421E4">
              <w:rPr>
                <w:rFonts w:ascii="Times" w:hAnsi="Times"/>
              </w:rPr>
              <w:t>6.016</w:t>
            </w:r>
            <w:r w:rsidRPr="00C421E4">
              <w:rPr>
                <w:rFonts w:ascii="Times" w:hAnsi="Times"/>
              </w:rPr>
              <w:sym w:font="Symbol" w:char="F0B1"/>
            </w:r>
            <w:r w:rsidRPr="00C421E4">
              <w:rPr>
                <w:rFonts w:ascii="Times" w:hAnsi="Times"/>
              </w:rPr>
              <w:t>0.547</w:t>
            </w:r>
          </w:p>
        </w:tc>
        <w:tc>
          <w:tcPr>
            <w:tcW w:w="942" w:type="pct"/>
            <w:shd w:val="clear" w:color="auto" w:fill="auto"/>
            <w:noWrap/>
            <w:vAlign w:val="center"/>
          </w:tcPr>
          <w:p w14:paraId="37C3A5F2" w14:textId="77777777" w:rsidR="00F7044C" w:rsidRPr="00C421E4" w:rsidRDefault="00F7044C" w:rsidP="00804E6B">
            <w:pPr>
              <w:jc w:val="center"/>
              <w:rPr>
                <w:rFonts w:ascii="Times" w:hAnsi="Times"/>
              </w:rPr>
            </w:pPr>
            <w:r w:rsidRPr="00C421E4">
              <w:rPr>
                <w:rFonts w:ascii="Times" w:hAnsi="Times"/>
              </w:rPr>
              <w:t>6.481</w:t>
            </w:r>
            <w:r w:rsidRPr="00C421E4">
              <w:rPr>
                <w:rFonts w:ascii="Times" w:hAnsi="Times"/>
              </w:rPr>
              <w:sym w:font="Symbol" w:char="F0B1"/>
            </w:r>
            <w:r w:rsidRPr="00C421E4">
              <w:rPr>
                <w:rFonts w:ascii="Times" w:hAnsi="Times"/>
              </w:rPr>
              <w:t>0.848</w:t>
            </w:r>
          </w:p>
        </w:tc>
        <w:tc>
          <w:tcPr>
            <w:tcW w:w="802" w:type="pct"/>
            <w:vAlign w:val="center"/>
          </w:tcPr>
          <w:p w14:paraId="67C20383" w14:textId="77777777" w:rsidR="00F7044C" w:rsidRPr="00C421E4" w:rsidRDefault="00F7044C" w:rsidP="00804E6B">
            <w:pPr>
              <w:jc w:val="center"/>
              <w:rPr>
                <w:rFonts w:ascii="Times" w:hAnsi="Times"/>
              </w:rPr>
            </w:pPr>
            <w:r w:rsidRPr="00C421E4">
              <w:rPr>
                <w:rFonts w:ascii="Times" w:hAnsi="Times"/>
              </w:rPr>
              <w:t>-1.93</w:t>
            </w:r>
          </w:p>
        </w:tc>
        <w:tc>
          <w:tcPr>
            <w:tcW w:w="823" w:type="pct"/>
          </w:tcPr>
          <w:p w14:paraId="190DA730" w14:textId="77777777" w:rsidR="00F7044C" w:rsidRPr="00C421E4" w:rsidRDefault="00F7044C" w:rsidP="00804E6B">
            <w:pPr>
              <w:jc w:val="center"/>
              <w:rPr>
                <w:rFonts w:ascii="Times" w:hAnsi="Times"/>
              </w:rPr>
            </w:pPr>
            <w:r w:rsidRPr="00C421E4">
              <w:rPr>
                <w:rFonts w:ascii="Times" w:hAnsi="Times"/>
              </w:rPr>
              <w:t>.06</w:t>
            </w:r>
          </w:p>
        </w:tc>
      </w:tr>
      <w:tr w:rsidR="00F7044C" w:rsidRPr="00C421E4" w14:paraId="25333E21" w14:textId="77777777" w:rsidTr="00804E6B">
        <w:trPr>
          <w:trHeight w:val="320"/>
        </w:trPr>
        <w:tc>
          <w:tcPr>
            <w:tcW w:w="1582" w:type="pct"/>
            <w:shd w:val="clear" w:color="auto" w:fill="auto"/>
            <w:noWrap/>
            <w:vAlign w:val="center"/>
            <w:hideMark/>
          </w:tcPr>
          <w:p w14:paraId="3EDA4EF5" w14:textId="77777777" w:rsidR="00F7044C" w:rsidRPr="00C421E4" w:rsidRDefault="00F7044C" w:rsidP="00804E6B">
            <w:pPr>
              <w:jc w:val="center"/>
              <w:rPr>
                <w:rFonts w:ascii="Times" w:hAnsi="Times"/>
              </w:rPr>
            </w:pPr>
            <w:r w:rsidRPr="00C421E4">
              <w:rPr>
                <w:rFonts w:ascii="Times" w:hAnsi="Times"/>
              </w:rPr>
              <w:t>Negative arousal</w:t>
            </w:r>
          </w:p>
        </w:tc>
        <w:tc>
          <w:tcPr>
            <w:tcW w:w="851" w:type="pct"/>
            <w:shd w:val="clear" w:color="auto" w:fill="auto"/>
            <w:noWrap/>
            <w:vAlign w:val="center"/>
            <w:hideMark/>
          </w:tcPr>
          <w:p w14:paraId="5813CFEA" w14:textId="77777777" w:rsidR="00F7044C" w:rsidRPr="00C421E4" w:rsidRDefault="00F7044C" w:rsidP="00804E6B">
            <w:pPr>
              <w:jc w:val="center"/>
              <w:rPr>
                <w:rFonts w:ascii="Times" w:hAnsi="Times"/>
              </w:rPr>
            </w:pPr>
            <w:r w:rsidRPr="00C421E4">
              <w:rPr>
                <w:rFonts w:ascii="Times" w:hAnsi="Times"/>
              </w:rPr>
              <w:t>5.85</w:t>
            </w:r>
            <w:r w:rsidRPr="00C421E4">
              <w:rPr>
                <w:rFonts w:ascii="Times" w:hAnsi="Times"/>
              </w:rPr>
              <w:sym w:font="Symbol" w:char="F0B1"/>
            </w:r>
            <w:r w:rsidRPr="00C421E4">
              <w:rPr>
                <w:rFonts w:ascii="Times" w:hAnsi="Times"/>
              </w:rPr>
              <w:t>1.753</w:t>
            </w:r>
          </w:p>
        </w:tc>
        <w:tc>
          <w:tcPr>
            <w:tcW w:w="942" w:type="pct"/>
            <w:shd w:val="clear" w:color="auto" w:fill="auto"/>
            <w:noWrap/>
            <w:vAlign w:val="center"/>
            <w:hideMark/>
          </w:tcPr>
          <w:p w14:paraId="0B1C25B8" w14:textId="77777777" w:rsidR="00F7044C" w:rsidRPr="00C421E4" w:rsidRDefault="00F7044C" w:rsidP="00804E6B">
            <w:pPr>
              <w:jc w:val="center"/>
              <w:rPr>
                <w:rFonts w:ascii="Times" w:hAnsi="Times"/>
              </w:rPr>
            </w:pPr>
            <w:r w:rsidRPr="00C421E4">
              <w:rPr>
                <w:rFonts w:ascii="Times" w:hAnsi="Times"/>
              </w:rPr>
              <w:t>5.011</w:t>
            </w:r>
            <w:r w:rsidRPr="00C421E4">
              <w:rPr>
                <w:rFonts w:ascii="Times" w:hAnsi="Times"/>
              </w:rPr>
              <w:sym w:font="Symbol" w:char="F0B1"/>
            </w:r>
            <w:r w:rsidRPr="00C421E4">
              <w:rPr>
                <w:rFonts w:ascii="Times" w:hAnsi="Times"/>
              </w:rPr>
              <w:t>1.398</w:t>
            </w:r>
          </w:p>
        </w:tc>
        <w:tc>
          <w:tcPr>
            <w:tcW w:w="802" w:type="pct"/>
            <w:vAlign w:val="center"/>
          </w:tcPr>
          <w:p w14:paraId="51DFB1ED" w14:textId="77777777" w:rsidR="00F7044C" w:rsidRPr="00C421E4" w:rsidRDefault="00F7044C" w:rsidP="00804E6B">
            <w:pPr>
              <w:jc w:val="center"/>
              <w:rPr>
                <w:rFonts w:ascii="Times" w:hAnsi="Times"/>
              </w:rPr>
            </w:pPr>
            <w:r w:rsidRPr="00C421E4">
              <w:rPr>
                <w:rFonts w:ascii="Times" w:hAnsi="Times"/>
              </w:rPr>
              <w:t>1.84</w:t>
            </w:r>
          </w:p>
        </w:tc>
        <w:tc>
          <w:tcPr>
            <w:tcW w:w="823" w:type="pct"/>
          </w:tcPr>
          <w:p w14:paraId="0DB99FC7" w14:textId="77777777" w:rsidR="00F7044C" w:rsidRPr="00C421E4" w:rsidRDefault="00F7044C" w:rsidP="00804E6B">
            <w:pPr>
              <w:jc w:val="center"/>
              <w:rPr>
                <w:rFonts w:ascii="Times" w:hAnsi="Times"/>
              </w:rPr>
            </w:pPr>
            <w:r w:rsidRPr="00C421E4">
              <w:rPr>
                <w:rFonts w:ascii="Times" w:hAnsi="Times"/>
              </w:rPr>
              <w:t>.07</w:t>
            </w:r>
          </w:p>
        </w:tc>
      </w:tr>
      <w:tr w:rsidR="00F7044C" w:rsidRPr="00C421E4" w14:paraId="7DCBB48D" w14:textId="77777777" w:rsidTr="00804E6B">
        <w:trPr>
          <w:trHeight w:val="320"/>
        </w:trPr>
        <w:tc>
          <w:tcPr>
            <w:tcW w:w="1582" w:type="pct"/>
            <w:shd w:val="clear" w:color="auto" w:fill="auto"/>
            <w:noWrap/>
            <w:vAlign w:val="center"/>
          </w:tcPr>
          <w:p w14:paraId="39E3519A" w14:textId="77777777" w:rsidR="00F7044C" w:rsidRPr="00C421E4" w:rsidRDefault="00F7044C" w:rsidP="00804E6B">
            <w:pPr>
              <w:jc w:val="center"/>
              <w:rPr>
                <w:rFonts w:ascii="Times" w:hAnsi="Times"/>
              </w:rPr>
            </w:pPr>
            <w:r w:rsidRPr="00C421E4">
              <w:rPr>
                <w:rFonts w:ascii="Times" w:hAnsi="Times"/>
              </w:rPr>
              <w:t>Positive arousal</w:t>
            </w:r>
          </w:p>
        </w:tc>
        <w:tc>
          <w:tcPr>
            <w:tcW w:w="851" w:type="pct"/>
            <w:shd w:val="clear" w:color="auto" w:fill="auto"/>
            <w:noWrap/>
            <w:vAlign w:val="center"/>
          </w:tcPr>
          <w:p w14:paraId="60BE6413" w14:textId="77777777" w:rsidR="00F7044C" w:rsidRPr="00C421E4" w:rsidRDefault="00F7044C" w:rsidP="00804E6B">
            <w:pPr>
              <w:jc w:val="center"/>
              <w:rPr>
                <w:rFonts w:ascii="Times" w:hAnsi="Times"/>
              </w:rPr>
            </w:pPr>
            <w:r w:rsidRPr="00C421E4">
              <w:rPr>
                <w:rFonts w:ascii="Times" w:hAnsi="Times"/>
              </w:rPr>
              <w:t>4.55</w:t>
            </w:r>
            <w:r w:rsidRPr="00C421E4">
              <w:rPr>
                <w:rFonts w:ascii="Times" w:hAnsi="Times"/>
              </w:rPr>
              <w:sym w:font="Symbol" w:char="F0B1"/>
            </w:r>
            <w:r w:rsidRPr="00C421E4">
              <w:rPr>
                <w:rFonts w:ascii="Times" w:hAnsi="Times"/>
              </w:rPr>
              <w:t>1.487</w:t>
            </w:r>
          </w:p>
        </w:tc>
        <w:tc>
          <w:tcPr>
            <w:tcW w:w="942" w:type="pct"/>
            <w:shd w:val="clear" w:color="auto" w:fill="auto"/>
            <w:noWrap/>
            <w:vAlign w:val="center"/>
          </w:tcPr>
          <w:p w14:paraId="031212A9" w14:textId="77777777" w:rsidR="00F7044C" w:rsidRPr="00C421E4" w:rsidRDefault="00F7044C" w:rsidP="00804E6B">
            <w:pPr>
              <w:jc w:val="center"/>
              <w:rPr>
                <w:rFonts w:ascii="Times" w:hAnsi="Times"/>
              </w:rPr>
            </w:pPr>
            <w:r w:rsidRPr="00C421E4">
              <w:rPr>
                <w:rFonts w:ascii="Times" w:hAnsi="Times"/>
              </w:rPr>
              <w:t>4.531</w:t>
            </w:r>
            <w:r w:rsidRPr="00C421E4">
              <w:rPr>
                <w:rFonts w:ascii="Times" w:hAnsi="Times"/>
              </w:rPr>
              <w:sym w:font="Symbol" w:char="F0B1"/>
            </w:r>
            <w:r w:rsidRPr="00C421E4">
              <w:rPr>
                <w:rFonts w:ascii="Times" w:hAnsi="Times"/>
              </w:rPr>
              <w:t>1.775</w:t>
            </w:r>
          </w:p>
        </w:tc>
        <w:tc>
          <w:tcPr>
            <w:tcW w:w="802" w:type="pct"/>
            <w:vAlign w:val="center"/>
          </w:tcPr>
          <w:p w14:paraId="67628421" w14:textId="77777777" w:rsidR="00F7044C" w:rsidRPr="00C421E4" w:rsidRDefault="00F7044C" w:rsidP="00804E6B">
            <w:pPr>
              <w:jc w:val="center"/>
              <w:rPr>
                <w:rFonts w:ascii="Times" w:hAnsi="Times"/>
              </w:rPr>
            </w:pPr>
            <w:r w:rsidRPr="00C421E4">
              <w:rPr>
                <w:rFonts w:ascii="Times" w:hAnsi="Times"/>
              </w:rPr>
              <w:t>0.30</w:t>
            </w:r>
          </w:p>
        </w:tc>
        <w:tc>
          <w:tcPr>
            <w:tcW w:w="823" w:type="pct"/>
          </w:tcPr>
          <w:p w14:paraId="4973E2AC" w14:textId="77777777" w:rsidR="00F7044C" w:rsidRPr="00C421E4" w:rsidRDefault="00F7044C" w:rsidP="00804E6B">
            <w:pPr>
              <w:jc w:val="center"/>
              <w:rPr>
                <w:rFonts w:ascii="Times" w:hAnsi="Times"/>
              </w:rPr>
            </w:pPr>
            <w:r w:rsidRPr="00C421E4">
              <w:rPr>
                <w:rFonts w:ascii="Times" w:hAnsi="Times"/>
              </w:rPr>
              <w:t>.76</w:t>
            </w:r>
          </w:p>
        </w:tc>
      </w:tr>
      <w:tr w:rsidR="00F7044C" w:rsidRPr="00C421E4" w14:paraId="6EA095C5" w14:textId="77777777" w:rsidTr="00804E6B">
        <w:trPr>
          <w:trHeight w:val="332"/>
        </w:trPr>
        <w:tc>
          <w:tcPr>
            <w:tcW w:w="1582" w:type="pct"/>
            <w:shd w:val="clear" w:color="auto" w:fill="auto"/>
            <w:noWrap/>
            <w:vAlign w:val="center"/>
          </w:tcPr>
          <w:p w14:paraId="0ADA7DC9" w14:textId="77777777" w:rsidR="00F7044C" w:rsidRPr="00C421E4" w:rsidRDefault="00F7044C" w:rsidP="00804E6B">
            <w:pPr>
              <w:jc w:val="center"/>
              <w:rPr>
                <w:rFonts w:ascii="Times" w:hAnsi="Times"/>
              </w:rPr>
            </w:pPr>
            <w:r w:rsidRPr="00C421E4">
              <w:rPr>
                <w:rFonts w:ascii="Times" w:hAnsi="Times"/>
              </w:rPr>
              <w:t>Negative skin conductance</w:t>
            </w:r>
          </w:p>
        </w:tc>
        <w:tc>
          <w:tcPr>
            <w:tcW w:w="851" w:type="pct"/>
            <w:shd w:val="clear" w:color="auto" w:fill="auto"/>
            <w:noWrap/>
            <w:vAlign w:val="center"/>
          </w:tcPr>
          <w:p w14:paraId="7B184588" w14:textId="77777777" w:rsidR="00F7044C" w:rsidRPr="00C421E4" w:rsidRDefault="00F7044C" w:rsidP="00804E6B">
            <w:pPr>
              <w:jc w:val="center"/>
              <w:rPr>
                <w:rFonts w:ascii="Times" w:hAnsi="Times"/>
              </w:rPr>
            </w:pPr>
            <w:r w:rsidRPr="00C421E4">
              <w:rPr>
                <w:rFonts w:ascii="Times" w:hAnsi="Times"/>
              </w:rPr>
              <w:t>0.261</w:t>
            </w:r>
            <w:r w:rsidRPr="00C421E4">
              <w:rPr>
                <w:rFonts w:ascii="Times" w:hAnsi="Times"/>
              </w:rPr>
              <w:sym w:font="Symbol" w:char="F0B1"/>
            </w:r>
            <w:r w:rsidRPr="00C421E4">
              <w:rPr>
                <w:rFonts w:ascii="Times" w:hAnsi="Times"/>
              </w:rPr>
              <w:t>0.304</w:t>
            </w:r>
          </w:p>
        </w:tc>
        <w:tc>
          <w:tcPr>
            <w:tcW w:w="942" w:type="pct"/>
            <w:shd w:val="clear" w:color="auto" w:fill="auto"/>
            <w:noWrap/>
            <w:vAlign w:val="center"/>
          </w:tcPr>
          <w:p w14:paraId="6D30777A" w14:textId="77777777" w:rsidR="00F7044C" w:rsidRPr="00C421E4" w:rsidRDefault="00F7044C" w:rsidP="00804E6B">
            <w:pPr>
              <w:jc w:val="center"/>
              <w:rPr>
                <w:rFonts w:ascii="Times" w:hAnsi="Times"/>
              </w:rPr>
            </w:pPr>
            <w:r w:rsidRPr="00C421E4">
              <w:rPr>
                <w:rFonts w:ascii="Times" w:hAnsi="Times"/>
              </w:rPr>
              <w:t>0.485</w:t>
            </w:r>
            <w:r w:rsidRPr="00C421E4">
              <w:rPr>
                <w:rFonts w:ascii="Times" w:hAnsi="Times"/>
              </w:rPr>
              <w:sym w:font="Symbol" w:char="F0B1"/>
            </w:r>
            <w:r w:rsidRPr="00C421E4">
              <w:rPr>
                <w:rFonts w:ascii="Times" w:hAnsi="Times"/>
              </w:rPr>
              <w:t>1.911</w:t>
            </w:r>
          </w:p>
        </w:tc>
        <w:tc>
          <w:tcPr>
            <w:tcW w:w="802" w:type="pct"/>
            <w:vAlign w:val="center"/>
          </w:tcPr>
          <w:p w14:paraId="776473EF" w14:textId="77777777" w:rsidR="00F7044C" w:rsidRPr="00C421E4" w:rsidRDefault="00F7044C" w:rsidP="00804E6B">
            <w:pPr>
              <w:jc w:val="center"/>
              <w:rPr>
                <w:rFonts w:ascii="Times" w:hAnsi="Times"/>
              </w:rPr>
            </w:pPr>
            <w:r w:rsidRPr="00C421E4">
              <w:rPr>
                <w:rFonts w:ascii="Times" w:hAnsi="Times"/>
              </w:rPr>
              <w:t>-0.86</w:t>
            </w:r>
          </w:p>
        </w:tc>
        <w:tc>
          <w:tcPr>
            <w:tcW w:w="823" w:type="pct"/>
          </w:tcPr>
          <w:p w14:paraId="63C09853" w14:textId="77777777" w:rsidR="00F7044C" w:rsidRPr="00C421E4" w:rsidRDefault="00F7044C" w:rsidP="00804E6B">
            <w:pPr>
              <w:jc w:val="center"/>
              <w:rPr>
                <w:rFonts w:ascii="Times" w:hAnsi="Times"/>
              </w:rPr>
            </w:pPr>
            <w:r w:rsidRPr="00C421E4">
              <w:rPr>
                <w:rFonts w:ascii="Times" w:hAnsi="Times"/>
              </w:rPr>
              <w:t>.40</w:t>
            </w:r>
          </w:p>
        </w:tc>
      </w:tr>
      <w:tr w:rsidR="00F7044C" w:rsidRPr="00C421E4" w14:paraId="4EBBF190" w14:textId="77777777" w:rsidTr="00804E6B">
        <w:trPr>
          <w:trHeight w:val="320"/>
        </w:trPr>
        <w:tc>
          <w:tcPr>
            <w:tcW w:w="1582" w:type="pct"/>
            <w:shd w:val="clear" w:color="auto" w:fill="auto"/>
            <w:noWrap/>
            <w:vAlign w:val="center"/>
          </w:tcPr>
          <w:p w14:paraId="219E9CCE" w14:textId="77777777" w:rsidR="00F7044C" w:rsidRPr="00C421E4" w:rsidRDefault="00F7044C" w:rsidP="00804E6B">
            <w:pPr>
              <w:jc w:val="center"/>
              <w:rPr>
                <w:rFonts w:ascii="Times" w:hAnsi="Times"/>
              </w:rPr>
            </w:pPr>
            <w:r w:rsidRPr="00C421E4">
              <w:rPr>
                <w:rFonts w:ascii="Times" w:hAnsi="Times"/>
              </w:rPr>
              <w:t>Positive skin conductance</w:t>
            </w:r>
          </w:p>
        </w:tc>
        <w:tc>
          <w:tcPr>
            <w:tcW w:w="851" w:type="pct"/>
            <w:shd w:val="clear" w:color="auto" w:fill="auto"/>
            <w:noWrap/>
            <w:vAlign w:val="center"/>
          </w:tcPr>
          <w:p w14:paraId="5CF25696" w14:textId="77777777" w:rsidR="00F7044C" w:rsidRPr="00C421E4" w:rsidRDefault="00F7044C" w:rsidP="00804E6B">
            <w:pPr>
              <w:jc w:val="center"/>
              <w:rPr>
                <w:rFonts w:ascii="Times" w:hAnsi="Times"/>
              </w:rPr>
            </w:pPr>
            <w:r w:rsidRPr="00C421E4">
              <w:rPr>
                <w:rFonts w:ascii="Times" w:hAnsi="Times"/>
              </w:rPr>
              <w:t>0.065</w:t>
            </w:r>
            <w:r w:rsidRPr="00C421E4">
              <w:rPr>
                <w:rFonts w:ascii="Times" w:hAnsi="Times"/>
              </w:rPr>
              <w:sym w:font="Symbol" w:char="F0B1"/>
            </w:r>
            <w:r w:rsidRPr="00C421E4">
              <w:rPr>
                <w:rFonts w:ascii="Times" w:hAnsi="Times"/>
              </w:rPr>
              <w:t>0.08</w:t>
            </w:r>
          </w:p>
        </w:tc>
        <w:tc>
          <w:tcPr>
            <w:tcW w:w="942" w:type="pct"/>
            <w:shd w:val="clear" w:color="auto" w:fill="auto"/>
            <w:noWrap/>
            <w:vAlign w:val="center"/>
          </w:tcPr>
          <w:p w14:paraId="57F0AAD5" w14:textId="77777777" w:rsidR="00F7044C" w:rsidRPr="00C421E4" w:rsidRDefault="00F7044C" w:rsidP="00804E6B">
            <w:pPr>
              <w:jc w:val="center"/>
              <w:rPr>
                <w:rFonts w:ascii="Times" w:hAnsi="Times"/>
              </w:rPr>
            </w:pPr>
            <w:r w:rsidRPr="00C421E4">
              <w:rPr>
                <w:rFonts w:ascii="Times" w:hAnsi="Times"/>
              </w:rPr>
              <w:t>0.184</w:t>
            </w:r>
            <w:r w:rsidRPr="00C421E4">
              <w:rPr>
                <w:rFonts w:ascii="Times" w:hAnsi="Times"/>
              </w:rPr>
              <w:sym w:font="Symbol" w:char="F0B1"/>
            </w:r>
            <w:r w:rsidRPr="00C421E4">
              <w:rPr>
                <w:rFonts w:ascii="Times" w:hAnsi="Times"/>
              </w:rPr>
              <w:t>0.242</w:t>
            </w:r>
          </w:p>
        </w:tc>
        <w:tc>
          <w:tcPr>
            <w:tcW w:w="802" w:type="pct"/>
            <w:vAlign w:val="center"/>
          </w:tcPr>
          <w:p w14:paraId="46D68E43" w14:textId="77777777" w:rsidR="00F7044C" w:rsidRPr="00C421E4" w:rsidRDefault="00F7044C" w:rsidP="00804E6B">
            <w:pPr>
              <w:jc w:val="center"/>
              <w:rPr>
                <w:rFonts w:ascii="Times" w:hAnsi="Times"/>
              </w:rPr>
            </w:pPr>
            <w:r w:rsidRPr="00C421E4">
              <w:rPr>
                <w:rFonts w:ascii="Times" w:hAnsi="Times"/>
              </w:rPr>
              <w:t>0.06</w:t>
            </w:r>
          </w:p>
        </w:tc>
        <w:tc>
          <w:tcPr>
            <w:tcW w:w="823" w:type="pct"/>
          </w:tcPr>
          <w:p w14:paraId="301C74DC" w14:textId="77777777" w:rsidR="00F7044C" w:rsidRPr="00C421E4" w:rsidRDefault="00F7044C" w:rsidP="00804E6B">
            <w:pPr>
              <w:jc w:val="center"/>
              <w:rPr>
                <w:rFonts w:ascii="Times" w:hAnsi="Times"/>
              </w:rPr>
            </w:pPr>
            <w:r w:rsidRPr="00C421E4">
              <w:rPr>
                <w:rFonts w:ascii="Times" w:hAnsi="Times"/>
              </w:rPr>
              <w:t>.95</w:t>
            </w:r>
          </w:p>
        </w:tc>
      </w:tr>
      <w:tr w:rsidR="00F7044C" w:rsidRPr="00C421E4" w14:paraId="39A16FCA" w14:textId="77777777" w:rsidTr="00804E6B">
        <w:trPr>
          <w:trHeight w:val="320"/>
        </w:trPr>
        <w:tc>
          <w:tcPr>
            <w:tcW w:w="1582" w:type="pct"/>
            <w:shd w:val="clear" w:color="auto" w:fill="auto"/>
            <w:noWrap/>
            <w:vAlign w:val="center"/>
          </w:tcPr>
          <w:p w14:paraId="1B2F12C2" w14:textId="77777777" w:rsidR="00F7044C" w:rsidRPr="00C421E4" w:rsidRDefault="00F7044C" w:rsidP="00804E6B">
            <w:pPr>
              <w:jc w:val="center"/>
              <w:rPr>
                <w:rFonts w:ascii="Times" w:hAnsi="Times"/>
              </w:rPr>
            </w:pPr>
            <w:r w:rsidRPr="00C421E4">
              <w:rPr>
                <w:rFonts w:ascii="Times" w:hAnsi="Times"/>
              </w:rPr>
              <w:t>Corrugator tone</w:t>
            </w:r>
          </w:p>
        </w:tc>
        <w:tc>
          <w:tcPr>
            <w:tcW w:w="851" w:type="pct"/>
            <w:shd w:val="clear" w:color="auto" w:fill="auto"/>
            <w:noWrap/>
            <w:vAlign w:val="center"/>
          </w:tcPr>
          <w:p w14:paraId="77EF5019" w14:textId="77777777" w:rsidR="00F7044C" w:rsidRPr="00C421E4" w:rsidRDefault="00F7044C" w:rsidP="00804E6B">
            <w:pPr>
              <w:jc w:val="center"/>
              <w:rPr>
                <w:rFonts w:ascii="Times" w:hAnsi="Times"/>
              </w:rPr>
            </w:pPr>
            <w:r w:rsidRPr="00C421E4">
              <w:rPr>
                <w:rFonts w:ascii="Times" w:hAnsi="Times"/>
              </w:rPr>
              <w:t>2.575</w:t>
            </w:r>
            <w:r w:rsidRPr="00C421E4">
              <w:rPr>
                <w:rFonts w:ascii="Times" w:hAnsi="Times"/>
              </w:rPr>
              <w:sym w:font="Symbol" w:char="F0B1"/>
            </w:r>
            <w:r w:rsidRPr="00C421E4">
              <w:rPr>
                <w:rFonts w:ascii="Times" w:hAnsi="Times"/>
              </w:rPr>
              <w:t>1.326</w:t>
            </w:r>
          </w:p>
        </w:tc>
        <w:tc>
          <w:tcPr>
            <w:tcW w:w="942" w:type="pct"/>
            <w:shd w:val="clear" w:color="auto" w:fill="auto"/>
            <w:noWrap/>
            <w:vAlign w:val="center"/>
          </w:tcPr>
          <w:p w14:paraId="32E0D50E" w14:textId="77777777" w:rsidR="00F7044C" w:rsidRPr="00C421E4" w:rsidRDefault="00F7044C" w:rsidP="00804E6B">
            <w:pPr>
              <w:jc w:val="center"/>
              <w:rPr>
                <w:rFonts w:ascii="Times" w:hAnsi="Times"/>
              </w:rPr>
            </w:pPr>
            <w:r w:rsidRPr="00C421E4">
              <w:rPr>
                <w:rFonts w:ascii="Times" w:hAnsi="Times"/>
              </w:rPr>
              <w:t>2.696</w:t>
            </w:r>
            <w:r w:rsidRPr="00C421E4">
              <w:rPr>
                <w:rFonts w:ascii="Times" w:hAnsi="Times"/>
              </w:rPr>
              <w:sym w:font="Symbol" w:char="F0B1"/>
            </w:r>
            <w:r w:rsidRPr="00C421E4">
              <w:rPr>
                <w:rFonts w:ascii="Times" w:hAnsi="Times"/>
              </w:rPr>
              <w:t>0.921</w:t>
            </w:r>
          </w:p>
        </w:tc>
        <w:tc>
          <w:tcPr>
            <w:tcW w:w="802" w:type="pct"/>
            <w:vAlign w:val="center"/>
          </w:tcPr>
          <w:p w14:paraId="765A4B3B" w14:textId="77777777" w:rsidR="00F7044C" w:rsidRPr="00C421E4" w:rsidRDefault="00F7044C" w:rsidP="00804E6B">
            <w:pPr>
              <w:jc w:val="center"/>
              <w:rPr>
                <w:rFonts w:ascii="Times" w:hAnsi="Times"/>
              </w:rPr>
            </w:pPr>
            <w:r w:rsidRPr="00C421E4">
              <w:rPr>
                <w:rFonts w:ascii="Times" w:hAnsi="Times"/>
              </w:rPr>
              <w:t>-0.93</w:t>
            </w:r>
          </w:p>
        </w:tc>
        <w:tc>
          <w:tcPr>
            <w:tcW w:w="823" w:type="pct"/>
          </w:tcPr>
          <w:p w14:paraId="01050BC7" w14:textId="77777777" w:rsidR="00F7044C" w:rsidRPr="00C421E4" w:rsidRDefault="00F7044C" w:rsidP="00804E6B">
            <w:pPr>
              <w:jc w:val="center"/>
              <w:rPr>
                <w:rFonts w:ascii="Times" w:hAnsi="Times"/>
              </w:rPr>
            </w:pPr>
            <w:r w:rsidRPr="00C421E4">
              <w:rPr>
                <w:rFonts w:ascii="Times" w:hAnsi="Times"/>
              </w:rPr>
              <w:t>.36</w:t>
            </w:r>
          </w:p>
        </w:tc>
      </w:tr>
      <w:tr w:rsidR="00F7044C" w:rsidRPr="00C421E4" w14:paraId="7577A9F9" w14:textId="77777777" w:rsidTr="00804E6B">
        <w:trPr>
          <w:trHeight w:val="320"/>
        </w:trPr>
        <w:tc>
          <w:tcPr>
            <w:tcW w:w="1582" w:type="pct"/>
            <w:shd w:val="clear" w:color="auto" w:fill="auto"/>
            <w:noWrap/>
            <w:vAlign w:val="center"/>
          </w:tcPr>
          <w:p w14:paraId="014A6F74" w14:textId="77777777" w:rsidR="00F7044C" w:rsidRPr="00C421E4" w:rsidRDefault="00F7044C" w:rsidP="00804E6B">
            <w:pPr>
              <w:jc w:val="center"/>
              <w:rPr>
                <w:rFonts w:ascii="Times" w:hAnsi="Times"/>
              </w:rPr>
            </w:pPr>
            <w:r w:rsidRPr="00C421E4">
              <w:rPr>
                <w:rFonts w:ascii="Times" w:hAnsi="Times"/>
              </w:rPr>
              <w:t>Zygomaticus tone</w:t>
            </w:r>
          </w:p>
        </w:tc>
        <w:tc>
          <w:tcPr>
            <w:tcW w:w="851" w:type="pct"/>
            <w:shd w:val="clear" w:color="auto" w:fill="auto"/>
            <w:noWrap/>
            <w:vAlign w:val="center"/>
          </w:tcPr>
          <w:p w14:paraId="1FA276A1" w14:textId="77777777" w:rsidR="00F7044C" w:rsidRPr="00C421E4" w:rsidRDefault="00F7044C" w:rsidP="00804E6B">
            <w:pPr>
              <w:jc w:val="center"/>
              <w:rPr>
                <w:rFonts w:ascii="Times" w:hAnsi="Times"/>
              </w:rPr>
            </w:pPr>
            <w:r w:rsidRPr="00C421E4">
              <w:rPr>
                <w:rFonts w:ascii="Times" w:hAnsi="Times"/>
              </w:rPr>
              <w:t>3.694</w:t>
            </w:r>
            <w:r w:rsidRPr="00C421E4">
              <w:rPr>
                <w:rFonts w:ascii="Times" w:hAnsi="Times"/>
              </w:rPr>
              <w:sym w:font="Symbol" w:char="F0B1"/>
            </w:r>
            <w:r w:rsidRPr="00C421E4">
              <w:rPr>
                <w:rFonts w:ascii="Times" w:hAnsi="Times"/>
              </w:rPr>
              <w:t>1.61</w:t>
            </w:r>
          </w:p>
        </w:tc>
        <w:tc>
          <w:tcPr>
            <w:tcW w:w="942" w:type="pct"/>
            <w:shd w:val="clear" w:color="auto" w:fill="auto"/>
            <w:noWrap/>
            <w:vAlign w:val="center"/>
          </w:tcPr>
          <w:p w14:paraId="36ADCEE3" w14:textId="77777777" w:rsidR="00F7044C" w:rsidRPr="00C421E4" w:rsidRDefault="00F7044C" w:rsidP="00804E6B">
            <w:pPr>
              <w:jc w:val="center"/>
              <w:rPr>
                <w:rFonts w:ascii="Times" w:hAnsi="Times"/>
              </w:rPr>
            </w:pPr>
            <w:r w:rsidRPr="00C421E4">
              <w:rPr>
                <w:rFonts w:ascii="Times" w:hAnsi="Times"/>
              </w:rPr>
              <w:t>3.677</w:t>
            </w:r>
            <w:r w:rsidRPr="00C421E4">
              <w:rPr>
                <w:rFonts w:ascii="Times" w:hAnsi="Times"/>
              </w:rPr>
              <w:sym w:font="Symbol" w:char="F0B1"/>
            </w:r>
            <w:r w:rsidRPr="00C421E4">
              <w:rPr>
                <w:rFonts w:ascii="Times" w:hAnsi="Times"/>
              </w:rPr>
              <w:t>1.408</w:t>
            </w:r>
          </w:p>
        </w:tc>
        <w:tc>
          <w:tcPr>
            <w:tcW w:w="802" w:type="pct"/>
            <w:vAlign w:val="center"/>
          </w:tcPr>
          <w:p w14:paraId="44E6BBFC" w14:textId="77777777" w:rsidR="00F7044C" w:rsidRPr="00C421E4" w:rsidRDefault="00F7044C" w:rsidP="00804E6B">
            <w:pPr>
              <w:jc w:val="center"/>
              <w:rPr>
                <w:rFonts w:ascii="Times" w:hAnsi="Times"/>
              </w:rPr>
            </w:pPr>
            <w:r w:rsidRPr="00C421E4">
              <w:rPr>
                <w:rFonts w:ascii="Times" w:hAnsi="Times"/>
              </w:rPr>
              <w:t>0.26</w:t>
            </w:r>
          </w:p>
        </w:tc>
        <w:tc>
          <w:tcPr>
            <w:tcW w:w="823" w:type="pct"/>
          </w:tcPr>
          <w:p w14:paraId="62C688B6" w14:textId="77777777" w:rsidR="00F7044C" w:rsidRPr="00C421E4" w:rsidRDefault="00F7044C" w:rsidP="00804E6B">
            <w:pPr>
              <w:jc w:val="center"/>
              <w:rPr>
                <w:rFonts w:ascii="Times" w:hAnsi="Times"/>
              </w:rPr>
            </w:pPr>
            <w:r w:rsidRPr="00C421E4">
              <w:rPr>
                <w:rFonts w:ascii="Times" w:hAnsi="Times"/>
              </w:rPr>
              <w:t>.80</w:t>
            </w:r>
          </w:p>
        </w:tc>
      </w:tr>
      <w:tr w:rsidR="00F7044C" w:rsidRPr="00C421E4" w14:paraId="680C254B" w14:textId="77777777" w:rsidTr="00804E6B">
        <w:trPr>
          <w:trHeight w:val="320"/>
        </w:trPr>
        <w:tc>
          <w:tcPr>
            <w:tcW w:w="1582" w:type="pct"/>
            <w:shd w:val="clear" w:color="auto" w:fill="auto"/>
            <w:noWrap/>
            <w:vAlign w:val="center"/>
          </w:tcPr>
          <w:p w14:paraId="0AC098F7" w14:textId="77777777" w:rsidR="00F7044C" w:rsidRPr="00C421E4" w:rsidRDefault="00F7044C" w:rsidP="00804E6B">
            <w:pPr>
              <w:jc w:val="center"/>
              <w:rPr>
                <w:rFonts w:ascii="Times" w:hAnsi="Times"/>
              </w:rPr>
            </w:pPr>
            <w:r w:rsidRPr="00C421E4">
              <w:rPr>
                <w:rFonts w:ascii="Times" w:hAnsi="Times"/>
              </w:rPr>
              <w:t>Negative heart rate</w:t>
            </w:r>
          </w:p>
        </w:tc>
        <w:tc>
          <w:tcPr>
            <w:tcW w:w="851" w:type="pct"/>
            <w:shd w:val="clear" w:color="auto" w:fill="auto"/>
            <w:noWrap/>
            <w:vAlign w:val="center"/>
          </w:tcPr>
          <w:p w14:paraId="19B8F79A" w14:textId="77777777" w:rsidR="00F7044C" w:rsidRPr="00C421E4" w:rsidRDefault="00F7044C" w:rsidP="00804E6B">
            <w:pPr>
              <w:jc w:val="center"/>
              <w:rPr>
                <w:rFonts w:ascii="Times" w:hAnsi="Times"/>
              </w:rPr>
            </w:pPr>
            <w:r w:rsidRPr="00C421E4">
              <w:rPr>
                <w:rFonts w:ascii="Times" w:hAnsi="Times"/>
              </w:rPr>
              <w:t>7.579</w:t>
            </w:r>
            <w:r w:rsidRPr="00C421E4">
              <w:rPr>
                <w:rFonts w:ascii="Times" w:hAnsi="Times"/>
              </w:rPr>
              <w:sym w:font="Symbol" w:char="F0B1"/>
            </w:r>
            <w:r w:rsidRPr="00C421E4">
              <w:rPr>
                <w:rFonts w:ascii="Times" w:hAnsi="Times"/>
              </w:rPr>
              <w:t>2.987</w:t>
            </w:r>
          </w:p>
        </w:tc>
        <w:tc>
          <w:tcPr>
            <w:tcW w:w="942" w:type="pct"/>
            <w:shd w:val="clear" w:color="auto" w:fill="auto"/>
            <w:noWrap/>
            <w:vAlign w:val="center"/>
          </w:tcPr>
          <w:p w14:paraId="67FF8770" w14:textId="77777777" w:rsidR="00F7044C" w:rsidRPr="00C421E4" w:rsidRDefault="00F7044C" w:rsidP="00804E6B">
            <w:pPr>
              <w:jc w:val="center"/>
              <w:rPr>
                <w:rFonts w:ascii="Times" w:hAnsi="Times"/>
              </w:rPr>
            </w:pPr>
            <w:r w:rsidRPr="00C421E4">
              <w:rPr>
                <w:rFonts w:ascii="Times" w:hAnsi="Times"/>
              </w:rPr>
              <w:t>9.088</w:t>
            </w:r>
            <w:r w:rsidRPr="00C421E4">
              <w:rPr>
                <w:rFonts w:ascii="Times" w:hAnsi="Times"/>
              </w:rPr>
              <w:sym w:font="Symbol" w:char="F0B1"/>
            </w:r>
            <w:r w:rsidRPr="00C421E4">
              <w:rPr>
                <w:rFonts w:ascii="Times" w:hAnsi="Times"/>
              </w:rPr>
              <w:t>12.408</w:t>
            </w:r>
          </w:p>
        </w:tc>
        <w:tc>
          <w:tcPr>
            <w:tcW w:w="802" w:type="pct"/>
            <w:vAlign w:val="center"/>
          </w:tcPr>
          <w:p w14:paraId="50FBD23E" w14:textId="77777777" w:rsidR="00F7044C" w:rsidRPr="00C421E4" w:rsidRDefault="00F7044C" w:rsidP="00804E6B">
            <w:pPr>
              <w:jc w:val="center"/>
              <w:rPr>
                <w:rFonts w:ascii="Times" w:hAnsi="Times"/>
              </w:rPr>
            </w:pPr>
            <w:r w:rsidRPr="00C421E4">
              <w:rPr>
                <w:rFonts w:ascii="Times" w:hAnsi="Times"/>
              </w:rPr>
              <w:t>-0.10</w:t>
            </w:r>
          </w:p>
        </w:tc>
        <w:tc>
          <w:tcPr>
            <w:tcW w:w="823" w:type="pct"/>
          </w:tcPr>
          <w:p w14:paraId="67BD6658" w14:textId="77777777" w:rsidR="00F7044C" w:rsidRPr="00C421E4" w:rsidRDefault="00F7044C" w:rsidP="00804E6B">
            <w:pPr>
              <w:jc w:val="center"/>
              <w:rPr>
                <w:rFonts w:ascii="Times" w:hAnsi="Times"/>
              </w:rPr>
            </w:pPr>
            <w:r w:rsidRPr="00C421E4">
              <w:rPr>
                <w:rFonts w:ascii="Times" w:hAnsi="Times"/>
              </w:rPr>
              <w:t>.92</w:t>
            </w:r>
          </w:p>
        </w:tc>
      </w:tr>
      <w:tr w:rsidR="00F7044C" w:rsidRPr="00C421E4" w14:paraId="057E8723" w14:textId="77777777" w:rsidTr="00804E6B">
        <w:trPr>
          <w:trHeight w:val="320"/>
        </w:trPr>
        <w:tc>
          <w:tcPr>
            <w:tcW w:w="1582" w:type="pct"/>
            <w:shd w:val="clear" w:color="auto" w:fill="auto"/>
            <w:noWrap/>
            <w:vAlign w:val="center"/>
          </w:tcPr>
          <w:p w14:paraId="34FF9A98" w14:textId="77777777" w:rsidR="00F7044C" w:rsidRPr="00C421E4" w:rsidRDefault="00F7044C" w:rsidP="00804E6B">
            <w:pPr>
              <w:jc w:val="center"/>
              <w:rPr>
                <w:rFonts w:ascii="Times" w:hAnsi="Times"/>
              </w:rPr>
            </w:pPr>
            <w:r w:rsidRPr="00C421E4">
              <w:rPr>
                <w:rFonts w:ascii="Times" w:hAnsi="Times"/>
              </w:rPr>
              <w:t>Positive heart rate</w:t>
            </w:r>
          </w:p>
        </w:tc>
        <w:tc>
          <w:tcPr>
            <w:tcW w:w="851" w:type="pct"/>
            <w:shd w:val="clear" w:color="auto" w:fill="auto"/>
            <w:noWrap/>
            <w:vAlign w:val="center"/>
          </w:tcPr>
          <w:p w14:paraId="4CDA85B8" w14:textId="77777777" w:rsidR="00F7044C" w:rsidRPr="00C421E4" w:rsidRDefault="00F7044C" w:rsidP="00804E6B">
            <w:pPr>
              <w:jc w:val="center"/>
              <w:rPr>
                <w:rFonts w:ascii="Times" w:hAnsi="Times"/>
              </w:rPr>
            </w:pPr>
            <w:r w:rsidRPr="00C421E4">
              <w:rPr>
                <w:rFonts w:ascii="Times" w:hAnsi="Times"/>
              </w:rPr>
              <w:t>5.452</w:t>
            </w:r>
            <w:r w:rsidRPr="00C421E4">
              <w:rPr>
                <w:rFonts w:ascii="Times" w:hAnsi="Times"/>
              </w:rPr>
              <w:sym w:font="Symbol" w:char="F0B1"/>
            </w:r>
            <w:r w:rsidRPr="00C421E4">
              <w:rPr>
                <w:rFonts w:ascii="Times" w:hAnsi="Times"/>
              </w:rPr>
              <w:t>1.955</w:t>
            </w:r>
          </w:p>
        </w:tc>
        <w:tc>
          <w:tcPr>
            <w:tcW w:w="942" w:type="pct"/>
            <w:shd w:val="clear" w:color="auto" w:fill="auto"/>
            <w:noWrap/>
            <w:vAlign w:val="center"/>
          </w:tcPr>
          <w:p w14:paraId="7648CF23" w14:textId="77777777" w:rsidR="00F7044C" w:rsidRPr="00C421E4" w:rsidRDefault="00F7044C" w:rsidP="00804E6B">
            <w:pPr>
              <w:jc w:val="center"/>
              <w:rPr>
                <w:rFonts w:ascii="Times" w:hAnsi="Times"/>
              </w:rPr>
            </w:pPr>
            <w:r w:rsidRPr="00C421E4">
              <w:rPr>
                <w:rFonts w:ascii="Times" w:hAnsi="Times"/>
              </w:rPr>
              <w:t>10.085</w:t>
            </w:r>
            <w:r w:rsidRPr="00C421E4">
              <w:rPr>
                <w:rFonts w:ascii="Times" w:hAnsi="Times"/>
              </w:rPr>
              <w:sym w:font="Symbol" w:char="F0B1"/>
            </w:r>
            <w:r w:rsidRPr="00C421E4">
              <w:rPr>
                <w:rFonts w:ascii="Times" w:hAnsi="Times"/>
              </w:rPr>
              <w:t>12.903</w:t>
            </w:r>
          </w:p>
        </w:tc>
        <w:tc>
          <w:tcPr>
            <w:tcW w:w="802" w:type="pct"/>
            <w:vAlign w:val="center"/>
          </w:tcPr>
          <w:p w14:paraId="623F761D" w14:textId="77777777" w:rsidR="00F7044C" w:rsidRPr="00C421E4" w:rsidRDefault="00F7044C" w:rsidP="00804E6B">
            <w:pPr>
              <w:jc w:val="center"/>
              <w:rPr>
                <w:rFonts w:ascii="Times" w:hAnsi="Times"/>
              </w:rPr>
            </w:pPr>
            <w:r w:rsidRPr="00C421E4">
              <w:rPr>
                <w:rFonts w:ascii="Times" w:hAnsi="Times"/>
              </w:rPr>
              <w:t>-0.80</w:t>
            </w:r>
          </w:p>
        </w:tc>
        <w:tc>
          <w:tcPr>
            <w:tcW w:w="823" w:type="pct"/>
          </w:tcPr>
          <w:p w14:paraId="37A30EE0" w14:textId="77777777" w:rsidR="00F7044C" w:rsidRPr="00C421E4" w:rsidRDefault="00F7044C" w:rsidP="00804E6B">
            <w:pPr>
              <w:jc w:val="center"/>
              <w:rPr>
                <w:rFonts w:ascii="Times" w:hAnsi="Times"/>
              </w:rPr>
            </w:pPr>
            <w:r w:rsidRPr="00C421E4">
              <w:rPr>
                <w:rFonts w:ascii="Times" w:hAnsi="Times"/>
              </w:rPr>
              <w:t>.42</w:t>
            </w:r>
          </w:p>
        </w:tc>
      </w:tr>
      <w:tr w:rsidR="00F7044C" w:rsidRPr="00C421E4" w14:paraId="0E51496C" w14:textId="77777777" w:rsidTr="00804E6B">
        <w:trPr>
          <w:trHeight w:val="320"/>
        </w:trPr>
        <w:tc>
          <w:tcPr>
            <w:tcW w:w="5000" w:type="pct"/>
            <w:gridSpan w:val="5"/>
            <w:shd w:val="clear" w:color="auto" w:fill="auto"/>
            <w:noWrap/>
            <w:vAlign w:val="center"/>
          </w:tcPr>
          <w:p w14:paraId="6213026F" w14:textId="77777777" w:rsidR="00F7044C" w:rsidRPr="00C421E4" w:rsidRDefault="00F7044C" w:rsidP="00804E6B">
            <w:pPr>
              <w:jc w:val="center"/>
              <w:rPr>
                <w:rFonts w:ascii="Times" w:hAnsi="Times"/>
              </w:rPr>
            </w:pPr>
            <w:r w:rsidRPr="00C421E4">
              <w:rPr>
                <w:rFonts w:ascii="Times" w:hAnsi="Times"/>
              </w:rPr>
              <w:t>Habituation</w:t>
            </w:r>
          </w:p>
        </w:tc>
      </w:tr>
      <w:tr w:rsidR="00F7044C" w:rsidRPr="00C421E4" w14:paraId="27B3A3E1" w14:textId="77777777" w:rsidTr="00804E6B">
        <w:trPr>
          <w:trHeight w:val="320"/>
        </w:trPr>
        <w:tc>
          <w:tcPr>
            <w:tcW w:w="1582" w:type="pct"/>
            <w:shd w:val="clear" w:color="auto" w:fill="auto"/>
            <w:noWrap/>
            <w:vAlign w:val="center"/>
          </w:tcPr>
          <w:p w14:paraId="5F7A79B1" w14:textId="77777777" w:rsidR="00F7044C" w:rsidRPr="00C421E4" w:rsidRDefault="00F7044C" w:rsidP="00804E6B">
            <w:pPr>
              <w:jc w:val="center"/>
              <w:rPr>
                <w:rFonts w:ascii="Times" w:hAnsi="Times"/>
              </w:rPr>
            </w:pPr>
            <w:r w:rsidRPr="00C421E4">
              <w:rPr>
                <w:rFonts w:ascii="Times" w:hAnsi="Times"/>
              </w:rPr>
              <w:t>Negative valence</w:t>
            </w:r>
          </w:p>
        </w:tc>
        <w:tc>
          <w:tcPr>
            <w:tcW w:w="851" w:type="pct"/>
            <w:shd w:val="clear" w:color="auto" w:fill="auto"/>
            <w:noWrap/>
            <w:vAlign w:val="center"/>
          </w:tcPr>
          <w:p w14:paraId="789B63BF" w14:textId="77777777" w:rsidR="00F7044C" w:rsidRPr="00C421E4" w:rsidRDefault="00F7044C" w:rsidP="00804E6B">
            <w:pPr>
              <w:jc w:val="center"/>
              <w:rPr>
                <w:rFonts w:ascii="Times" w:hAnsi="Times"/>
              </w:rPr>
            </w:pPr>
            <w:r w:rsidRPr="00C421E4">
              <w:rPr>
                <w:rFonts w:ascii="Times" w:hAnsi="Times"/>
              </w:rPr>
              <w:t>0.066</w:t>
            </w:r>
            <w:r w:rsidRPr="00C421E4">
              <w:rPr>
                <w:rFonts w:ascii="Times" w:hAnsi="Times"/>
              </w:rPr>
              <w:sym w:font="Symbol" w:char="F0B1"/>
            </w:r>
            <w:r w:rsidRPr="00C421E4">
              <w:rPr>
                <w:rFonts w:ascii="Times" w:hAnsi="Times"/>
              </w:rPr>
              <w:t>0.580</w:t>
            </w:r>
          </w:p>
        </w:tc>
        <w:tc>
          <w:tcPr>
            <w:tcW w:w="942" w:type="pct"/>
            <w:shd w:val="clear" w:color="auto" w:fill="auto"/>
            <w:noWrap/>
            <w:vAlign w:val="center"/>
          </w:tcPr>
          <w:p w14:paraId="7C4E9E87" w14:textId="77777777" w:rsidR="00F7044C" w:rsidRPr="00C421E4" w:rsidRDefault="00F7044C" w:rsidP="00804E6B">
            <w:pPr>
              <w:jc w:val="center"/>
              <w:rPr>
                <w:rFonts w:ascii="Times" w:hAnsi="Times"/>
              </w:rPr>
            </w:pPr>
            <w:r w:rsidRPr="00C421E4">
              <w:rPr>
                <w:rFonts w:ascii="Times" w:hAnsi="Times"/>
              </w:rPr>
              <w:t>0.033</w:t>
            </w:r>
            <w:r w:rsidRPr="00C421E4">
              <w:rPr>
                <w:rFonts w:ascii="Times" w:hAnsi="Times"/>
              </w:rPr>
              <w:sym w:font="Symbol" w:char="F0B1"/>
            </w:r>
            <w:r w:rsidRPr="00C421E4">
              <w:rPr>
                <w:rFonts w:ascii="Times" w:hAnsi="Times"/>
              </w:rPr>
              <w:t>0.623</w:t>
            </w:r>
          </w:p>
        </w:tc>
        <w:tc>
          <w:tcPr>
            <w:tcW w:w="802" w:type="pct"/>
            <w:vAlign w:val="center"/>
          </w:tcPr>
          <w:p w14:paraId="6F24A2E4" w14:textId="77777777" w:rsidR="00F7044C" w:rsidRPr="00C421E4" w:rsidRDefault="00F7044C" w:rsidP="00804E6B">
            <w:pPr>
              <w:jc w:val="center"/>
              <w:rPr>
                <w:rFonts w:ascii="Times" w:hAnsi="Times"/>
              </w:rPr>
            </w:pPr>
            <w:r w:rsidRPr="00C421E4">
              <w:rPr>
                <w:rFonts w:ascii="Times" w:hAnsi="Times"/>
              </w:rPr>
              <w:t>0.26</w:t>
            </w:r>
          </w:p>
        </w:tc>
        <w:tc>
          <w:tcPr>
            <w:tcW w:w="823" w:type="pct"/>
          </w:tcPr>
          <w:p w14:paraId="6B89FCC9" w14:textId="77777777" w:rsidR="00F7044C" w:rsidRPr="00C421E4" w:rsidRDefault="00F7044C" w:rsidP="00804E6B">
            <w:pPr>
              <w:jc w:val="center"/>
              <w:rPr>
                <w:rFonts w:ascii="Times" w:hAnsi="Times"/>
              </w:rPr>
            </w:pPr>
            <w:r w:rsidRPr="00C421E4">
              <w:rPr>
                <w:rFonts w:ascii="Times" w:hAnsi="Times"/>
              </w:rPr>
              <w:t>.78</w:t>
            </w:r>
          </w:p>
        </w:tc>
      </w:tr>
      <w:tr w:rsidR="00F7044C" w:rsidRPr="00C421E4" w14:paraId="12948453" w14:textId="77777777" w:rsidTr="00804E6B">
        <w:trPr>
          <w:trHeight w:val="320"/>
        </w:trPr>
        <w:tc>
          <w:tcPr>
            <w:tcW w:w="1582" w:type="pct"/>
            <w:shd w:val="clear" w:color="auto" w:fill="auto"/>
            <w:noWrap/>
            <w:vAlign w:val="center"/>
          </w:tcPr>
          <w:p w14:paraId="31A2C821" w14:textId="77777777" w:rsidR="00F7044C" w:rsidRPr="00C421E4" w:rsidRDefault="00F7044C" w:rsidP="00804E6B">
            <w:pPr>
              <w:jc w:val="center"/>
              <w:rPr>
                <w:rFonts w:ascii="Times" w:hAnsi="Times"/>
              </w:rPr>
            </w:pPr>
            <w:r w:rsidRPr="00C421E4">
              <w:rPr>
                <w:rFonts w:ascii="Times" w:hAnsi="Times"/>
              </w:rPr>
              <w:t>Positive valence</w:t>
            </w:r>
          </w:p>
        </w:tc>
        <w:tc>
          <w:tcPr>
            <w:tcW w:w="851" w:type="pct"/>
            <w:shd w:val="clear" w:color="auto" w:fill="auto"/>
            <w:noWrap/>
            <w:vAlign w:val="center"/>
          </w:tcPr>
          <w:p w14:paraId="4CE46837" w14:textId="77777777" w:rsidR="00F7044C" w:rsidRPr="00C421E4" w:rsidRDefault="00F7044C" w:rsidP="00804E6B">
            <w:pPr>
              <w:jc w:val="center"/>
              <w:rPr>
                <w:rFonts w:ascii="Times" w:hAnsi="Times"/>
              </w:rPr>
            </w:pPr>
            <w:r w:rsidRPr="00C421E4">
              <w:rPr>
                <w:rFonts w:ascii="Times" w:hAnsi="Times"/>
              </w:rPr>
              <w:t>-0.200</w:t>
            </w:r>
            <w:r w:rsidRPr="00C421E4">
              <w:rPr>
                <w:rFonts w:ascii="Times" w:hAnsi="Times"/>
              </w:rPr>
              <w:sym w:font="Symbol" w:char="F0B1"/>
            </w:r>
            <w:r w:rsidRPr="00C421E4">
              <w:rPr>
                <w:rFonts w:ascii="Times" w:hAnsi="Times"/>
              </w:rPr>
              <w:t>0.336</w:t>
            </w:r>
          </w:p>
        </w:tc>
        <w:tc>
          <w:tcPr>
            <w:tcW w:w="942" w:type="pct"/>
            <w:shd w:val="clear" w:color="auto" w:fill="auto"/>
            <w:noWrap/>
            <w:vAlign w:val="center"/>
          </w:tcPr>
          <w:p w14:paraId="717ED1BB" w14:textId="77777777" w:rsidR="00F7044C" w:rsidRPr="00C421E4" w:rsidRDefault="00F7044C" w:rsidP="00804E6B">
            <w:pPr>
              <w:jc w:val="center"/>
              <w:rPr>
                <w:rFonts w:ascii="Times" w:hAnsi="Times"/>
              </w:rPr>
            </w:pPr>
            <w:r w:rsidRPr="00C421E4">
              <w:rPr>
                <w:rFonts w:ascii="Times" w:hAnsi="Times"/>
              </w:rPr>
              <w:t>-0.32</w:t>
            </w:r>
            <w:r w:rsidRPr="00C421E4">
              <w:rPr>
                <w:rFonts w:ascii="Times" w:hAnsi="Times"/>
              </w:rPr>
              <w:sym w:font="Symbol" w:char="F0B1"/>
            </w:r>
            <w:r w:rsidRPr="00C421E4">
              <w:rPr>
                <w:rFonts w:ascii="Times" w:hAnsi="Times"/>
              </w:rPr>
              <w:t>0.644</w:t>
            </w:r>
          </w:p>
        </w:tc>
        <w:tc>
          <w:tcPr>
            <w:tcW w:w="802" w:type="pct"/>
            <w:vAlign w:val="center"/>
          </w:tcPr>
          <w:p w14:paraId="2940E547" w14:textId="77777777" w:rsidR="00F7044C" w:rsidRPr="00C421E4" w:rsidRDefault="00F7044C" w:rsidP="00804E6B">
            <w:pPr>
              <w:jc w:val="center"/>
              <w:rPr>
                <w:rFonts w:ascii="Times" w:hAnsi="Times"/>
              </w:rPr>
            </w:pPr>
            <w:r w:rsidRPr="00C421E4">
              <w:rPr>
                <w:rFonts w:ascii="Times" w:hAnsi="Times"/>
              </w:rPr>
              <w:t>0.44</w:t>
            </w:r>
          </w:p>
        </w:tc>
        <w:tc>
          <w:tcPr>
            <w:tcW w:w="823" w:type="pct"/>
          </w:tcPr>
          <w:p w14:paraId="39A88F76" w14:textId="77777777" w:rsidR="00F7044C" w:rsidRPr="00C421E4" w:rsidRDefault="00F7044C" w:rsidP="00804E6B">
            <w:pPr>
              <w:jc w:val="center"/>
              <w:rPr>
                <w:rFonts w:ascii="Times" w:hAnsi="Times"/>
              </w:rPr>
            </w:pPr>
            <w:r w:rsidRPr="00C421E4">
              <w:rPr>
                <w:rFonts w:ascii="Times" w:hAnsi="Times"/>
              </w:rPr>
              <w:t>.66</w:t>
            </w:r>
          </w:p>
        </w:tc>
      </w:tr>
      <w:tr w:rsidR="00F7044C" w:rsidRPr="00C421E4" w14:paraId="6C317EAE" w14:textId="77777777" w:rsidTr="00804E6B">
        <w:trPr>
          <w:trHeight w:val="320"/>
        </w:trPr>
        <w:tc>
          <w:tcPr>
            <w:tcW w:w="1582" w:type="pct"/>
            <w:shd w:val="clear" w:color="auto" w:fill="auto"/>
            <w:noWrap/>
            <w:vAlign w:val="center"/>
          </w:tcPr>
          <w:p w14:paraId="66A5318D" w14:textId="77777777" w:rsidR="00F7044C" w:rsidRPr="00C421E4" w:rsidRDefault="00F7044C" w:rsidP="00804E6B">
            <w:pPr>
              <w:jc w:val="center"/>
              <w:rPr>
                <w:rFonts w:ascii="Times" w:hAnsi="Times"/>
              </w:rPr>
            </w:pPr>
            <w:r w:rsidRPr="00C421E4">
              <w:rPr>
                <w:rFonts w:ascii="Times" w:hAnsi="Times"/>
              </w:rPr>
              <w:t>Negative arousal</w:t>
            </w:r>
          </w:p>
        </w:tc>
        <w:tc>
          <w:tcPr>
            <w:tcW w:w="851" w:type="pct"/>
            <w:shd w:val="clear" w:color="auto" w:fill="auto"/>
            <w:noWrap/>
            <w:vAlign w:val="center"/>
          </w:tcPr>
          <w:p w14:paraId="6A6AE069" w14:textId="77777777" w:rsidR="00F7044C" w:rsidRPr="00C421E4" w:rsidRDefault="00F7044C" w:rsidP="00804E6B">
            <w:pPr>
              <w:jc w:val="center"/>
              <w:rPr>
                <w:rFonts w:ascii="Times" w:hAnsi="Times"/>
              </w:rPr>
            </w:pPr>
            <w:r w:rsidRPr="00C421E4">
              <w:rPr>
                <w:rFonts w:ascii="Times" w:hAnsi="Times"/>
              </w:rPr>
              <w:t>-0.316</w:t>
            </w:r>
            <w:r w:rsidRPr="00C421E4">
              <w:rPr>
                <w:rFonts w:ascii="Times" w:hAnsi="Times"/>
              </w:rPr>
              <w:sym w:font="Symbol" w:char="F0B1"/>
            </w:r>
            <w:r w:rsidRPr="00C421E4">
              <w:rPr>
                <w:rFonts w:ascii="Times" w:hAnsi="Times"/>
              </w:rPr>
              <w:t>0.879</w:t>
            </w:r>
          </w:p>
        </w:tc>
        <w:tc>
          <w:tcPr>
            <w:tcW w:w="942" w:type="pct"/>
            <w:shd w:val="clear" w:color="auto" w:fill="auto"/>
            <w:noWrap/>
            <w:vAlign w:val="center"/>
          </w:tcPr>
          <w:p w14:paraId="21301575" w14:textId="77777777" w:rsidR="00F7044C" w:rsidRPr="00C421E4" w:rsidRDefault="00F7044C" w:rsidP="00804E6B">
            <w:pPr>
              <w:jc w:val="center"/>
              <w:rPr>
                <w:rFonts w:ascii="Times" w:hAnsi="Times"/>
              </w:rPr>
            </w:pPr>
            <w:r w:rsidRPr="00C421E4">
              <w:rPr>
                <w:rFonts w:ascii="Times" w:hAnsi="Times"/>
              </w:rPr>
              <w:t>-0.713</w:t>
            </w:r>
            <w:r w:rsidRPr="00C421E4">
              <w:rPr>
                <w:rFonts w:ascii="Times" w:hAnsi="Times"/>
              </w:rPr>
              <w:sym w:font="Symbol" w:char="F0B1"/>
            </w:r>
            <w:r w:rsidRPr="00C421E4">
              <w:rPr>
                <w:rFonts w:ascii="Times" w:hAnsi="Times"/>
              </w:rPr>
              <w:t>1.294</w:t>
            </w:r>
          </w:p>
        </w:tc>
        <w:tc>
          <w:tcPr>
            <w:tcW w:w="802" w:type="pct"/>
            <w:vAlign w:val="center"/>
          </w:tcPr>
          <w:p w14:paraId="4CB3DFE7" w14:textId="77777777" w:rsidR="00F7044C" w:rsidRPr="00C421E4" w:rsidRDefault="00F7044C" w:rsidP="00804E6B">
            <w:pPr>
              <w:jc w:val="center"/>
              <w:rPr>
                <w:rFonts w:ascii="Times" w:hAnsi="Times"/>
              </w:rPr>
            </w:pPr>
            <w:r w:rsidRPr="00C421E4">
              <w:rPr>
                <w:rFonts w:ascii="Times" w:hAnsi="Times"/>
              </w:rPr>
              <w:t>-1.42</w:t>
            </w:r>
          </w:p>
        </w:tc>
        <w:tc>
          <w:tcPr>
            <w:tcW w:w="823" w:type="pct"/>
          </w:tcPr>
          <w:p w14:paraId="2BA175D0" w14:textId="77777777" w:rsidR="00F7044C" w:rsidRPr="00C421E4" w:rsidRDefault="00F7044C" w:rsidP="00804E6B">
            <w:pPr>
              <w:jc w:val="center"/>
              <w:rPr>
                <w:rFonts w:ascii="Times" w:hAnsi="Times"/>
              </w:rPr>
            </w:pPr>
            <w:r w:rsidRPr="00C421E4">
              <w:rPr>
                <w:rFonts w:ascii="Times" w:hAnsi="Times"/>
              </w:rPr>
              <w:t>.16</w:t>
            </w:r>
          </w:p>
        </w:tc>
      </w:tr>
      <w:tr w:rsidR="00F7044C" w:rsidRPr="00C421E4" w14:paraId="62AA3FA2" w14:textId="77777777" w:rsidTr="00804E6B">
        <w:trPr>
          <w:trHeight w:val="320"/>
        </w:trPr>
        <w:tc>
          <w:tcPr>
            <w:tcW w:w="1582" w:type="pct"/>
            <w:shd w:val="clear" w:color="auto" w:fill="auto"/>
            <w:noWrap/>
            <w:vAlign w:val="center"/>
          </w:tcPr>
          <w:p w14:paraId="41D5DC69" w14:textId="77777777" w:rsidR="00F7044C" w:rsidRPr="00C421E4" w:rsidRDefault="00F7044C" w:rsidP="00804E6B">
            <w:pPr>
              <w:jc w:val="center"/>
              <w:rPr>
                <w:rFonts w:ascii="Times" w:hAnsi="Times"/>
              </w:rPr>
            </w:pPr>
            <w:r w:rsidRPr="00C421E4">
              <w:rPr>
                <w:rFonts w:ascii="Times" w:hAnsi="Times"/>
              </w:rPr>
              <w:t>Positive arousal</w:t>
            </w:r>
          </w:p>
        </w:tc>
        <w:tc>
          <w:tcPr>
            <w:tcW w:w="851" w:type="pct"/>
            <w:shd w:val="clear" w:color="auto" w:fill="auto"/>
            <w:noWrap/>
            <w:vAlign w:val="center"/>
          </w:tcPr>
          <w:p w14:paraId="44758415" w14:textId="77777777" w:rsidR="00F7044C" w:rsidRPr="00C421E4" w:rsidRDefault="00F7044C" w:rsidP="00804E6B">
            <w:pPr>
              <w:jc w:val="center"/>
              <w:rPr>
                <w:rFonts w:ascii="Times" w:hAnsi="Times"/>
              </w:rPr>
            </w:pPr>
            <w:r w:rsidRPr="00C421E4">
              <w:rPr>
                <w:rFonts w:ascii="Times" w:hAnsi="Times"/>
              </w:rPr>
              <w:t>-0.816</w:t>
            </w:r>
            <w:r w:rsidRPr="00C421E4">
              <w:rPr>
                <w:rFonts w:ascii="Times" w:hAnsi="Times"/>
              </w:rPr>
              <w:sym w:font="Symbol" w:char="F0B1"/>
            </w:r>
            <w:r w:rsidRPr="00C421E4">
              <w:rPr>
                <w:rFonts w:ascii="Times" w:hAnsi="Times"/>
              </w:rPr>
              <w:t>1.214</w:t>
            </w:r>
          </w:p>
        </w:tc>
        <w:tc>
          <w:tcPr>
            <w:tcW w:w="942" w:type="pct"/>
            <w:shd w:val="clear" w:color="auto" w:fill="auto"/>
            <w:noWrap/>
            <w:vAlign w:val="center"/>
          </w:tcPr>
          <w:p w14:paraId="6B58EE98" w14:textId="77777777" w:rsidR="00F7044C" w:rsidRPr="00C421E4" w:rsidRDefault="00F7044C" w:rsidP="00804E6B">
            <w:pPr>
              <w:jc w:val="center"/>
              <w:rPr>
                <w:rFonts w:ascii="Times" w:hAnsi="Times"/>
              </w:rPr>
            </w:pPr>
            <w:r w:rsidRPr="00C421E4">
              <w:rPr>
                <w:rFonts w:ascii="Times" w:hAnsi="Times"/>
              </w:rPr>
              <w:t>-0.575</w:t>
            </w:r>
            <w:r w:rsidRPr="00C421E4">
              <w:rPr>
                <w:rFonts w:ascii="Times" w:hAnsi="Times"/>
              </w:rPr>
              <w:sym w:font="Symbol" w:char="F0B1"/>
            </w:r>
            <w:r w:rsidRPr="00C421E4">
              <w:rPr>
                <w:rFonts w:ascii="Times" w:hAnsi="Times"/>
              </w:rPr>
              <w:t>1.462</w:t>
            </w:r>
          </w:p>
        </w:tc>
        <w:tc>
          <w:tcPr>
            <w:tcW w:w="802" w:type="pct"/>
            <w:vAlign w:val="center"/>
          </w:tcPr>
          <w:p w14:paraId="4DC63CAC" w14:textId="77777777" w:rsidR="00F7044C" w:rsidRPr="00C421E4" w:rsidRDefault="00F7044C" w:rsidP="00804E6B">
            <w:pPr>
              <w:jc w:val="center"/>
              <w:rPr>
                <w:rFonts w:ascii="Times" w:hAnsi="Times"/>
              </w:rPr>
            </w:pPr>
            <w:r w:rsidRPr="00C421E4">
              <w:rPr>
                <w:rFonts w:ascii="Times" w:hAnsi="Times"/>
              </w:rPr>
              <w:t>-1.85</w:t>
            </w:r>
          </w:p>
        </w:tc>
        <w:tc>
          <w:tcPr>
            <w:tcW w:w="823" w:type="pct"/>
          </w:tcPr>
          <w:p w14:paraId="49126B46" w14:textId="77777777" w:rsidR="00F7044C" w:rsidRPr="00C421E4" w:rsidRDefault="00F7044C" w:rsidP="00804E6B">
            <w:pPr>
              <w:jc w:val="center"/>
              <w:rPr>
                <w:rFonts w:ascii="Times" w:hAnsi="Times"/>
              </w:rPr>
            </w:pPr>
            <w:r w:rsidRPr="00C421E4">
              <w:rPr>
                <w:rFonts w:ascii="Times" w:hAnsi="Times"/>
              </w:rPr>
              <w:t>.07</w:t>
            </w:r>
          </w:p>
        </w:tc>
      </w:tr>
      <w:tr w:rsidR="00F7044C" w:rsidRPr="00C421E4" w14:paraId="6185384A" w14:textId="77777777" w:rsidTr="00804E6B">
        <w:trPr>
          <w:trHeight w:val="320"/>
        </w:trPr>
        <w:tc>
          <w:tcPr>
            <w:tcW w:w="1582" w:type="pct"/>
            <w:shd w:val="clear" w:color="auto" w:fill="auto"/>
            <w:noWrap/>
            <w:vAlign w:val="center"/>
          </w:tcPr>
          <w:p w14:paraId="38581693" w14:textId="77777777" w:rsidR="00F7044C" w:rsidRPr="00C421E4" w:rsidRDefault="00F7044C" w:rsidP="00804E6B">
            <w:pPr>
              <w:jc w:val="center"/>
              <w:rPr>
                <w:rFonts w:ascii="Times" w:hAnsi="Times"/>
              </w:rPr>
            </w:pPr>
            <w:r w:rsidRPr="00C421E4">
              <w:rPr>
                <w:rFonts w:ascii="Times" w:hAnsi="Times"/>
              </w:rPr>
              <w:t>Negative skin conductance</w:t>
            </w:r>
          </w:p>
        </w:tc>
        <w:tc>
          <w:tcPr>
            <w:tcW w:w="851" w:type="pct"/>
            <w:shd w:val="clear" w:color="auto" w:fill="auto"/>
            <w:noWrap/>
            <w:vAlign w:val="center"/>
          </w:tcPr>
          <w:p w14:paraId="2666CE62" w14:textId="77777777" w:rsidR="00F7044C" w:rsidRPr="00C421E4" w:rsidRDefault="00F7044C" w:rsidP="00804E6B">
            <w:pPr>
              <w:jc w:val="center"/>
              <w:rPr>
                <w:rFonts w:ascii="Times" w:hAnsi="Times"/>
              </w:rPr>
            </w:pPr>
            <w:r w:rsidRPr="00C421E4">
              <w:rPr>
                <w:rFonts w:ascii="Times" w:hAnsi="Times"/>
              </w:rPr>
              <w:t>-0.07</w:t>
            </w:r>
            <w:r w:rsidRPr="00C421E4">
              <w:rPr>
                <w:rFonts w:ascii="Times" w:hAnsi="Times"/>
              </w:rPr>
              <w:sym w:font="Symbol" w:char="F0B1"/>
            </w:r>
            <w:r w:rsidRPr="00C421E4">
              <w:rPr>
                <w:rFonts w:ascii="Times" w:hAnsi="Times"/>
              </w:rPr>
              <w:t>0.392</w:t>
            </w:r>
          </w:p>
        </w:tc>
        <w:tc>
          <w:tcPr>
            <w:tcW w:w="942" w:type="pct"/>
            <w:shd w:val="clear" w:color="auto" w:fill="auto"/>
            <w:noWrap/>
            <w:vAlign w:val="center"/>
          </w:tcPr>
          <w:p w14:paraId="51085C4B" w14:textId="77777777" w:rsidR="00F7044C" w:rsidRPr="00C421E4" w:rsidRDefault="00F7044C" w:rsidP="00804E6B">
            <w:pPr>
              <w:jc w:val="center"/>
              <w:rPr>
                <w:rFonts w:ascii="Times" w:hAnsi="Times"/>
              </w:rPr>
            </w:pPr>
            <w:r w:rsidRPr="00C421E4">
              <w:rPr>
                <w:rFonts w:ascii="Times" w:hAnsi="Times"/>
              </w:rPr>
              <w:t>-0.309</w:t>
            </w:r>
            <w:r w:rsidRPr="00C421E4">
              <w:rPr>
                <w:rFonts w:ascii="Times" w:hAnsi="Times"/>
              </w:rPr>
              <w:sym w:font="Symbol" w:char="F0B1"/>
            </w:r>
            <w:r w:rsidRPr="00C421E4">
              <w:rPr>
                <w:rFonts w:ascii="Times" w:hAnsi="Times"/>
              </w:rPr>
              <w:t>1.838</w:t>
            </w:r>
          </w:p>
        </w:tc>
        <w:tc>
          <w:tcPr>
            <w:tcW w:w="802" w:type="pct"/>
            <w:vAlign w:val="center"/>
          </w:tcPr>
          <w:p w14:paraId="48C98927" w14:textId="77777777" w:rsidR="00F7044C" w:rsidRPr="00C421E4" w:rsidRDefault="00F7044C" w:rsidP="00804E6B">
            <w:pPr>
              <w:jc w:val="center"/>
              <w:rPr>
                <w:rFonts w:ascii="Times" w:hAnsi="Times"/>
              </w:rPr>
            </w:pPr>
            <w:r w:rsidRPr="00C421E4">
              <w:rPr>
                <w:rFonts w:ascii="Times" w:hAnsi="Times"/>
              </w:rPr>
              <w:t>1.23</w:t>
            </w:r>
          </w:p>
        </w:tc>
        <w:tc>
          <w:tcPr>
            <w:tcW w:w="823" w:type="pct"/>
          </w:tcPr>
          <w:p w14:paraId="769F8A30" w14:textId="77777777" w:rsidR="00F7044C" w:rsidRPr="00C421E4" w:rsidRDefault="00F7044C" w:rsidP="00804E6B">
            <w:pPr>
              <w:jc w:val="center"/>
              <w:rPr>
                <w:rFonts w:ascii="Times" w:hAnsi="Times"/>
              </w:rPr>
            </w:pPr>
            <w:r w:rsidRPr="00C421E4">
              <w:rPr>
                <w:rFonts w:ascii="Times" w:hAnsi="Times"/>
              </w:rPr>
              <w:t>.22</w:t>
            </w:r>
          </w:p>
        </w:tc>
      </w:tr>
      <w:tr w:rsidR="00F7044C" w:rsidRPr="00C421E4" w14:paraId="3E3800B3" w14:textId="77777777" w:rsidTr="00804E6B">
        <w:trPr>
          <w:trHeight w:val="320"/>
        </w:trPr>
        <w:tc>
          <w:tcPr>
            <w:tcW w:w="1582" w:type="pct"/>
            <w:shd w:val="clear" w:color="auto" w:fill="auto"/>
            <w:noWrap/>
            <w:vAlign w:val="center"/>
          </w:tcPr>
          <w:p w14:paraId="4ECD5B9A" w14:textId="77777777" w:rsidR="00F7044C" w:rsidRPr="00C421E4" w:rsidRDefault="00F7044C" w:rsidP="00804E6B">
            <w:pPr>
              <w:jc w:val="center"/>
              <w:rPr>
                <w:rFonts w:ascii="Times" w:hAnsi="Times"/>
              </w:rPr>
            </w:pPr>
            <w:r w:rsidRPr="00C421E4">
              <w:rPr>
                <w:rFonts w:ascii="Times" w:hAnsi="Times"/>
              </w:rPr>
              <w:t>Positive skin conductance</w:t>
            </w:r>
          </w:p>
        </w:tc>
        <w:tc>
          <w:tcPr>
            <w:tcW w:w="851" w:type="pct"/>
            <w:shd w:val="clear" w:color="auto" w:fill="auto"/>
            <w:noWrap/>
            <w:vAlign w:val="center"/>
          </w:tcPr>
          <w:p w14:paraId="3740124A" w14:textId="77777777" w:rsidR="00F7044C" w:rsidRPr="00C421E4" w:rsidRDefault="00F7044C" w:rsidP="00804E6B">
            <w:pPr>
              <w:jc w:val="center"/>
              <w:rPr>
                <w:rFonts w:ascii="Times" w:hAnsi="Times"/>
              </w:rPr>
            </w:pPr>
            <w:r w:rsidRPr="00C421E4">
              <w:rPr>
                <w:rFonts w:ascii="Times" w:hAnsi="Times"/>
              </w:rPr>
              <w:t>0.132</w:t>
            </w:r>
            <w:r w:rsidRPr="00C421E4">
              <w:rPr>
                <w:rFonts w:ascii="Times" w:hAnsi="Times"/>
              </w:rPr>
              <w:sym w:font="Symbol" w:char="F0B1"/>
            </w:r>
            <w:r w:rsidRPr="00C421E4">
              <w:rPr>
                <w:rFonts w:ascii="Times" w:hAnsi="Times"/>
              </w:rPr>
              <w:t>0.249</w:t>
            </w:r>
          </w:p>
        </w:tc>
        <w:tc>
          <w:tcPr>
            <w:tcW w:w="942" w:type="pct"/>
            <w:shd w:val="clear" w:color="auto" w:fill="auto"/>
            <w:noWrap/>
            <w:vAlign w:val="center"/>
          </w:tcPr>
          <w:p w14:paraId="300A7793" w14:textId="77777777" w:rsidR="00F7044C" w:rsidRPr="00C421E4" w:rsidRDefault="00F7044C" w:rsidP="00804E6B">
            <w:pPr>
              <w:jc w:val="center"/>
              <w:rPr>
                <w:rFonts w:ascii="Times" w:hAnsi="Times"/>
              </w:rPr>
            </w:pPr>
            <w:r w:rsidRPr="00C421E4">
              <w:rPr>
                <w:rFonts w:ascii="Times" w:hAnsi="Times"/>
              </w:rPr>
              <w:t>-0.024</w:t>
            </w:r>
            <w:r w:rsidRPr="00C421E4">
              <w:rPr>
                <w:rFonts w:ascii="Times" w:hAnsi="Times"/>
              </w:rPr>
              <w:sym w:font="Symbol" w:char="F0B1"/>
            </w:r>
            <w:r w:rsidRPr="00C421E4">
              <w:rPr>
                <w:rFonts w:ascii="Times" w:hAnsi="Times"/>
              </w:rPr>
              <w:t>0.211</w:t>
            </w:r>
          </w:p>
        </w:tc>
        <w:tc>
          <w:tcPr>
            <w:tcW w:w="802" w:type="pct"/>
            <w:vAlign w:val="center"/>
          </w:tcPr>
          <w:p w14:paraId="1C9A2250" w14:textId="77777777" w:rsidR="00F7044C" w:rsidRPr="00C421E4" w:rsidRDefault="00F7044C" w:rsidP="00804E6B">
            <w:pPr>
              <w:jc w:val="center"/>
              <w:rPr>
                <w:rFonts w:ascii="Times" w:hAnsi="Times"/>
              </w:rPr>
            </w:pPr>
            <w:r w:rsidRPr="00C421E4">
              <w:rPr>
                <w:rFonts w:ascii="Times" w:hAnsi="Times"/>
              </w:rPr>
              <w:t>1.79</w:t>
            </w:r>
          </w:p>
        </w:tc>
        <w:tc>
          <w:tcPr>
            <w:tcW w:w="823" w:type="pct"/>
          </w:tcPr>
          <w:p w14:paraId="60231DB8" w14:textId="77777777" w:rsidR="00F7044C" w:rsidRPr="00C421E4" w:rsidRDefault="00F7044C" w:rsidP="00804E6B">
            <w:pPr>
              <w:jc w:val="center"/>
              <w:rPr>
                <w:rFonts w:ascii="Times" w:hAnsi="Times"/>
              </w:rPr>
            </w:pPr>
            <w:r w:rsidRPr="00C421E4">
              <w:rPr>
                <w:rFonts w:ascii="Times" w:hAnsi="Times"/>
              </w:rPr>
              <w:t>.08</w:t>
            </w:r>
          </w:p>
        </w:tc>
      </w:tr>
      <w:tr w:rsidR="00F7044C" w:rsidRPr="00C421E4" w14:paraId="7BBD8D0A" w14:textId="77777777" w:rsidTr="00804E6B">
        <w:trPr>
          <w:trHeight w:val="320"/>
        </w:trPr>
        <w:tc>
          <w:tcPr>
            <w:tcW w:w="1582" w:type="pct"/>
            <w:shd w:val="clear" w:color="auto" w:fill="auto"/>
            <w:noWrap/>
            <w:vAlign w:val="center"/>
          </w:tcPr>
          <w:p w14:paraId="057F993D" w14:textId="77777777" w:rsidR="00F7044C" w:rsidRPr="00C421E4" w:rsidRDefault="00F7044C" w:rsidP="00804E6B">
            <w:pPr>
              <w:jc w:val="center"/>
              <w:rPr>
                <w:rFonts w:ascii="Times" w:hAnsi="Times"/>
              </w:rPr>
            </w:pPr>
            <w:r w:rsidRPr="00C421E4">
              <w:rPr>
                <w:rFonts w:ascii="Times" w:hAnsi="Times"/>
              </w:rPr>
              <w:t>Corrugator tone</w:t>
            </w:r>
          </w:p>
        </w:tc>
        <w:tc>
          <w:tcPr>
            <w:tcW w:w="851" w:type="pct"/>
            <w:shd w:val="clear" w:color="auto" w:fill="auto"/>
            <w:noWrap/>
            <w:vAlign w:val="center"/>
          </w:tcPr>
          <w:p w14:paraId="0B267435" w14:textId="77777777" w:rsidR="00F7044C" w:rsidRPr="00C421E4" w:rsidRDefault="00F7044C" w:rsidP="00804E6B">
            <w:pPr>
              <w:jc w:val="center"/>
              <w:rPr>
                <w:rFonts w:ascii="Times" w:hAnsi="Times"/>
              </w:rPr>
            </w:pPr>
            <w:r w:rsidRPr="00C421E4">
              <w:rPr>
                <w:rFonts w:ascii="Times" w:hAnsi="Times"/>
              </w:rPr>
              <w:t>0.156</w:t>
            </w:r>
            <w:r w:rsidRPr="00C421E4">
              <w:rPr>
                <w:rFonts w:ascii="Times" w:hAnsi="Times"/>
              </w:rPr>
              <w:sym w:font="Symbol" w:char="F0B1"/>
            </w:r>
            <w:r w:rsidRPr="00C421E4">
              <w:rPr>
                <w:rFonts w:ascii="Times" w:hAnsi="Times"/>
              </w:rPr>
              <w:t>0.672</w:t>
            </w:r>
          </w:p>
        </w:tc>
        <w:tc>
          <w:tcPr>
            <w:tcW w:w="942" w:type="pct"/>
            <w:shd w:val="clear" w:color="auto" w:fill="auto"/>
            <w:noWrap/>
            <w:vAlign w:val="center"/>
          </w:tcPr>
          <w:p w14:paraId="5D44CDD3" w14:textId="77777777" w:rsidR="00F7044C" w:rsidRPr="00C421E4" w:rsidRDefault="00F7044C" w:rsidP="00804E6B">
            <w:pPr>
              <w:jc w:val="center"/>
              <w:rPr>
                <w:rFonts w:ascii="Times" w:hAnsi="Times"/>
              </w:rPr>
            </w:pPr>
            <w:r w:rsidRPr="00C421E4">
              <w:rPr>
                <w:rFonts w:ascii="Times" w:hAnsi="Times"/>
              </w:rPr>
              <w:t>0.044</w:t>
            </w:r>
            <w:r w:rsidRPr="00C421E4">
              <w:rPr>
                <w:rFonts w:ascii="Times" w:hAnsi="Times"/>
              </w:rPr>
              <w:sym w:font="Symbol" w:char="F0B1"/>
            </w:r>
            <w:r w:rsidRPr="00C421E4">
              <w:rPr>
                <w:rFonts w:ascii="Times" w:hAnsi="Times"/>
              </w:rPr>
              <w:t>0.474</w:t>
            </w:r>
          </w:p>
        </w:tc>
        <w:tc>
          <w:tcPr>
            <w:tcW w:w="802" w:type="pct"/>
            <w:vAlign w:val="center"/>
          </w:tcPr>
          <w:p w14:paraId="3398F6D0" w14:textId="77777777" w:rsidR="00F7044C" w:rsidRPr="00C421E4" w:rsidRDefault="00F7044C" w:rsidP="00804E6B">
            <w:pPr>
              <w:jc w:val="center"/>
              <w:rPr>
                <w:rFonts w:ascii="Times" w:hAnsi="Times"/>
              </w:rPr>
            </w:pPr>
            <w:r w:rsidRPr="00C421E4">
              <w:rPr>
                <w:rFonts w:ascii="Times" w:hAnsi="Times"/>
              </w:rPr>
              <w:t>-0.23</w:t>
            </w:r>
          </w:p>
        </w:tc>
        <w:tc>
          <w:tcPr>
            <w:tcW w:w="823" w:type="pct"/>
          </w:tcPr>
          <w:p w14:paraId="0E415744" w14:textId="77777777" w:rsidR="00F7044C" w:rsidRPr="00C421E4" w:rsidRDefault="00F7044C" w:rsidP="00804E6B">
            <w:pPr>
              <w:jc w:val="center"/>
              <w:rPr>
                <w:rFonts w:ascii="Times" w:hAnsi="Times"/>
              </w:rPr>
            </w:pPr>
            <w:r w:rsidRPr="00C421E4">
              <w:rPr>
                <w:rFonts w:ascii="Times" w:hAnsi="Times"/>
              </w:rPr>
              <w:t>.82</w:t>
            </w:r>
          </w:p>
        </w:tc>
      </w:tr>
      <w:tr w:rsidR="00F7044C" w:rsidRPr="00C421E4" w14:paraId="6C2F87AE" w14:textId="77777777" w:rsidTr="00804E6B">
        <w:trPr>
          <w:trHeight w:val="320"/>
        </w:trPr>
        <w:tc>
          <w:tcPr>
            <w:tcW w:w="1582" w:type="pct"/>
            <w:shd w:val="clear" w:color="auto" w:fill="auto"/>
            <w:noWrap/>
            <w:vAlign w:val="center"/>
          </w:tcPr>
          <w:p w14:paraId="31D8A175" w14:textId="77777777" w:rsidR="00F7044C" w:rsidRPr="00C421E4" w:rsidRDefault="00F7044C" w:rsidP="00804E6B">
            <w:pPr>
              <w:jc w:val="center"/>
              <w:rPr>
                <w:rFonts w:ascii="Times" w:hAnsi="Times"/>
              </w:rPr>
            </w:pPr>
            <w:r w:rsidRPr="00C421E4">
              <w:rPr>
                <w:rFonts w:ascii="Times" w:hAnsi="Times"/>
              </w:rPr>
              <w:t>Zygomaticus tone</w:t>
            </w:r>
          </w:p>
        </w:tc>
        <w:tc>
          <w:tcPr>
            <w:tcW w:w="851" w:type="pct"/>
            <w:shd w:val="clear" w:color="auto" w:fill="auto"/>
            <w:noWrap/>
            <w:vAlign w:val="center"/>
          </w:tcPr>
          <w:p w14:paraId="5EB6E3D6" w14:textId="77777777" w:rsidR="00F7044C" w:rsidRPr="00C421E4" w:rsidRDefault="00F7044C" w:rsidP="00804E6B">
            <w:pPr>
              <w:jc w:val="center"/>
              <w:rPr>
                <w:rFonts w:ascii="Times" w:hAnsi="Times"/>
              </w:rPr>
            </w:pPr>
            <w:r w:rsidRPr="00C421E4">
              <w:rPr>
                <w:rFonts w:ascii="Times" w:hAnsi="Times"/>
              </w:rPr>
              <w:t>0.422</w:t>
            </w:r>
            <w:r w:rsidRPr="00C421E4">
              <w:rPr>
                <w:rFonts w:ascii="Times" w:hAnsi="Times"/>
              </w:rPr>
              <w:sym w:font="Symbol" w:char="F0B1"/>
            </w:r>
            <w:r w:rsidRPr="00C421E4">
              <w:rPr>
                <w:rFonts w:ascii="Times" w:hAnsi="Times"/>
              </w:rPr>
              <w:t>1.793</w:t>
            </w:r>
          </w:p>
        </w:tc>
        <w:tc>
          <w:tcPr>
            <w:tcW w:w="942" w:type="pct"/>
            <w:shd w:val="clear" w:color="auto" w:fill="auto"/>
            <w:noWrap/>
            <w:vAlign w:val="center"/>
          </w:tcPr>
          <w:p w14:paraId="294F7CE2" w14:textId="77777777" w:rsidR="00F7044C" w:rsidRPr="00C421E4" w:rsidRDefault="00F7044C" w:rsidP="00804E6B">
            <w:pPr>
              <w:jc w:val="center"/>
              <w:rPr>
                <w:rFonts w:ascii="Times" w:hAnsi="Times"/>
              </w:rPr>
            </w:pPr>
            <w:r w:rsidRPr="00C421E4">
              <w:rPr>
                <w:rFonts w:ascii="Times" w:hAnsi="Times"/>
              </w:rPr>
              <w:t>-0.303</w:t>
            </w:r>
            <w:r w:rsidRPr="00C421E4">
              <w:rPr>
                <w:rFonts w:ascii="Times" w:hAnsi="Times"/>
              </w:rPr>
              <w:sym w:font="Symbol" w:char="F0B1"/>
            </w:r>
            <w:r w:rsidRPr="00C421E4">
              <w:rPr>
                <w:rFonts w:ascii="Times" w:hAnsi="Times"/>
              </w:rPr>
              <w:t>1.432</w:t>
            </w:r>
          </w:p>
        </w:tc>
        <w:tc>
          <w:tcPr>
            <w:tcW w:w="802" w:type="pct"/>
            <w:vAlign w:val="center"/>
          </w:tcPr>
          <w:p w14:paraId="6976B268" w14:textId="77777777" w:rsidR="00F7044C" w:rsidRPr="00C421E4" w:rsidRDefault="00F7044C" w:rsidP="00804E6B">
            <w:pPr>
              <w:jc w:val="center"/>
              <w:rPr>
                <w:rFonts w:ascii="Times" w:hAnsi="Times"/>
              </w:rPr>
            </w:pPr>
            <w:r w:rsidRPr="00C421E4">
              <w:rPr>
                <w:rFonts w:ascii="Times" w:hAnsi="Times"/>
              </w:rPr>
              <w:t>-0.71</w:t>
            </w:r>
          </w:p>
        </w:tc>
        <w:tc>
          <w:tcPr>
            <w:tcW w:w="823" w:type="pct"/>
          </w:tcPr>
          <w:p w14:paraId="09A7247D" w14:textId="77777777" w:rsidR="00F7044C" w:rsidRPr="00C421E4" w:rsidRDefault="00F7044C" w:rsidP="00804E6B">
            <w:pPr>
              <w:jc w:val="center"/>
              <w:rPr>
                <w:rFonts w:ascii="Times" w:hAnsi="Times"/>
              </w:rPr>
            </w:pPr>
            <w:r w:rsidRPr="00C421E4">
              <w:rPr>
                <w:rFonts w:ascii="Times" w:hAnsi="Times"/>
              </w:rPr>
              <w:t>.48</w:t>
            </w:r>
          </w:p>
        </w:tc>
      </w:tr>
      <w:tr w:rsidR="00F7044C" w:rsidRPr="00C421E4" w14:paraId="13EEC18A" w14:textId="77777777" w:rsidTr="00804E6B">
        <w:trPr>
          <w:trHeight w:val="320"/>
        </w:trPr>
        <w:tc>
          <w:tcPr>
            <w:tcW w:w="1582" w:type="pct"/>
            <w:shd w:val="clear" w:color="auto" w:fill="auto"/>
            <w:noWrap/>
            <w:vAlign w:val="center"/>
          </w:tcPr>
          <w:p w14:paraId="767507DB" w14:textId="77777777" w:rsidR="00F7044C" w:rsidRPr="00C421E4" w:rsidRDefault="00F7044C" w:rsidP="00804E6B">
            <w:pPr>
              <w:jc w:val="center"/>
              <w:rPr>
                <w:rFonts w:ascii="Times" w:hAnsi="Times"/>
              </w:rPr>
            </w:pPr>
            <w:r w:rsidRPr="00C421E4">
              <w:rPr>
                <w:rFonts w:ascii="Times" w:hAnsi="Times"/>
              </w:rPr>
              <w:t>Negative heart rate</w:t>
            </w:r>
          </w:p>
        </w:tc>
        <w:tc>
          <w:tcPr>
            <w:tcW w:w="851" w:type="pct"/>
            <w:shd w:val="clear" w:color="auto" w:fill="auto"/>
            <w:noWrap/>
            <w:vAlign w:val="center"/>
          </w:tcPr>
          <w:p w14:paraId="02BB6143" w14:textId="77777777" w:rsidR="00F7044C" w:rsidRPr="00C421E4" w:rsidRDefault="00F7044C" w:rsidP="00804E6B">
            <w:pPr>
              <w:jc w:val="center"/>
              <w:rPr>
                <w:rFonts w:ascii="Times" w:hAnsi="Times"/>
              </w:rPr>
            </w:pPr>
            <w:r w:rsidRPr="00C421E4">
              <w:rPr>
                <w:rFonts w:ascii="Times" w:hAnsi="Times"/>
              </w:rPr>
              <w:t>1.096</w:t>
            </w:r>
            <w:r w:rsidRPr="00C421E4">
              <w:rPr>
                <w:rFonts w:ascii="Times" w:hAnsi="Times"/>
              </w:rPr>
              <w:sym w:font="Symbol" w:char="F0B1"/>
            </w:r>
            <w:r w:rsidRPr="00C421E4">
              <w:rPr>
                <w:rFonts w:ascii="Times" w:hAnsi="Times"/>
              </w:rPr>
              <w:t>6.294</w:t>
            </w:r>
          </w:p>
        </w:tc>
        <w:tc>
          <w:tcPr>
            <w:tcW w:w="942" w:type="pct"/>
            <w:shd w:val="clear" w:color="auto" w:fill="auto"/>
            <w:noWrap/>
            <w:vAlign w:val="center"/>
          </w:tcPr>
          <w:p w14:paraId="698EEED3" w14:textId="77777777" w:rsidR="00F7044C" w:rsidRPr="00C421E4" w:rsidRDefault="00F7044C" w:rsidP="00804E6B">
            <w:pPr>
              <w:jc w:val="center"/>
              <w:rPr>
                <w:rFonts w:ascii="Times" w:hAnsi="Times"/>
              </w:rPr>
            </w:pPr>
            <w:r w:rsidRPr="00C421E4">
              <w:rPr>
                <w:rFonts w:ascii="Times" w:hAnsi="Times"/>
              </w:rPr>
              <w:t>-2.489</w:t>
            </w:r>
            <w:r w:rsidRPr="00C421E4">
              <w:rPr>
                <w:rFonts w:ascii="Times" w:hAnsi="Times"/>
              </w:rPr>
              <w:sym w:font="Symbol" w:char="F0B1"/>
            </w:r>
            <w:r w:rsidRPr="00C421E4">
              <w:rPr>
                <w:rFonts w:ascii="Times" w:hAnsi="Times"/>
              </w:rPr>
              <w:t>13.458</w:t>
            </w:r>
          </w:p>
        </w:tc>
        <w:tc>
          <w:tcPr>
            <w:tcW w:w="802" w:type="pct"/>
            <w:vAlign w:val="center"/>
          </w:tcPr>
          <w:p w14:paraId="2B6D0A4B" w14:textId="77777777" w:rsidR="00F7044C" w:rsidRPr="00C421E4" w:rsidRDefault="00F7044C" w:rsidP="00804E6B">
            <w:pPr>
              <w:jc w:val="center"/>
              <w:rPr>
                <w:rFonts w:ascii="Times" w:hAnsi="Times"/>
              </w:rPr>
            </w:pPr>
            <w:r w:rsidRPr="00C421E4">
              <w:rPr>
                <w:rFonts w:ascii="Times" w:hAnsi="Times"/>
              </w:rPr>
              <w:t>0.80</w:t>
            </w:r>
          </w:p>
        </w:tc>
        <w:tc>
          <w:tcPr>
            <w:tcW w:w="823" w:type="pct"/>
          </w:tcPr>
          <w:p w14:paraId="1130B079" w14:textId="77777777" w:rsidR="00F7044C" w:rsidRPr="00C421E4" w:rsidRDefault="00F7044C" w:rsidP="00804E6B">
            <w:pPr>
              <w:jc w:val="center"/>
              <w:rPr>
                <w:rFonts w:ascii="Times" w:hAnsi="Times"/>
              </w:rPr>
            </w:pPr>
            <w:r w:rsidRPr="00C421E4">
              <w:rPr>
                <w:rFonts w:ascii="Times" w:hAnsi="Times"/>
              </w:rPr>
              <w:t>.43</w:t>
            </w:r>
          </w:p>
        </w:tc>
      </w:tr>
      <w:tr w:rsidR="00F7044C" w:rsidRPr="00C421E4" w14:paraId="25027835" w14:textId="77777777" w:rsidTr="00804E6B">
        <w:trPr>
          <w:trHeight w:val="320"/>
        </w:trPr>
        <w:tc>
          <w:tcPr>
            <w:tcW w:w="1582" w:type="pct"/>
            <w:shd w:val="clear" w:color="auto" w:fill="auto"/>
            <w:noWrap/>
            <w:vAlign w:val="center"/>
          </w:tcPr>
          <w:p w14:paraId="49838BB9" w14:textId="77777777" w:rsidR="00F7044C" w:rsidRPr="00C421E4" w:rsidRDefault="00F7044C" w:rsidP="00804E6B">
            <w:pPr>
              <w:jc w:val="center"/>
              <w:rPr>
                <w:rFonts w:ascii="Times" w:hAnsi="Times"/>
              </w:rPr>
            </w:pPr>
            <w:r w:rsidRPr="00C421E4">
              <w:rPr>
                <w:rFonts w:ascii="Times" w:hAnsi="Times"/>
              </w:rPr>
              <w:t>Positive heart rate</w:t>
            </w:r>
          </w:p>
        </w:tc>
        <w:tc>
          <w:tcPr>
            <w:tcW w:w="851" w:type="pct"/>
            <w:shd w:val="clear" w:color="auto" w:fill="auto"/>
            <w:noWrap/>
            <w:vAlign w:val="center"/>
          </w:tcPr>
          <w:p w14:paraId="569401B6" w14:textId="77777777" w:rsidR="00F7044C" w:rsidRPr="00C421E4" w:rsidRDefault="00F7044C" w:rsidP="00804E6B">
            <w:pPr>
              <w:jc w:val="center"/>
              <w:rPr>
                <w:rFonts w:ascii="Times" w:hAnsi="Times"/>
              </w:rPr>
            </w:pPr>
            <w:r w:rsidRPr="00C421E4">
              <w:rPr>
                <w:rFonts w:ascii="Times" w:hAnsi="Times"/>
              </w:rPr>
              <w:t>0.477</w:t>
            </w:r>
            <w:r w:rsidRPr="00C421E4">
              <w:rPr>
                <w:rFonts w:ascii="Times" w:hAnsi="Times"/>
              </w:rPr>
              <w:sym w:font="Symbol" w:char="F0B1"/>
            </w:r>
            <w:r w:rsidRPr="00C421E4">
              <w:rPr>
                <w:rFonts w:ascii="Times" w:hAnsi="Times"/>
              </w:rPr>
              <w:t>3.446</w:t>
            </w:r>
          </w:p>
        </w:tc>
        <w:tc>
          <w:tcPr>
            <w:tcW w:w="942" w:type="pct"/>
            <w:shd w:val="clear" w:color="auto" w:fill="auto"/>
            <w:noWrap/>
            <w:vAlign w:val="center"/>
          </w:tcPr>
          <w:p w14:paraId="0712843A" w14:textId="77777777" w:rsidR="00F7044C" w:rsidRPr="00C421E4" w:rsidRDefault="00F7044C" w:rsidP="00804E6B">
            <w:pPr>
              <w:jc w:val="center"/>
              <w:rPr>
                <w:rFonts w:ascii="Times" w:hAnsi="Times"/>
              </w:rPr>
            </w:pPr>
            <w:r w:rsidRPr="00C421E4">
              <w:rPr>
                <w:rFonts w:ascii="Times" w:hAnsi="Times"/>
              </w:rPr>
              <w:t>-3.482</w:t>
            </w:r>
            <w:r w:rsidRPr="00C421E4">
              <w:rPr>
                <w:rFonts w:ascii="Times" w:hAnsi="Times"/>
              </w:rPr>
              <w:sym w:font="Symbol" w:char="F0B1"/>
            </w:r>
            <w:r w:rsidRPr="00C421E4">
              <w:rPr>
                <w:rFonts w:ascii="Times" w:hAnsi="Times"/>
              </w:rPr>
              <w:t>13.404</w:t>
            </w:r>
          </w:p>
        </w:tc>
        <w:tc>
          <w:tcPr>
            <w:tcW w:w="802" w:type="pct"/>
            <w:vAlign w:val="center"/>
          </w:tcPr>
          <w:p w14:paraId="6C676821" w14:textId="77777777" w:rsidR="00F7044C" w:rsidRPr="00C421E4" w:rsidRDefault="00F7044C" w:rsidP="00804E6B">
            <w:pPr>
              <w:jc w:val="center"/>
              <w:rPr>
                <w:rFonts w:ascii="Times" w:hAnsi="Times"/>
              </w:rPr>
            </w:pPr>
            <w:r w:rsidRPr="00C421E4">
              <w:rPr>
                <w:rFonts w:ascii="Times" w:hAnsi="Times"/>
              </w:rPr>
              <w:t>1.10</w:t>
            </w:r>
          </w:p>
        </w:tc>
        <w:tc>
          <w:tcPr>
            <w:tcW w:w="823" w:type="pct"/>
          </w:tcPr>
          <w:p w14:paraId="5612A9A1" w14:textId="77777777" w:rsidR="00F7044C" w:rsidRPr="00C421E4" w:rsidRDefault="00F7044C" w:rsidP="00804E6B">
            <w:pPr>
              <w:jc w:val="center"/>
              <w:rPr>
                <w:rFonts w:ascii="Times" w:hAnsi="Times"/>
              </w:rPr>
            </w:pPr>
            <w:r w:rsidRPr="00C421E4">
              <w:rPr>
                <w:rFonts w:ascii="Times" w:hAnsi="Times"/>
              </w:rPr>
              <w:t>.27</w:t>
            </w:r>
          </w:p>
        </w:tc>
      </w:tr>
    </w:tbl>
    <w:p w14:paraId="6ACA4040" w14:textId="77777777" w:rsidR="00F7044C" w:rsidRDefault="00F7044C" w:rsidP="00F7044C">
      <w:pPr>
        <w:rPr>
          <w:rFonts w:ascii="Times" w:hAnsi="Times"/>
        </w:rPr>
      </w:pPr>
    </w:p>
    <w:p w14:paraId="6C0FBD86" w14:textId="77777777" w:rsidR="00F7044C" w:rsidRPr="00C421E4" w:rsidRDefault="00F7044C" w:rsidP="00F7044C">
      <w:pPr>
        <w:spacing w:line="480" w:lineRule="auto"/>
        <w:rPr>
          <w:rFonts w:ascii="Times" w:hAnsi="Times"/>
        </w:rPr>
      </w:pPr>
      <w:r w:rsidRPr="00C421E4">
        <w:rPr>
          <w:rFonts w:ascii="Times" w:hAnsi="Times"/>
        </w:rPr>
        <w:t>Table 1</w:t>
      </w:r>
      <w:r>
        <w:rPr>
          <w:rFonts w:ascii="Times" w:hAnsi="Times"/>
        </w:rPr>
        <w:t>3</w:t>
      </w:r>
      <w:r w:rsidRPr="00C421E4">
        <w:rPr>
          <w:rFonts w:ascii="Times" w:hAnsi="Times"/>
        </w:rPr>
        <w:t xml:space="preserve">: Comparing individuals meeting the adjusted post-concussive syndrome criteria with the non-TBI group. </w:t>
      </w:r>
      <w:r w:rsidRPr="00C421E4">
        <w:rPr>
          <w:rFonts w:ascii="Times" w:hAnsi="Times"/>
        </w:rPr>
        <w:br w:type="page"/>
      </w:r>
    </w:p>
    <w:p w14:paraId="32E6BBA3" w14:textId="77777777" w:rsidR="00F7044C" w:rsidRPr="00C421E4" w:rsidRDefault="00F7044C" w:rsidP="00F7044C">
      <w:pPr>
        <w:rPr>
          <w:rFonts w:ascii="Times" w:hAnsi="Times"/>
        </w:rPr>
      </w:pPr>
      <w:r w:rsidRPr="00C421E4">
        <w:rPr>
          <w:noProof/>
        </w:rPr>
        <w:lastRenderedPageBreak/>
        <w:drawing>
          <wp:inline distT="0" distB="0" distL="0" distR="0" wp14:anchorId="44930668" wp14:editId="57699B12">
            <wp:extent cx="4572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8B91CBA" w14:textId="77777777" w:rsidR="00F7044C" w:rsidRPr="00C421E4" w:rsidRDefault="00F7044C" w:rsidP="00F7044C">
      <w:pPr>
        <w:spacing w:line="480" w:lineRule="auto"/>
        <w:rPr>
          <w:rFonts w:ascii="Times" w:hAnsi="Times"/>
        </w:rPr>
      </w:pPr>
      <w:r>
        <w:rPr>
          <w:rFonts w:ascii="Times" w:hAnsi="Times"/>
        </w:rPr>
        <w:t>Figure 1</w:t>
      </w:r>
      <w:r w:rsidRPr="00C421E4">
        <w:rPr>
          <w:rFonts w:ascii="Times" w:hAnsi="Times"/>
        </w:rPr>
        <w:t xml:space="preserve">. Negative valence ratings in Study 2. There were near-significant differences between reactivity ratings in the morning, such that the non-TBI group considered negative images as more emotional. </w:t>
      </w:r>
      <w:r w:rsidRPr="00C421E4">
        <w:rPr>
          <w:rFonts w:ascii="Times" w:hAnsi="Times"/>
        </w:rPr>
        <w:br w:type="page"/>
      </w:r>
    </w:p>
    <w:p w14:paraId="508FF478" w14:textId="77777777" w:rsidR="00F7044C" w:rsidRPr="00C421E4" w:rsidRDefault="00F7044C" w:rsidP="00F7044C">
      <w:pPr>
        <w:rPr>
          <w:rFonts w:ascii="Times" w:hAnsi="Times"/>
        </w:rPr>
      </w:pPr>
    </w:p>
    <w:p w14:paraId="3DA284D3" w14:textId="77777777" w:rsidR="00F7044C" w:rsidRPr="00C421E4" w:rsidRDefault="00F7044C" w:rsidP="00F7044C">
      <w:pPr>
        <w:rPr>
          <w:rFonts w:ascii="Times" w:hAnsi="Times"/>
        </w:rPr>
      </w:pPr>
      <w:r w:rsidRPr="00C421E4">
        <w:rPr>
          <w:rFonts w:ascii="Times" w:hAnsi="Times"/>
          <w:noProof/>
        </w:rPr>
        <w:drawing>
          <wp:inline distT="0" distB="0" distL="0" distR="0" wp14:anchorId="096EF2D6" wp14:editId="0066A16F">
            <wp:extent cx="4203700" cy="36576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ECE5557" w14:textId="77777777" w:rsidR="00F7044C" w:rsidRPr="00C421E4" w:rsidRDefault="00F7044C" w:rsidP="00F7044C">
      <w:pPr>
        <w:rPr>
          <w:rFonts w:ascii="Times" w:hAnsi="Times"/>
        </w:rPr>
      </w:pPr>
      <w:r w:rsidRPr="00C421E4">
        <w:rPr>
          <w:rFonts w:ascii="Times" w:hAnsi="Times"/>
          <w:noProof/>
        </w:rPr>
        <w:drawing>
          <wp:inline distT="0" distB="0" distL="0" distR="0" wp14:anchorId="7C4BE0CF" wp14:editId="05FC5BF7">
            <wp:extent cx="4191000" cy="36576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CACB768" w14:textId="77777777" w:rsidR="00F7044C" w:rsidRPr="00C421E4" w:rsidRDefault="00F7044C" w:rsidP="00F7044C">
      <w:pPr>
        <w:outlineLvl w:val="0"/>
        <w:rPr>
          <w:rFonts w:ascii="Times" w:hAnsi="Times"/>
        </w:rPr>
      </w:pPr>
      <w:r>
        <w:rPr>
          <w:rFonts w:ascii="Times" w:hAnsi="Times"/>
        </w:rPr>
        <w:t>Figure 2:</w:t>
      </w:r>
      <w:r w:rsidRPr="00C421E4">
        <w:rPr>
          <w:rFonts w:ascii="Times" w:hAnsi="Times"/>
        </w:rPr>
        <w:t xml:space="preserve"> Habituation of valence ratings.</w:t>
      </w:r>
      <w:r w:rsidRPr="00C421E4">
        <w:rPr>
          <w:rFonts w:ascii="Times" w:hAnsi="Times"/>
        </w:rPr>
        <w:br w:type="page"/>
      </w:r>
    </w:p>
    <w:p w14:paraId="3904F197" w14:textId="77777777" w:rsidR="00F7044C" w:rsidRPr="00C421E4" w:rsidRDefault="00F7044C" w:rsidP="00F7044C">
      <w:pPr>
        <w:rPr>
          <w:rFonts w:ascii="Times" w:hAnsi="Times"/>
        </w:rPr>
      </w:pPr>
      <w:r w:rsidRPr="00C421E4">
        <w:rPr>
          <w:rFonts w:ascii="Times" w:hAnsi="Times"/>
          <w:noProof/>
        </w:rPr>
        <w:lastRenderedPageBreak/>
        <w:drawing>
          <wp:inline distT="0" distB="0" distL="0" distR="0" wp14:anchorId="3D60D0D9" wp14:editId="4638DE90">
            <wp:extent cx="4599432" cy="3044952"/>
            <wp:effectExtent l="0" t="0" r="0" b="3175"/>
            <wp:docPr id="10"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C421E4">
        <w:rPr>
          <w:rFonts w:ascii="Times" w:hAnsi="Times"/>
          <w:noProof/>
        </w:rPr>
        <w:drawing>
          <wp:inline distT="0" distB="0" distL="0" distR="0" wp14:anchorId="0EBF09F7" wp14:editId="51EDFF6D">
            <wp:extent cx="4599432" cy="3044952"/>
            <wp:effectExtent l="0" t="0" r="0" b="3175"/>
            <wp:docPr id="11"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DB4FB69" w14:textId="77777777" w:rsidR="00F7044C" w:rsidRPr="00C421E4" w:rsidRDefault="00F7044C" w:rsidP="00F7044C">
      <w:pPr>
        <w:outlineLvl w:val="0"/>
        <w:rPr>
          <w:rFonts w:ascii="Times" w:hAnsi="Times"/>
        </w:rPr>
      </w:pPr>
      <w:r>
        <w:rPr>
          <w:rFonts w:ascii="Times" w:hAnsi="Times"/>
        </w:rPr>
        <w:t>Figure 3</w:t>
      </w:r>
      <w:r w:rsidRPr="00C421E4">
        <w:rPr>
          <w:rFonts w:ascii="Times" w:hAnsi="Times"/>
        </w:rPr>
        <w:t>: Habituation of arousal ratings.</w:t>
      </w:r>
    </w:p>
    <w:p w14:paraId="731D9E8B" w14:textId="77777777" w:rsidR="00F7044C" w:rsidRPr="00C421E4" w:rsidRDefault="00F7044C" w:rsidP="00F7044C">
      <w:pPr>
        <w:rPr>
          <w:rFonts w:ascii="Times" w:hAnsi="Times"/>
        </w:rPr>
      </w:pPr>
      <w:r w:rsidRPr="00C421E4">
        <w:rPr>
          <w:rFonts w:ascii="Times" w:hAnsi="Times"/>
        </w:rPr>
        <w:br w:type="page"/>
      </w:r>
    </w:p>
    <w:p w14:paraId="52582B90" w14:textId="77777777" w:rsidR="00F7044C" w:rsidRPr="00C421E4" w:rsidRDefault="00F7044C" w:rsidP="00F7044C">
      <w:pPr>
        <w:rPr>
          <w:rFonts w:ascii="Times" w:hAnsi="Times"/>
        </w:rPr>
      </w:pPr>
      <w:r w:rsidRPr="00C421E4">
        <w:rPr>
          <w:noProof/>
        </w:rPr>
        <w:lastRenderedPageBreak/>
        <w:drawing>
          <wp:inline distT="0" distB="0" distL="0" distR="0" wp14:anchorId="326CE95E" wp14:editId="17417CCA">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B8C10E7" w14:textId="77777777" w:rsidR="00F7044C" w:rsidRPr="00C421E4" w:rsidRDefault="00F7044C" w:rsidP="00F7044C">
      <w:pPr>
        <w:rPr>
          <w:rFonts w:ascii="Times" w:hAnsi="Times"/>
        </w:rPr>
      </w:pPr>
      <w:r w:rsidRPr="00C421E4">
        <w:rPr>
          <w:noProof/>
        </w:rPr>
        <w:drawing>
          <wp:inline distT="0" distB="0" distL="0" distR="0" wp14:anchorId="465D095B" wp14:editId="7A3CB5D5">
            <wp:extent cx="4572000" cy="27432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7711C5F" w14:textId="77777777" w:rsidR="00F7044C" w:rsidRPr="00C421E4" w:rsidRDefault="00F7044C" w:rsidP="00F7044C">
      <w:pPr>
        <w:outlineLvl w:val="0"/>
        <w:rPr>
          <w:rFonts w:ascii="Times" w:hAnsi="Times"/>
        </w:rPr>
      </w:pPr>
      <w:r>
        <w:rPr>
          <w:rFonts w:ascii="Times" w:hAnsi="Times"/>
        </w:rPr>
        <w:t>Figure 4</w:t>
      </w:r>
      <w:r w:rsidRPr="00C421E4">
        <w:rPr>
          <w:rFonts w:ascii="Times" w:hAnsi="Times"/>
        </w:rPr>
        <w:t xml:space="preserve">: Valence ratings by hour of testing. </w:t>
      </w:r>
      <w:r w:rsidRPr="00C421E4">
        <w:rPr>
          <w:rFonts w:ascii="Times" w:hAnsi="Times"/>
        </w:rPr>
        <w:br w:type="page"/>
      </w:r>
    </w:p>
    <w:p w14:paraId="795A5A06" w14:textId="77777777" w:rsidR="00F7044C" w:rsidRPr="00C421E4" w:rsidRDefault="00F7044C" w:rsidP="00F7044C">
      <w:pPr>
        <w:outlineLvl w:val="0"/>
        <w:rPr>
          <w:rFonts w:ascii="Times" w:hAnsi="Times"/>
        </w:rPr>
      </w:pPr>
      <w:r w:rsidRPr="00C421E4">
        <w:rPr>
          <w:noProof/>
        </w:rPr>
        <w:lastRenderedPageBreak/>
        <w:drawing>
          <wp:inline distT="0" distB="0" distL="0" distR="0" wp14:anchorId="06189B0D" wp14:editId="79010023">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A3C9F81" w14:textId="77777777" w:rsidR="00F7044C" w:rsidRPr="00C421E4" w:rsidRDefault="00F7044C" w:rsidP="00F7044C">
      <w:pPr>
        <w:outlineLvl w:val="0"/>
        <w:rPr>
          <w:rFonts w:ascii="Times" w:hAnsi="Times"/>
        </w:rPr>
      </w:pPr>
      <w:r w:rsidRPr="00C421E4">
        <w:rPr>
          <w:noProof/>
        </w:rPr>
        <w:drawing>
          <wp:inline distT="0" distB="0" distL="0" distR="0" wp14:anchorId="366F2452" wp14:editId="60D11CF4">
            <wp:extent cx="4572000" cy="27432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2BFCD24" w14:textId="77777777" w:rsidR="00F7044C" w:rsidRPr="00C421E4" w:rsidRDefault="00F7044C" w:rsidP="00F7044C">
      <w:pPr>
        <w:outlineLvl w:val="0"/>
        <w:rPr>
          <w:rFonts w:ascii="Times" w:hAnsi="Times"/>
        </w:rPr>
      </w:pPr>
      <w:r>
        <w:rPr>
          <w:rFonts w:ascii="Times" w:hAnsi="Times"/>
        </w:rPr>
        <w:t>Figure 5</w:t>
      </w:r>
      <w:r w:rsidRPr="00C421E4">
        <w:rPr>
          <w:rFonts w:ascii="Times" w:hAnsi="Times"/>
        </w:rPr>
        <w:t xml:space="preserve">: Arousal ratings by hour of testing. </w:t>
      </w:r>
      <w:r w:rsidRPr="00C421E4">
        <w:rPr>
          <w:rFonts w:ascii="Times" w:hAnsi="Times"/>
        </w:rPr>
        <w:br w:type="page"/>
      </w:r>
    </w:p>
    <w:p w14:paraId="332D972D" w14:textId="77777777" w:rsidR="00F7044C"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lastRenderedPageBreak/>
        <w:t>CHAPTER 5</w:t>
      </w:r>
    </w:p>
    <w:p w14:paraId="770D5C8E" w14:textId="77777777" w:rsidR="00F7044C" w:rsidRPr="00C421E4" w:rsidRDefault="00F7044C" w:rsidP="00F7044C">
      <w:pPr>
        <w:widowControl w:val="0"/>
        <w:autoSpaceDE w:val="0"/>
        <w:autoSpaceDN w:val="0"/>
        <w:adjustRightInd w:val="0"/>
        <w:spacing w:line="480" w:lineRule="auto"/>
        <w:jc w:val="center"/>
        <w:outlineLvl w:val="0"/>
        <w:rPr>
          <w:rFonts w:ascii="Times" w:hAnsi="Times"/>
          <w:b/>
        </w:rPr>
      </w:pPr>
      <w:r>
        <w:rPr>
          <w:rFonts w:ascii="Times" w:hAnsi="Times"/>
          <w:b/>
        </w:rPr>
        <w:t>GENERAL DISCUSSION</w:t>
      </w:r>
    </w:p>
    <w:p w14:paraId="56A4B12A" w14:textId="77777777" w:rsidR="00F7044C" w:rsidRPr="00C421E4" w:rsidRDefault="00F7044C" w:rsidP="00F7044C">
      <w:pPr>
        <w:widowControl w:val="0"/>
        <w:autoSpaceDE w:val="0"/>
        <w:autoSpaceDN w:val="0"/>
        <w:adjustRightInd w:val="0"/>
        <w:spacing w:line="480" w:lineRule="auto"/>
        <w:rPr>
          <w:rFonts w:ascii="Times" w:hAnsi="Times"/>
          <w:b/>
        </w:rPr>
      </w:pPr>
    </w:p>
    <w:p w14:paraId="072D8296" w14:textId="77777777" w:rsidR="00F7044C" w:rsidRPr="00E7732F" w:rsidRDefault="00F7044C" w:rsidP="00F7044C">
      <w:pPr>
        <w:widowControl w:val="0"/>
        <w:autoSpaceDE w:val="0"/>
        <w:autoSpaceDN w:val="0"/>
        <w:adjustRightInd w:val="0"/>
        <w:spacing w:line="480" w:lineRule="auto"/>
        <w:jc w:val="center"/>
        <w:outlineLvl w:val="0"/>
        <w:rPr>
          <w:rFonts w:ascii="Times" w:hAnsi="Times"/>
          <w:b/>
          <w:u w:val="single"/>
        </w:rPr>
      </w:pPr>
      <w:r>
        <w:rPr>
          <w:rFonts w:ascii="Times" w:hAnsi="Times"/>
          <w:b/>
          <w:u w:val="single"/>
        </w:rPr>
        <w:t xml:space="preserve">A. </w:t>
      </w:r>
      <w:r w:rsidRPr="00E7732F">
        <w:rPr>
          <w:rFonts w:ascii="Times" w:hAnsi="Times"/>
          <w:b/>
          <w:u w:val="single"/>
        </w:rPr>
        <w:t>Chronic mTBI</w:t>
      </w:r>
    </w:p>
    <w:p w14:paraId="77F75E4D" w14:textId="77777777" w:rsidR="00F7044C" w:rsidRPr="00C421E4" w:rsidRDefault="00F7044C" w:rsidP="00F7044C">
      <w:pPr>
        <w:spacing w:line="480" w:lineRule="auto"/>
        <w:rPr>
          <w:rFonts w:ascii="Times" w:hAnsi="Times"/>
        </w:rPr>
      </w:pPr>
      <w:r w:rsidRPr="00C421E4">
        <w:rPr>
          <w:rFonts w:ascii="Times" w:hAnsi="Times"/>
        </w:rPr>
        <w:t xml:space="preserve">mTBIs are pervasive: no age group, socioeconomic class, or gender is immune to suffering from an mTBI. In adolescents and young adults, sports-related concussions are common. With increasing participation in high school and collegiate sports, </w:t>
      </w:r>
      <w:r w:rsidRPr="00C421E4">
        <w:rPr>
          <w:rFonts w:ascii="Times" w:hAnsi="Times"/>
          <w:shd w:val="clear" w:color="auto" w:fill="FFFFFF"/>
        </w:rPr>
        <w:t xml:space="preserve">mTBI diagnoses in sports are estimated to increase by 15.5% annually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{"citationID":"2lj8d0mq6o","properties":{"formattedCitation":"(Lincoln et al., 2011)","plainCitation":"(Lincoln et al., 2011)"},"citationItems":[{"id":944,"uris":["http://zotero.org/users/4141602/items/TFHR7ARE"],"uri":["http://zotero.org/users/4141602/items/TFHR7ARE"],"itemData":{"id":944,"type":"article-journal","title":"Trends in concussion incidence in high school sports: a prospective 11-year study","container-title":"The American journal of sports medicine","page":"958-963","volume":"39","issue":"5","author":[{"family":"Lincoln","given":"Andrew E."},{"family":"Caswell","given":"Shane V."},{"family":"Almquist","given":"Jon L."},{"family":"Dunn","given":"Reginald E."},{"family":"Norris","given":"Joseph B."},{"family":"Hinton","given":"Richard Y."}],"issued":{"date-parts":[["2011"]]}}}],"schema":"https://github.com/citation-style-language/schema/raw/master/csl-citation.json"}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(Lincoln et al., 2011)</w:t>
      </w:r>
      <w:r w:rsidRPr="00C421E4">
        <w:rPr>
          <w:rFonts w:ascii="Times" w:hAnsi="Times"/>
          <w:shd w:val="clear" w:color="auto" w:fill="FFFFFF"/>
        </w:rPr>
        <w:fldChar w:fldCharType="end"/>
      </w:r>
      <w:r w:rsidRPr="00C421E4">
        <w:rPr>
          <w:rFonts w:ascii="Times" w:hAnsi="Times"/>
          <w:shd w:val="clear" w:color="auto" w:fill="FFFFFF"/>
        </w:rPr>
        <w:t>. In active duty soldiers, mTBIs are even more prevalent. It is estimated that u</w:t>
      </w:r>
      <w:r w:rsidRPr="00C421E4">
        <w:rPr>
          <w:rFonts w:ascii="Times" w:hAnsi="Times"/>
        </w:rPr>
        <w:t xml:space="preserve">p to 40% of all active duty soldiers from Operation Enduring Freedom/Operation Iraqi Freedom have or will sustain at least one mTBI while on active duty </w:t>
      </w:r>
      <w:r w:rsidRPr="00C421E4">
        <w:rPr>
          <w:rFonts w:ascii="Times" w:hAnsi="Times"/>
        </w:rPr>
        <w:fldChar w:fldCharType="begin"/>
      </w:r>
      <w:r w:rsidRPr="00C421E4">
        <w:rPr>
          <w:rFonts w:ascii="Times" w:hAnsi="Times"/>
        </w:rPr>
        <w:instrText xml:space="preserve"> ADDIN ZOTERO_ITEM CSL_CITATION {"citationID":"1t7rscsg9m","properties":{"formattedCitation":"(Hoge et al., 2008; Terrio et al., 2009)","plainCitation":"(Hoge et al., 2008; Terrio et al., 2009)"},"citationItems":[{"id":945,"uris":["http://zotero.org/users/4141602/items/429SRTJF"],"uri":["http://zotero.org/users/4141602/items/429SRTJF"],"itemData":{"id":945,"type":"article-journal","title":"Mild traumatic brain injury in US soldiers returning from Iraq","container-title":"New England journal of medicine","page":"453-463","volume":"358","issue":"5","author":[{"family":"Hoge","given":"Charles W."},{"family":"McGurk","given":"Dennis"},{"family":"Thomas","given":"Jeffrey L."},{"family":"Cox","given":"Anthony L."},{"family":"Engel","given":"Charles C."},{"family":"Castro","given":"Carl A."}],"issued":{"date-parts":[["2008"]]}}},{"id":946,"uris":["http://zotero.org/users/4141602/items/6XKVXFW9"],"uri":["http://zotero.org/users/4141602/items/6XKVXFW9"],"itemData":{"id":946,"type":"article-journal","title":"Traumatic brain injury screening: preliminary findings in a US Army Brigade Combat Team","container-title":"The Journal of head trauma rehabilitation","page":"14-23","volume":"24","issue":"1","author":[{"family":"Terrio","given":"Heidi"},{"family":"Brenner","given":"Lisa A."},{"family":"Ivins","given":"Brian J."},{"family":"Cho","given":"John M."},{"family":"Helmick","given":"Katherine"},{"family":"Schwab","given":"Karen"},{"family":"Scally","given":"Katherine"},{"family":"Bretthauer","given":"Rick"},{"family":"Warden","given":"Deborah"}],"issued":{"date-parts":[["2009"]]}}}],"schema":"https://github.com/citation-style-language/schema/raw/master/csl-citation.json"} </w:instrText>
      </w:r>
      <w:r w:rsidRPr="00C421E4">
        <w:rPr>
          <w:rFonts w:ascii="Times" w:hAnsi="Times"/>
        </w:rPr>
        <w:fldChar w:fldCharType="separate"/>
      </w:r>
      <w:r w:rsidRPr="00C421E4">
        <w:rPr>
          <w:rFonts w:ascii="Times" w:hAnsi="Times"/>
          <w:noProof/>
        </w:rPr>
        <w:t>(Hoge et al., 2008; Terrio et al., 2009)</w:t>
      </w:r>
      <w:r w:rsidRPr="00C421E4">
        <w:rPr>
          <w:rFonts w:ascii="Times" w:hAnsi="Times"/>
        </w:rPr>
        <w:fldChar w:fldCharType="end"/>
      </w:r>
      <w:r w:rsidRPr="00C421E4">
        <w:rPr>
          <w:rFonts w:ascii="Times" w:hAnsi="Times"/>
        </w:rPr>
        <w:t>. With the increase in sports participation, and with continued deployment of US soldiers, there is a large cohort of young adults who are at a high risk of sustaining an mTBI. Although the immediate, transient effects of mTBI (e.g., dizziness, headache) are well-established, less is known about the chronic, permanent effects of mTBI.</w:t>
      </w:r>
    </w:p>
    <w:p w14:paraId="67E99772" w14:textId="77777777" w:rsidR="00F7044C" w:rsidRPr="00C421E4" w:rsidRDefault="00F7044C" w:rsidP="00F7044C">
      <w:pPr>
        <w:spacing w:line="480" w:lineRule="auto"/>
        <w:rPr>
          <w:rFonts w:ascii="Times" w:hAnsi="Times"/>
        </w:rPr>
      </w:pPr>
    </w:p>
    <w:p w14:paraId="0763EAC7" w14:textId="77777777" w:rsidR="00F7044C" w:rsidRPr="00C421E4" w:rsidRDefault="00F7044C" w:rsidP="00F7044C">
      <w:pPr>
        <w:spacing w:line="480" w:lineRule="auto"/>
        <w:rPr>
          <w:rFonts w:ascii="Times" w:hAnsi="Times"/>
          <w:shd w:val="clear" w:color="auto" w:fill="FFFFFF"/>
        </w:rPr>
      </w:pPr>
      <w:r w:rsidRPr="00C421E4">
        <w:rPr>
          <w:rFonts w:ascii="Times" w:hAnsi="Times"/>
        </w:rPr>
        <w:t xml:space="preserve">Yet work on chronic mTBI is critical. When mTBI sufferers resume normal activities (e.g., re-immerse in college classes, return to work, resume life following combat), symptoms that were thought to have resolved – and that may impact quality of life and functionality – may re-emerge for a minority of persons. Identifying emotional sequelae of mTBI, and identifying who continues to have post-concussive symptoms, can provide insight into the long-term effects that these individuals may have in the chronic stages of mTBI. </w:t>
      </w:r>
      <w:r w:rsidRPr="00C421E4">
        <w:rPr>
          <w:rFonts w:ascii="Times" w:hAnsi="Times"/>
          <w:shd w:val="clear" w:color="auto" w:fill="FFFFFF"/>
        </w:rPr>
        <w:t xml:space="preserve">Importantly, there are no clear injury characteristics (e.g., length of loss of </w:t>
      </w:r>
      <w:r w:rsidRPr="00C421E4">
        <w:rPr>
          <w:rFonts w:ascii="Times" w:hAnsi="Times"/>
          <w:shd w:val="clear" w:color="auto" w:fill="FFFFFF"/>
        </w:rPr>
        <w:lastRenderedPageBreak/>
        <w:t>consciousness, severity of post-traumatic amnesia) that predict who will recover normally and who will have prolonged recovery. By characterizing long-term mTBI-induced behavioral differences (and their potential mental health consequences), we can retroactively assess whether any of these injury characteristics predict the outcome.</w:t>
      </w:r>
    </w:p>
    <w:p w14:paraId="1F327929" w14:textId="77777777" w:rsidR="00F7044C" w:rsidRPr="00C421E4" w:rsidRDefault="00F7044C" w:rsidP="00F7044C">
      <w:pPr>
        <w:spacing w:line="480" w:lineRule="auto"/>
        <w:rPr>
          <w:rFonts w:ascii="Times" w:hAnsi="Times"/>
          <w:shd w:val="clear" w:color="auto" w:fill="FFFFFF"/>
        </w:rPr>
      </w:pPr>
    </w:p>
    <w:p w14:paraId="6E5EDB74"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 xml:space="preserve">Characterizing the outcomes of chronic mTBI may also clarify the effects of comorbidities. For instance, it can be difficult to distinguish the effects of mTBI from PTSD, because both injuries share common symptoms (e.g., depression/anxiety, irritability, fatigue;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{"citationID":"uefkipbdg","properties":{"formattedCitation":"(Stein &amp; McAllister, 2009)","plainCitation":"(Stein &amp; McAllister, 2009)"},"citationItems":[{"id":947,"uris":["http://zotero.org/users/4141602/items/CDIPZ4SN"],"uri":["http://zotero.org/users/4141602/items/CDIPZ4SN"],"itemData":{"id":947,"type":"article-journal","title":"Exploring the convergence of posttraumatic stress disorder and mild traumatic brain injury","container-title":"American Journal of Psychiatry","page":"768-776","volume":"166","issue":"7","author":[{"family":"Stein","given":"Murray B."},{"family":"McAllister","given":"Thomas W."}],"issued":{"date-parts":[["2009"]]}}}],"schema":"https://github.com/citation-style-language/schema/raw/master/csl-citation.json"}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Stein &amp; McAllister, 2009)</w:t>
      </w:r>
      <w:r w:rsidRPr="00C421E4">
        <w:rPr>
          <w:rFonts w:ascii="Times" w:hAnsi="Times"/>
          <w:shd w:val="clear" w:color="auto" w:fill="FFFFFF"/>
        </w:rPr>
        <w:fldChar w:fldCharType="end"/>
      </w:r>
      <w:r w:rsidRPr="00C421E4">
        <w:rPr>
          <w:rFonts w:ascii="Times" w:hAnsi="Times"/>
          <w:shd w:val="clear" w:color="auto" w:fill="FFFFFF"/>
        </w:rPr>
        <w:t xml:space="preserve">. Furthermore, it is difficult to determine the appropriate treatment course given that these disorders have similar presentations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{"citationID":"2fpaoa1mne","properties":{"formattedCitation":"(Vasterling, Verfaellie, &amp; Sullivan, 2009)","plainCitation":"(Vasterling, Verfaellie, &amp; Sullivan, 2009)"},"citationItems":[{"id":948,"uris":["http://zotero.org/users/4141602/items/BG7KHC5M"],"uri":["http://zotero.org/users/4141602/items/BG7KHC5M"],"itemData":{"id":948,"type":"article-journal","title":"Mild traumatic brain injury and posttraumatic stress disorder in returning veterans: perspectives from cognitive neuroscience","container-title":"Clinical psychology review","page":"674-684","volume":"29","issue":"8","author":[{"family":"Vasterling","given":"Jennifer J."},{"family":"Verfaellie","given":"Mieke"},{"family":"Sullivan","given":"Karen D."}],"issued":{"date-parts":[["2009"]]}}}],"schema":"https://github.com/citation-style-language/schema/raw/master/csl-citation.json"}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(Vasterling, Verfaellie, &amp; Sullivan, 2009)</w:t>
      </w:r>
      <w:r w:rsidRPr="00C421E4">
        <w:rPr>
          <w:rFonts w:ascii="Times" w:hAnsi="Times"/>
          <w:shd w:val="clear" w:color="auto" w:fill="FFFFFF"/>
        </w:rPr>
        <w:fldChar w:fldCharType="end"/>
      </w:r>
      <w:r w:rsidRPr="00C421E4">
        <w:rPr>
          <w:rFonts w:ascii="Times" w:hAnsi="Times"/>
          <w:shd w:val="clear" w:color="auto" w:fill="FFFFFF"/>
        </w:rPr>
        <w:t xml:space="preserve">. In a pilot study of Cognitive Processing Therapy (a common treatment for individuals with PTSD), treatment completion rate was lower in individuals with PTSD and chronic mTBI than those with only PTSD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{"citationID":"1r25u0sg6k","properties":{"formattedCitation":"(Davis, Walter, Chard, Parkinson, &amp; Houston, 2013)","plainCitation":"(Davis, Walter, Chard, Parkinson, &amp; Houston, 2013)"},"citationItems":[{"id":982,"uris":["http://zotero.org/users/4141602/items/49GBGZRP"],"uri":["http://zotero.org/users/4141602/items/49GBGZRP"],"itemData":{"id":982,"type":"article-journal","title":"Treatment adherence in cognitive processing therapy for combat-related PTSD with history of mild TBI.","container-title":"Rehabilitation psychology","page":"36","volume":"58","issue":"1","author":[{"family":"Davis","given":"Jeremy J."},{"family":"Walter","given":"Kristen H."},{"family":"Chard","given":"Kathleen M."},{"family":"Parkinson","given":"R. Bruce"},{"family":"Houston","given":"Wes S."}],"issued":{"date-parts":[["2013"]]}}}],"schema":"https://github.com/citation-style-language/schema/raw/master/csl-citation.json"}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(Davis, Walter, Chard, Parkinson, &amp; Houston, 2013)</w:t>
      </w:r>
      <w:r w:rsidRPr="00C421E4">
        <w:rPr>
          <w:rFonts w:ascii="Times" w:hAnsi="Times"/>
          <w:shd w:val="clear" w:color="auto" w:fill="FFFFFF"/>
        </w:rPr>
        <w:fldChar w:fldCharType="end"/>
      </w:r>
      <w:r w:rsidRPr="00C421E4">
        <w:rPr>
          <w:rFonts w:ascii="Times" w:hAnsi="Times"/>
          <w:shd w:val="clear" w:color="auto" w:fill="FFFFFF"/>
        </w:rPr>
        <w:t xml:space="preserve">, suggesting certain features of chronic mTBI may be incompatible with specific clinical treatments. Given this, identifying the emotional sequelae associated with chronic mTBI (in isolation) lays the groundwork for future studies in which mTBI and other diagnoses overlap. </w:t>
      </w:r>
    </w:p>
    <w:p w14:paraId="4815EEDF" w14:textId="77777777" w:rsidR="00F7044C" w:rsidRPr="00C421E4" w:rsidRDefault="00F7044C" w:rsidP="00F7044C">
      <w:pPr>
        <w:widowControl w:val="0"/>
        <w:autoSpaceDE w:val="0"/>
        <w:autoSpaceDN w:val="0"/>
        <w:adjustRightInd w:val="0"/>
        <w:spacing w:line="480" w:lineRule="auto"/>
        <w:rPr>
          <w:rFonts w:ascii="Times" w:hAnsi="Times"/>
          <w:b/>
        </w:rPr>
      </w:pPr>
    </w:p>
    <w:p w14:paraId="0C79B310" w14:textId="77777777" w:rsidR="00F7044C" w:rsidRPr="00E7732F" w:rsidRDefault="00F7044C" w:rsidP="00F7044C">
      <w:pPr>
        <w:widowControl w:val="0"/>
        <w:autoSpaceDE w:val="0"/>
        <w:autoSpaceDN w:val="0"/>
        <w:adjustRightInd w:val="0"/>
        <w:spacing w:line="480" w:lineRule="auto"/>
        <w:jc w:val="center"/>
        <w:outlineLvl w:val="0"/>
        <w:rPr>
          <w:rFonts w:ascii="Times" w:hAnsi="Times"/>
          <w:b/>
          <w:u w:val="single"/>
        </w:rPr>
      </w:pPr>
      <w:r>
        <w:rPr>
          <w:rFonts w:ascii="Times" w:hAnsi="Times"/>
          <w:b/>
          <w:u w:val="single"/>
        </w:rPr>
        <w:t xml:space="preserve">B. </w:t>
      </w:r>
      <w:r w:rsidRPr="00E7732F">
        <w:rPr>
          <w:rFonts w:ascii="Times" w:hAnsi="Times"/>
          <w:b/>
          <w:u w:val="single"/>
        </w:rPr>
        <w:t>The Current Work</w:t>
      </w:r>
    </w:p>
    <w:p w14:paraId="33D71C51"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Given the points outlined above, I focused my dissertation on a chronic mTBI population. These chapters focus on three distinct categories of sequelae associated with mTBI: sleep, cognition, and emotion. Specifically, in the three chapters in this dissertation, we have explored both sleep- and wake-dependent processes in chronic mTBI. In the first </w:t>
      </w:r>
      <w:r w:rsidRPr="00C421E4">
        <w:rPr>
          <w:rFonts w:ascii="Times" w:hAnsi="Times"/>
        </w:rPr>
        <w:lastRenderedPageBreak/>
        <w:t>project (</w:t>
      </w:r>
      <w:r w:rsidRPr="00C421E4">
        <w:rPr>
          <w:rFonts w:ascii="Times" w:hAnsi="Times"/>
          <w:b/>
        </w:rPr>
        <w:t>Study 1</w:t>
      </w:r>
      <w:r w:rsidRPr="00C421E4">
        <w:rPr>
          <w:rFonts w:ascii="Times" w:hAnsi="Times"/>
        </w:rPr>
        <w:t>), we did not detect abnormalities in sleep-dependent memory consolidation of stimuli with neutral emotional valence in a chronic mTBI sample relative to controls. Interestingly, consolidation was preserved in this population, even though sleep architecture was altered. In the second project (</w:t>
      </w:r>
      <w:r w:rsidRPr="00C421E4">
        <w:rPr>
          <w:rFonts w:ascii="Times" w:hAnsi="Times"/>
          <w:b/>
        </w:rPr>
        <w:t>Study 2</w:t>
      </w:r>
      <w:r w:rsidRPr="00C421E4">
        <w:rPr>
          <w:rFonts w:ascii="Times" w:hAnsi="Times"/>
        </w:rPr>
        <w:t xml:space="preserve">), we detected irregularities in sleep-dependent memory consolidation in the mTBI sample. These irregularities were only present for consolidation of emotional stimuli, not neutral stimuli. Additionally, wake-dependent consolidation in the mTBI group was unexpectedly superior relative to controls, suggesting the mTBI group had both shortcomings and enhancements relative to uninjured controls. We also found differences in wake-dependent emotion habituation, such that the mTBI group seemed to habituate to emotional stimuli less than controls. However, in </w:t>
      </w:r>
      <w:r w:rsidRPr="00C421E4">
        <w:rPr>
          <w:rFonts w:ascii="Times" w:hAnsi="Times"/>
          <w:b/>
        </w:rPr>
        <w:t>Study 3</w:t>
      </w:r>
      <w:r w:rsidRPr="00C421E4">
        <w:rPr>
          <w:rFonts w:ascii="Times" w:hAnsi="Times"/>
        </w:rPr>
        <w:t xml:space="preserve">, when attempting to replicate the habituation results with a more targeted experimental paradigm, we found opposing findings. </w:t>
      </w:r>
    </w:p>
    <w:p w14:paraId="5E662F68" w14:textId="77777777" w:rsidR="00F7044C" w:rsidRPr="00C421E4" w:rsidRDefault="00F7044C" w:rsidP="00F7044C">
      <w:pPr>
        <w:widowControl w:val="0"/>
        <w:autoSpaceDE w:val="0"/>
        <w:autoSpaceDN w:val="0"/>
        <w:adjustRightInd w:val="0"/>
        <w:spacing w:line="480" w:lineRule="auto"/>
        <w:rPr>
          <w:rFonts w:ascii="Times" w:hAnsi="Times"/>
        </w:rPr>
      </w:pPr>
    </w:p>
    <w:p w14:paraId="11359CC6" w14:textId="77777777" w:rsidR="00F7044C" w:rsidRPr="00C421E4" w:rsidRDefault="00F7044C" w:rsidP="00F7044C">
      <w:pPr>
        <w:widowControl w:val="0"/>
        <w:autoSpaceDE w:val="0"/>
        <w:autoSpaceDN w:val="0"/>
        <w:adjustRightInd w:val="0"/>
        <w:spacing w:line="480" w:lineRule="auto"/>
        <w:rPr>
          <w:rFonts w:ascii="Times" w:hAnsi="Times"/>
        </w:rPr>
      </w:pPr>
      <w:r w:rsidRPr="00C421E4">
        <w:rPr>
          <w:rFonts w:ascii="Times" w:hAnsi="Times"/>
        </w:rPr>
        <w:t xml:space="preserve">Importantly, we have not yet identified specific mechanisms that increase the risk for mood disturbances. In </w:t>
      </w:r>
      <w:r w:rsidRPr="00C421E4">
        <w:rPr>
          <w:rFonts w:ascii="Times" w:hAnsi="Times"/>
          <w:b/>
        </w:rPr>
        <w:t>Study 2</w:t>
      </w:r>
      <w:r w:rsidRPr="00C421E4">
        <w:rPr>
          <w:rFonts w:ascii="Times" w:hAnsi="Times"/>
        </w:rPr>
        <w:t xml:space="preserve">, although sleep- and wake-dependent irregularities were identified, we did not probe mood symptomology, so we are not aware of whether the identified irregularities are maladaptive or benign. Furthermore, in </w:t>
      </w:r>
      <w:r w:rsidRPr="00C421E4">
        <w:rPr>
          <w:rFonts w:ascii="Times" w:hAnsi="Times"/>
          <w:b/>
        </w:rPr>
        <w:t>Study 3</w:t>
      </w:r>
      <w:r w:rsidRPr="00C421E4">
        <w:rPr>
          <w:rFonts w:ascii="Times" w:hAnsi="Times"/>
        </w:rPr>
        <w:t xml:space="preserve">, although we identified behavioral habituation differences between groups, group differences were not predictive of mood symptomatology (although, in the combined sample, arousal reactivity and Zygomaticus habituation were predictive of symptomatology). In future work, we aim to continue probing the relationship between the alterations in sleep- and wake-dependent processing and how these may impact mood disturbances in chronic </w:t>
      </w:r>
      <w:r w:rsidRPr="00C421E4">
        <w:rPr>
          <w:rFonts w:ascii="Times" w:hAnsi="Times"/>
        </w:rPr>
        <w:lastRenderedPageBreak/>
        <w:t>mTBI populations. However, in order to gain more clarity about individuals who have ongoing effects of mTBI, participants with mTBI-related complaints will be specifically recruited in addition to participants who have no ongoing mTBI-related complaints.</w:t>
      </w:r>
    </w:p>
    <w:p w14:paraId="50CC124C" w14:textId="77777777" w:rsidR="00F7044C" w:rsidRPr="00C421E4" w:rsidRDefault="00F7044C" w:rsidP="00F7044C">
      <w:pPr>
        <w:widowControl w:val="0"/>
        <w:autoSpaceDE w:val="0"/>
        <w:autoSpaceDN w:val="0"/>
        <w:adjustRightInd w:val="0"/>
        <w:spacing w:line="480" w:lineRule="auto"/>
        <w:rPr>
          <w:rFonts w:ascii="Times" w:hAnsi="Times"/>
        </w:rPr>
      </w:pPr>
    </w:p>
    <w:p w14:paraId="3FE6DA8E" w14:textId="77777777" w:rsidR="00F7044C" w:rsidRPr="00E7732F" w:rsidRDefault="00F7044C" w:rsidP="00F7044C">
      <w:pPr>
        <w:widowControl w:val="0"/>
        <w:autoSpaceDE w:val="0"/>
        <w:autoSpaceDN w:val="0"/>
        <w:adjustRightInd w:val="0"/>
        <w:spacing w:line="480" w:lineRule="auto"/>
        <w:jc w:val="center"/>
        <w:outlineLvl w:val="0"/>
        <w:rPr>
          <w:rFonts w:ascii="Times" w:hAnsi="Times"/>
          <w:b/>
          <w:u w:val="single"/>
        </w:rPr>
      </w:pPr>
      <w:r>
        <w:rPr>
          <w:rFonts w:ascii="Times" w:hAnsi="Times"/>
          <w:b/>
          <w:u w:val="single"/>
        </w:rPr>
        <w:t xml:space="preserve">C. </w:t>
      </w:r>
      <w:r w:rsidRPr="00E7732F">
        <w:rPr>
          <w:rFonts w:ascii="Times" w:hAnsi="Times"/>
          <w:b/>
          <w:u w:val="single"/>
        </w:rPr>
        <w:t>Miserable Minority</w:t>
      </w:r>
    </w:p>
    <w:p w14:paraId="165B5779" w14:textId="77777777" w:rsidR="00F7044C" w:rsidRPr="00C421E4" w:rsidRDefault="00F7044C" w:rsidP="00F7044C">
      <w:pPr>
        <w:spacing w:after="160" w:line="480" w:lineRule="auto"/>
        <w:rPr>
          <w:rFonts w:ascii="Times" w:hAnsi="Times"/>
        </w:rPr>
      </w:pPr>
      <w:r w:rsidRPr="00C421E4">
        <w:rPr>
          <w:rFonts w:ascii="Times" w:hAnsi="Times"/>
        </w:rPr>
        <w:t xml:space="preserve">In the mTBI field, it is still debated whether mTBI causes long-term deficits </w:t>
      </w:r>
      <w:r w:rsidRPr="00C421E4">
        <w:rPr>
          <w:rFonts w:ascii="Times" w:hAnsi="Times"/>
        </w:rPr>
        <w:fldChar w:fldCharType="begin"/>
      </w:r>
      <w:r w:rsidRPr="00C421E4">
        <w:rPr>
          <w:rFonts w:ascii="Times" w:hAnsi="Times"/>
        </w:rPr>
        <w:instrText xml:space="preserve"> ADDIN ZOTERO_ITEM CSL_CITATION {"citationID":"iamoc5hv4","properties":{"formattedCitation":"(Ronald M. Ruff, 2011)","plainCitation":"(Ronald M. Ruff, 2011)"},"citationItems":[{"id":943,"uris":["http://zotero.org/users/4141602/items/8ABZTAAT"],"uri":["http://zotero.org/users/4141602/items/8ABZTAAT"],"itemData":{"id":943,"type":"article-journal","title":"Mild traumatic brain injury and neural recovery: rethinking the debate","container-title":"NeuroRehabilitation","page":"167-180","volume":"28","issue":"3","author":[{"family":"Ruff","given":"Ronald M."}],"issued":{"date-parts":[["2011"]]}}}],"schema":"https://github.com/citation-style-language/schema/raw/master/csl-citation.json"} </w:instrText>
      </w:r>
      <w:r w:rsidRPr="00C421E4">
        <w:rPr>
          <w:rFonts w:ascii="Times" w:hAnsi="Times"/>
        </w:rPr>
        <w:fldChar w:fldCharType="separate"/>
      </w:r>
      <w:r w:rsidRPr="00C421E4">
        <w:rPr>
          <w:rFonts w:ascii="Times" w:hAnsi="Times"/>
          <w:noProof/>
        </w:rPr>
        <w:t>(Ruff, 2011)</w:t>
      </w:r>
      <w:r w:rsidRPr="00C421E4">
        <w:rPr>
          <w:rFonts w:ascii="Times" w:hAnsi="Times"/>
        </w:rPr>
        <w:fldChar w:fldCharType="end"/>
      </w:r>
      <w:r w:rsidRPr="00C421E4">
        <w:rPr>
          <w:rFonts w:ascii="Times" w:hAnsi="Times"/>
        </w:rPr>
        <w:t xml:space="preserve">. A meta-analysis found that although there are cognitive difficulties that occur immediately after mTBI, there is little effect on cognition 7 days after injury </w:t>
      </w:r>
      <w:r w:rsidRPr="00C421E4">
        <w:rPr>
          <w:rFonts w:ascii="Times" w:hAnsi="Times"/>
        </w:rPr>
        <w:fldChar w:fldCharType="begin"/>
      </w:r>
      <w:r w:rsidRPr="00C421E4">
        <w:rPr>
          <w:rFonts w:ascii="Times" w:hAnsi="Times"/>
        </w:rPr>
        <w:instrText xml:space="preserve"> ADDIN ZOTERO_ITEM CSL_CITATION {"citationID":"okvecfebl","properties":{"formattedCitation":"(Belanger &amp; Vanderploeg, 2005b)","plainCitation":"(Belanger &amp; Vanderploeg, 2005b)"},"citationItems":[{"id":149,"uris":["http://zotero.org/users/4141602/items/IXNIMFWN"],"uri":["http://zotero.org/users/4141602/items/IXNIMFWN"],"itemData":{"id":149,"type":"article-journal","title":"The neuropsychological impact of sports-related concussion: A meta-analysis.","container-title":"Journal of the International Neuropsychological Society","page":"345-357","volume":"11","issue":"04","abstract":"There is increasing interest in the potential neuropsychological impact of sports-related concussion. A meta-analysis of the relevant literature was conducted to determine the impact of sports-related concussion across six cognitive domains. The analysis was based on 21 studies involving 790 cases of concussion and 2014 control cases. The overall effect of concussion (d = 0.49) was comparable to the effect found in the non-sports-related mild traumatic brain injury population (d = 0.54; Belanger et al., 2005). Using sports-concussed participants with a history of prior head injury appears to inflate the effect sizes associated with the current sports-related concussion. Acute effects (within 24 hr of injury) of concussion were greatest for delayed memory, memory acquisition, and global cognitive functioning (d = 1.00, 1.03, and 1.42, respectively). However, no residual neuropsychological impairments were found when testing was completed beyond 7 days postinjury. These findings were moderated by cognitive domain and comparison group (control group versus preconcussion self-control). Specifically, delayed memory in studies utilizing a control group remained problematic at 7 days. The implications and limitations of these findings are discussed.","DOI":"10.1017/S1355617705050411","ISSN":"1355-6177 (Print)\\n1355-6177 (Linking)","author":[{"family":"Belanger","given":"Heather G"},{"family":"Vanderploeg","given":"Rodney D"}],"issued":{"date-parts":[["2005"]]}}}],"schema":"https://github.com/citation-style-language/schema/raw/master/csl-citation.json"} </w:instrText>
      </w:r>
      <w:r w:rsidRPr="00C421E4">
        <w:rPr>
          <w:rFonts w:ascii="Times" w:hAnsi="Times"/>
        </w:rPr>
        <w:fldChar w:fldCharType="separate"/>
      </w:r>
      <w:r w:rsidRPr="00C421E4">
        <w:rPr>
          <w:rFonts w:ascii="Times" w:hAnsi="Times"/>
          <w:noProof/>
        </w:rPr>
        <w:t>(Belanger &amp; Vanderploeg, 2005)</w:t>
      </w:r>
      <w:r w:rsidRPr="00C421E4">
        <w:rPr>
          <w:rFonts w:ascii="Times" w:hAnsi="Times"/>
        </w:rPr>
        <w:fldChar w:fldCharType="end"/>
      </w:r>
      <w:r w:rsidRPr="00C421E4">
        <w:rPr>
          <w:rFonts w:ascii="Times" w:hAnsi="Times"/>
        </w:rPr>
        <w:t xml:space="preserve">. However, others argue that these meta-analyses hide the subset of individuals who still suffer as a result of mTBI </w:t>
      </w:r>
      <w:r w:rsidRPr="00C421E4">
        <w:rPr>
          <w:rFonts w:ascii="Times" w:hAnsi="Times"/>
        </w:rPr>
        <w:fldChar w:fldCharType="begin"/>
      </w:r>
      <w:r w:rsidRPr="00C421E4">
        <w:rPr>
          <w:rFonts w:ascii="Times" w:hAnsi="Times"/>
        </w:rPr>
        <w:instrText xml:space="preserve"> ADDIN ZOTERO_ITEM CSL_CITATION {"citationID":"1gb0pe63rv","properties":{"formattedCitation":"(Rohling, Larrabee, &amp; Millis, 2012)","plainCitation":"(Rohling, Larrabee, &amp; Millis, 2012)"},"citationItems":[{"id":941,"uris":["http://zotero.org/users/4141602/items/ADG9KAQJ"],"uri":["http://zotero.org/users/4141602/items/ADG9KAQJ"],"itemData":{"id":941,"type":"article-journal","title":"The “Miserable Minority” following mild traumatic brain injury: Who are they and do meta-analyses hide them?","container-title":"The Clinical Neuropsychologist","page":"197-213","volume":"26","issue":"2","author":[{"family":"Rohling","given":"Martin L."},{"family":"Larrabee","given":"Glenn J."},{"family":"Millis","given":"Scott R."}],"issued":{"date-parts":[["2012"]]}}}],"schema":"https://github.com/citation-style-language/schema/raw/master/csl-citation.json"} </w:instrText>
      </w:r>
      <w:r w:rsidRPr="00C421E4">
        <w:rPr>
          <w:rFonts w:ascii="Times" w:hAnsi="Times"/>
        </w:rPr>
        <w:fldChar w:fldCharType="separate"/>
      </w:r>
      <w:r w:rsidRPr="00C421E4">
        <w:rPr>
          <w:rFonts w:ascii="Times" w:hAnsi="Times"/>
          <w:noProof/>
        </w:rPr>
        <w:t>(Rohling, Larrabee, &amp; Millis, 2012)</w:t>
      </w:r>
      <w:r w:rsidRPr="00C421E4">
        <w:rPr>
          <w:rFonts w:ascii="Times" w:hAnsi="Times"/>
        </w:rPr>
        <w:fldChar w:fldCharType="end"/>
      </w:r>
      <w:r w:rsidRPr="00C421E4">
        <w:rPr>
          <w:rFonts w:ascii="Times" w:hAnsi="Times"/>
        </w:rPr>
        <w:t xml:space="preserve">. Anecdotally, it is clear that a subset of mTBI suffers </w:t>
      </w:r>
      <w:r w:rsidRPr="00C421E4">
        <w:rPr>
          <w:rFonts w:ascii="Times" w:hAnsi="Times"/>
          <w:i/>
        </w:rPr>
        <w:t>believe</w:t>
      </w:r>
      <w:r w:rsidRPr="00C421E4">
        <w:rPr>
          <w:rFonts w:ascii="Times" w:hAnsi="Times"/>
        </w:rPr>
        <w:t xml:space="preserve"> they have long-term deficits as a result of their injury, leading researchers to attempt to identify and quantify these deficits. The work presented in this dissertation aimed to identify these factors as well. </w:t>
      </w:r>
    </w:p>
    <w:p w14:paraId="49378749" w14:textId="77777777" w:rsidR="00F7044C" w:rsidRPr="00C421E4" w:rsidRDefault="00F7044C" w:rsidP="00F7044C">
      <w:pPr>
        <w:spacing w:after="160" w:line="480" w:lineRule="auto"/>
        <w:rPr>
          <w:rFonts w:ascii="Times" w:hAnsi="Times"/>
        </w:rPr>
      </w:pPr>
    </w:p>
    <w:p w14:paraId="724DDC8D" w14:textId="77777777" w:rsidR="00F7044C" w:rsidRPr="00C421E4" w:rsidRDefault="00F7044C" w:rsidP="00F7044C">
      <w:pPr>
        <w:spacing w:after="160" w:line="480" w:lineRule="auto"/>
        <w:rPr>
          <w:rFonts w:ascii="Times" w:hAnsi="Times"/>
        </w:rPr>
      </w:pPr>
      <w:r w:rsidRPr="00C421E4">
        <w:rPr>
          <w:rFonts w:ascii="Times" w:hAnsi="Times"/>
        </w:rPr>
        <w:t xml:space="preserve">In Study 3, we found that when mTBI participants are divided by ongoing post-concussive complaints, the subset with the most complaints had significantly higher levels of depression, anxiety, and PTSD symptomatology. However, although this mTBI subgroup, by definition, reported more symptoms than the low-complaining mTBI subgroup, we were not able to detect clear behavioral or emotional differences between the mTBI subgroup and the non-TBI group with our measures. A lack of differences between groups suggests that although the MM group continues to have ongoing complaints, they do not show behavioral differences from a general population. </w:t>
      </w:r>
      <w:r w:rsidRPr="00C421E4">
        <w:rPr>
          <w:rFonts w:ascii="Times" w:hAnsi="Times"/>
        </w:rPr>
        <w:lastRenderedPageBreak/>
        <w:t xml:space="preserve">Therefore, based on these data and neurocognitive data discussed above, we conclude that this mTBI group is relatively unimpaired overall. </w:t>
      </w:r>
    </w:p>
    <w:p w14:paraId="3012EFAE" w14:textId="77777777" w:rsidR="00F7044C" w:rsidRPr="00C421E4" w:rsidRDefault="00F7044C" w:rsidP="00F7044C">
      <w:pPr>
        <w:widowControl w:val="0"/>
        <w:autoSpaceDE w:val="0"/>
        <w:autoSpaceDN w:val="0"/>
        <w:adjustRightInd w:val="0"/>
        <w:spacing w:line="480" w:lineRule="auto"/>
        <w:rPr>
          <w:rFonts w:ascii="Times" w:hAnsi="Times"/>
        </w:rPr>
      </w:pPr>
    </w:p>
    <w:p w14:paraId="6181B3C3" w14:textId="77777777" w:rsidR="00F7044C" w:rsidRPr="00E7732F" w:rsidRDefault="00F7044C" w:rsidP="00F7044C">
      <w:pPr>
        <w:spacing w:line="480" w:lineRule="auto"/>
        <w:jc w:val="center"/>
        <w:outlineLvl w:val="0"/>
        <w:rPr>
          <w:rFonts w:ascii="Times" w:hAnsi="Times"/>
          <w:b/>
          <w:u w:val="single"/>
        </w:rPr>
      </w:pPr>
      <w:r>
        <w:rPr>
          <w:rFonts w:ascii="Times" w:hAnsi="Times"/>
          <w:b/>
          <w:u w:val="single"/>
        </w:rPr>
        <w:t xml:space="preserve">D. </w:t>
      </w:r>
      <w:r w:rsidRPr="00E7732F">
        <w:rPr>
          <w:rFonts w:ascii="Times" w:hAnsi="Times"/>
          <w:b/>
          <w:u w:val="single"/>
        </w:rPr>
        <w:t>Similarities and Differences Between Studies</w:t>
      </w:r>
    </w:p>
    <w:p w14:paraId="47DA199B" w14:textId="77777777" w:rsidR="00F7044C" w:rsidRPr="00C421E4" w:rsidRDefault="00F7044C" w:rsidP="00F7044C">
      <w:pPr>
        <w:spacing w:line="480" w:lineRule="auto"/>
        <w:rPr>
          <w:rFonts w:ascii="Times" w:hAnsi="Times"/>
        </w:rPr>
      </w:pPr>
      <w:r w:rsidRPr="00C421E4">
        <w:rPr>
          <w:rFonts w:ascii="Times" w:hAnsi="Times"/>
        </w:rPr>
        <w:t>There are a number of similarities between the three conduc</w:t>
      </w:r>
      <w:r>
        <w:rPr>
          <w:rFonts w:ascii="Times" w:hAnsi="Times"/>
        </w:rPr>
        <w:t>ted studies (Table 18</w:t>
      </w:r>
      <w:r w:rsidRPr="00C421E4">
        <w:rPr>
          <w:rFonts w:ascii="Times" w:hAnsi="Times"/>
        </w:rPr>
        <w:t xml:space="preserve">). Specifically, in all studies, study participants (in either the mTBI or non-TBI groups) did not differ in age, years of education, or gender proportion. When comparing mTBI participants between studies, samples did not differ significantly in number of mTBIs sustained or time since mTBI. However, valence ratings for negative images were more neutral in </w:t>
      </w:r>
      <w:r w:rsidRPr="00C421E4">
        <w:rPr>
          <w:rFonts w:ascii="Times" w:hAnsi="Times"/>
          <w:b/>
        </w:rPr>
        <w:t>Study 3</w:t>
      </w:r>
      <w:r w:rsidRPr="00C421E4">
        <w:rPr>
          <w:rFonts w:ascii="Times" w:hAnsi="Times"/>
        </w:rPr>
        <w:t xml:space="preserve"> than in </w:t>
      </w:r>
      <w:r w:rsidRPr="00C421E4">
        <w:rPr>
          <w:rFonts w:ascii="Times" w:hAnsi="Times"/>
          <w:b/>
        </w:rPr>
        <w:t>Study 2</w:t>
      </w:r>
      <w:r w:rsidRPr="00C421E4">
        <w:rPr>
          <w:rFonts w:ascii="Times" w:hAnsi="Times"/>
        </w:rPr>
        <w:t xml:space="preserve"> for the non-TBI group (</w:t>
      </w:r>
      <w:proofErr w:type="gramStart"/>
      <w:r w:rsidRPr="00C421E4">
        <w:rPr>
          <w:rFonts w:ascii="Times" w:hAnsi="Times"/>
        </w:rPr>
        <w:t>t(</w:t>
      </w:r>
      <w:proofErr w:type="gramEnd"/>
      <w:r w:rsidRPr="00C421E4">
        <w:rPr>
          <w:rFonts w:ascii="Times" w:hAnsi="Times"/>
        </w:rPr>
        <w:t xml:space="preserve">83) = 6.59, p &lt; .001) and the mTBI group (t(83) = 7.30, p &lt; . 001). As mentioned in </w:t>
      </w:r>
      <w:r w:rsidRPr="00C421E4">
        <w:rPr>
          <w:rFonts w:ascii="Times" w:hAnsi="Times"/>
          <w:b/>
        </w:rPr>
        <w:t>Chapter 4</w:t>
      </w:r>
      <w:r w:rsidRPr="00C421E4">
        <w:rPr>
          <w:rFonts w:ascii="Times" w:hAnsi="Times"/>
        </w:rPr>
        <w:t xml:space="preserve">, we intended to include more neutral negative images in </w:t>
      </w:r>
      <w:r w:rsidRPr="00C421E4">
        <w:rPr>
          <w:rFonts w:ascii="Times" w:hAnsi="Times"/>
          <w:b/>
        </w:rPr>
        <w:t>Study 3</w:t>
      </w:r>
      <w:r w:rsidRPr="00C421E4">
        <w:rPr>
          <w:rFonts w:ascii="Times" w:hAnsi="Times"/>
        </w:rPr>
        <w:t xml:space="preserve"> so that negative and positive images could be matched for valence. Therefore, these group differences were expected. Emotion ratings for negative arousal, neutral valence, and neutral arousal did not differ between studies. </w:t>
      </w:r>
    </w:p>
    <w:p w14:paraId="15151A04" w14:textId="77777777" w:rsidR="00F7044C" w:rsidRPr="00C421E4" w:rsidRDefault="00F7044C" w:rsidP="00F7044C">
      <w:pPr>
        <w:spacing w:line="480" w:lineRule="auto"/>
        <w:rPr>
          <w:rFonts w:ascii="Times" w:hAnsi="Times"/>
        </w:rPr>
      </w:pPr>
    </w:p>
    <w:p w14:paraId="6593C299" w14:textId="77777777" w:rsidR="00F7044C" w:rsidRPr="00C421E4" w:rsidRDefault="00F7044C" w:rsidP="00F7044C">
      <w:pPr>
        <w:spacing w:line="480" w:lineRule="auto"/>
        <w:rPr>
          <w:rFonts w:ascii="Times" w:hAnsi="Times"/>
        </w:rPr>
      </w:pPr>
      <w:r w:rsidRPr="00C421E4">
        <w:rPr>
          <w:rFonts w:ascii="Times" w:hAnsi="Times"/>
        </w:rPr>
        <w:t xml:space="preserve">The studies differed considerably in their hypotheses, </w:t>
      </w:r>
      <w:r>
        <w:rPr>
          <w:rFonts w:ascii="Times" w:hAnsi="Times"/>
        </w:rPr>
        <w:t>measures, and findings (Table 19</w:t>
      </w:r>
      <w:r w:rsidRPr="00C421E4">
        <w:rPr>
          <w:rFonts w:ascii="Times" w:hAnsi="Times"/>
        </w:rPr>
        <w:t xml:space="preserve">). Importantly, although there is some evidence of deficits in the chronic mTBI population (e.g., sleep-dependent memory consolidation of emotional stimuli in </w:t>
      </w:r>
      <w:r w:rsidRPr="00C421E4">
        <w:rPr>
          <w:rFonts w:ascii="Times" w:hAnsi="Times"/>
          <w:b/>
        </w:rPr>
        <w:t>Study 2</w:t>
      </w:r>
      <w:r w:rsidRPr="00C421E4">
        <w:rPr>
          <w:rFonts w:ascii="Times" w:hAnsi="Times"/>
        </w:rPr>
        <w:t xml:space="preserve">), there also is evidence that mTBI performed better than controls on some measures (e.g., wake-dependent emotional memory consolidation in </w:t>
      </w:r>
      <w:r w:rsidRPr="00C421E4">
        <w:rPr>
          <w:rFonts w:ascii="Times" w:hAnsi="Times"/>
          <w:b/>
        </w:rPr>
        <w:t>Study 2</w:t>
      </w:r>
      <w:r w:rsidRPr="00C421E4">
        <w:rPr>
          <w:rFonts w:ascii="Times" w:hAnsi="Times"/>
        </w:rPr>
        <w:t xml:space="preserve">, cognitive performance in </w:t>
      </w:r>
      <w:r w:rsidRPr="00C421E4">
        <w:rPr>
          <w:rFonts w:ascii="Times" w:hAnsi="Times"/>
          <w:b/>
        </w:rPr>
        <w:t>Study 3</w:t>
      </w:r>
      <w:r w:rsidRPr="00C421E4">
        <w:rPr>
          <w:rFonts w:ascii="Times" w:hAnsi="Times"/>
        </w:rPr>
        <w:t xml:space="preserve">). In general, there is no distinctive pattern between studies. For instance, we did not see cognitive deficits in every study, and we did not see emotional deficits in every study. </w:t>
      </w:r>
      <w:r w:rsidRPr="00C421E4">
        <w:rPr>
          <w:rFonts w:ascii="Times" w:hAnsi="Times"/>
        </w:rPr>
        <w:lastRenderedPageBreak/>
        <w:t>This pattern of results may be due to the inclusion of a diverse mTBI sample. Future studies should focus on mTBI subgroups (e.g., those with ongoing post-concussive symptoms, those with a certain number of mTBIs) rather than comparing a general mTBI population with a control group.</w:t>
      </w:r>
    </w:p>
    <w:p w14:paraId="709D5BCB" w14:textId="77777777" w:rsidR="00F7044C" w:rsidRPr="00C421E4" w:rsidRDefault="00F7044C" w:rsidP="00F7044C">
      <w:pPr>
        <w:spacing w:line="480" w:lineRule="auto"/>
        <w:rPr>
          <w:rFonts w:ascii="Times" w:hAnsi="Times"/>
        </w:rPr>
      </w:pPr>
    </w:p>
    <w:p w14:paraId="5FD77062" w14:textId="77777777" w:rsidR="00F7044C" w:rsidRPr="00E7732F" w:rsidRDefault="00F7044C" w:rsidP="00F7044C">
      <w:pPr>
        <w:spacing w:line="480" w:lineRule="auto"/>
        <w:jc w:val="center"/>
        <w:outlineLvl w:val="0"/>
        <w:rPr>
          <w:rFonts w:ascii="Times" w:hAnsi="Times"/>
          <w:b/>
          <w:u w:val="single"/>
        </w:rPr>
      </w:pPr>
      <w:r>
        <w:rPr>
          <w:rFonts w:ascii="Times" w:hAnsi="Times"/>
          <w:b/>
          <w:u w:val="single"/>
        </w:rPr>
        <w:t xml:space="preserve">E. </w:t>
      </w:r>
      <w:r w:rsidRPr="00E7732F">
        <w:rPr>
          <w:rFonts w:ascii="Times" w:hAnsi="Times"/>
          <w:b/>
          <w:u w:val="single"/>
        </w:rPr>
        <w:t>Pluses and Minuses</w:t>
      </w:r>
    </w:p>
    <w:p w14:paraId="66FF4055" w14:textId="77777777" w:rsidR="00F7044C" w:rsidRPr="00C421E4" w:rsidRDefault="00F7044C" w:rsidP="00F7044C">
      <w:pPr>
        <w:spacing w:line="480" w:lineRule="auto"/>
        <w:rPr>
          <w:rFonts w:ascii="Times" w:hAnsi="Times"/>
        </w:rPr>
      </w:pPr>
      <w:r w:rsidRPr="00C421E4">
        <w:rPr>
          <w:rFonts w:ascii="Times" w:hAnsi="Times"/>
        </w:rPr>
        <w:t xml:space="preserve">There are a number of limitations across </w:t>
      </w:r>
      <w:r w:rsidRPr="00C421E4">
        <w:rPr>
          <w:rFonts w:ascii="Times" w:hAnsi="Times"/>
          <w:b/>
        </w:rPr>
        <w:t>Studies 1-3</w:t>
      </w:r>
      <w:r w:rsidRPr="00C421E4">
        <w:rPr>
          <w:rFonts w:ascii="Times" w:hAnsi="Times"/>
        </w:rPr>
        <w:t xml:space="preserve">. First, each study used self-reported mTBI. Self-reported mTBI presents a number of drawbacks: individuals may possibly mis-identify (or mis-remember) the details of a head injury and no objective assessment of mTBI severity was available (e.g., via the Vestibular/Ocular Motor Screening). The inclusion of self-reported mTBI participants likely adds error variance to the sample, making it difficult to statistically detect effects. To remedy this issue, my future projects will be conducted in a facility where participants have confirmed doctor-diagnosed mTBIs.  </w:t>
      </w:r>
    </w:p>
    <w:p w14:paraId="6953E9D3" w14:textId="77777777" w:rsidR="00F7044C" w:rsidRPr="00C421E4" w:rsidRDefault="00F7044C" w:rsidP="00F7044C">
      <w:pPr>
        <w:spacing w:line="480" w:lineRule="auto"/>
        <w:rPr>
          <w:rFonts w:ascii="Times" w:hAnsi="Times"/>
        </w:rPr>
      </w:pPr>
    </w:p>
    <w:p w14:paraId="533E2189" w14:textId="77777777" w:rsidR="00F7044C" w:rsidRPr="00C421E4" w:rsidRDefault="00F7044C" w:rsidP="00F7044C">
      <w:pPr>
        <w:spacing w:line="480" w:lineRule="auto"/>
        <w:rPr>
          <w:rFonts w:ascii="Times" w:hAnsi="Times"/>
        </w:rPr>
      </w:pPr>
      <w:r w:rsidRPr="00C421E4">
        <w:rPr>
          <w:rFonts w:ascii="Times" w:hAnsi="Times"/>
        </w:rPr>
        <w:t xml:space="preserve">These studies would have also been improved if they contained pre-injury/pre-morbid data. Specifically, pre-morbid tests of cognitive or emotional functioning would allow us to assess change over time, rather than focus on cross-sectional group differences. Although we could have used self-reported pre-morbid data, these data are unfortunately not reliable. Several researchers have documented the “good old days” bias in mTBI </w:t>
      </w:r>
      <w:r w:rsidRPr="00C421E4">
        <w:rPr>
          <w:rFonts w:ascii="Times" w:hAnsi="Times"/>
        </w:rPr>
        <w:fldChar w:fldCharType="begin"/>
      </w:r>
      <w:r w:rsidRPr="00C421E4">
        <w:rPr>
          <w:rFonts w:ascii="Times" w:hAnsi="Times"/>
        </w:rPr>
        <w:instrText xml:space="preserve"> ADDIN ZOTERO_ITEM CSL_CITATION {"citationID":"1npapguv0s","properties":{"formattedCitation":"(Lange, Iverson, &amp; Rose, 2010; Lange et al., 2010)","plainCitation":"(Lange, Iverson, &amp; Rose, 2010; Lange et al., 2010)"},"citationItems":[{"id":959,"uris":["http://zotero.org/users/4141602/items/7KZ5Q66Z"],"uri":["http://zotero.org/users/4141602/items/7KZ5Q66Z"],"itemData":{"id":959,"type":"article-journal","title":"Post-concussion symptom reporting and the “good-old-days” bias following mild traumatic brain injury","container-title":"Archives of clinical neuropsychology","page":"442-450","volume":"25","issue":"5","author":[{"family":"Lange","given":"Rael T."},{"family":"Iverson","given":"Grant L."},{"family":"Rose","given":"Alice"}],"issued":{"date-parts":[["2010"]]}}},{"id":959,"uris":["http://zotero.org/users/4141602/items/7KZ5Q66Z"],"uri":["http://zotero.org/users/4141602/items/7KZ5Q66Z"],"itemData":{"id":959,"type":"article-journal","title":"Post-concussion symptom reporting and the “good-old-days” bias following mild traumatic brain injury","container-title":"Archives of clinical neuropsychology","page":"442-450","volume":"25","issue":"5","author":[{"family":"Lange","given":"Rael T."},{"family":"Iverson","given":"Grant L."},{"family":"Rose","given":"Alice"}],"issued":{"date-parts":[["2010"]]}}}],"schema":"https://github.com/citation-style-language/schema/raw/master/csl-citation.json"} </w:instrText>
      </w:r>
      <w:r w:rsidRPr="00C421E4">
        <w:rPr>
          <w:rFonts w:ascii="Times" w:hAnsi="Times"/>
        </w:rPr>
        <w:fldChar w:fldCharType="separate"/>
      </w:r>
      <w:r w:rsidRPr="00C421E4">
        <w:rPr>
          <w:rFonts w:ascii="Times" w:hAnsi="Times"/>
          <w:noProof/>
        </w:rPr>
        <w:t>(Lange, Iverson, &amp; Rose, 2010; Lange et al., 2010)</w:t>
      </w:r>
      <w:r w:rsidRPr="00C421E4">
        <w:rPr>
          <w:rFonts w:ascii="Times" w:hAnsi="Times"/>
        </w:rPr>
        <w:fldChar w:fldCharType="end"/>
      </w:r>
      <w:r w:rsidRPr="00C421E4">
        <w:rPr>
          <w:rFonts w:ascii="Times" w:hAnsi="Times"/>
        </w:rPr>
        <w:t xml:space="preserve">. The good old days bias causes participants to underestimate cognitive or mental health problems they had before injury, making them think that symptoms have increased as a result of the injury, although they </w:t>
      </w:r>
      <w:r w:rsidRPr="00C421E4">
        <w:rPr>
          <w:rFonts w:ascii="Times" w:hAnsi="Times"/>
        </w:rPr>
        <w:lastRenderedPageBreak/>
        <w:t xml:space="preserve">might not have changed. The authors of these studies demonstrate that participants often recall having no symptoms (e.g., never experiencing fatigue or lack of focus) in their time prior to concussion, which is unlikely. To alleviate this issue, according to those authors, a clinical interview should be used in conjunction with questionnaires, so that participants can be “reminded” of pre-morbid symptoms. Although the current studies did not probe pre-morbid symptomatology, if I conduct a study gauging pre-morbid symptoms in the future, I will incorporate both a questionnaire and a structured interview to gather a more complete picture of pre-morbid functioning. </w:t>
      </w:r>
    </w:p>
    <w:p w14:paraId="11997577" w14:textId="77777777" w:rsidR="00F7044C" w:rsidRPr="00C421E4" w:rsidRDefault="00F7044C" w:rsidP="00F7044C">
      <w:pPr>
        <w:spacing w:line="480" w:lineRule="auto"/>
        <w:rPr>
          <w:rFonts w:ascii="Times" w:hAnsi="Times"/>
        </w:rPr>
      </w:pPr>
    </w:p>
    <w:p w14:paraId="473C10E6" w14:textId="77777777" w:rsidR="00F7044C" w:rsidRPr="00C421E4" w:rsidRDefault="00F7044C" w:rsidP="00F7044C">
      <w:pPr>
        <w:spacing w:after="160" w:line="480" w:lineRule="auto"/>
        <w:rPr>
          <w:rFonts w:ascii="Times" w:hAnsi="Times"/>
        </w:rPr>
      </w:pPr>
      <w:r w:rsidRPr="00C421E4">
        <w:rPr>
          <w:rFonts w:ascii="Times" w:hAnsi="Times"/>
        </w:rPr>
        <w:t xml:space="preserve">Studies 1-3 are limited by the inclusion of a young adult age range. Young adults are not representative of the general mTBI population because mTBIs are sustained across the lifespan. The impact of mTBI on the brain differs based on age at the time of injury. Specifically, in childhood, during which the brain is undergoing several “critical periods” of development, an mTBI can be especially damaging </w:t>
      </w:r>
      <w:r w:rsidRPr="00C421E4">
        <w:rPr>
          <w:rFonts w:ascii="Times" w:hAnsi="Times"/>
        </w:rPr>
        <w:fldChar w:fldCharType="begin"/>
      </w:r>
      <w:r w:rsidRPr="00C421E4">
        <w:rPr>
          <w:rFonts w:ascii="Times" w:hAnsi="Times"/>
        </w:rPr>
        <w:instrText xml:space="preserve"> ADDIN ZOTERO_ITEM CSL_CITATION {"citationID":"2efnfq95iq","properties":{"formattedCitation":"(Choe, Babikian, DiFiori, Hovda, &amp; Giza, 2012)","plainCitation":"(Choe, Babikian, DiFiori, Hovda, &amp; Giza, 2012)"},"citationItems":[{"id":932,"uris":["http://zotero.org/users/4141602/items/Q8T9GIS7"],"uri":["http://zotero.org/users/4141602/items/Q8T9GIS7"],"itemData":{"id":932,"type":"article-journal","title":"A pediatric perspective on concussion pathophysiology","container-title":"Current opinion in pediatrics","page":"689-695","volume":"24","issue":"6","author":[{"family":"Choe","given":"Meeryo C."},{"family":"Babikian","given":"Talin"},{"family":"DiFiori","given":"John"},{"family":"Hovda","given":"David A."},{"family":"Giza","given":"Christopher C."}],"issued":{"date-parts":[["2012"]]}}}],"schema":"https://github.com/citation-style-language/schema/raw/master/csl-citation.json"} </w:instrText>
      </w:r>
      <w:r w:rsidRPr="00C421E4">
        <w:rPr>
          <w:rFonts w:ascii="Times" w:hAnsi="Times"/>
        </w:rPr>
        <w:fldChar w:fldCharType="separate"/>
      </w:r>
      <w:r w:rsidRPr="00C421E4">
        <w:rPr>
          <w:rFonts w:ascii="Times" w:hAnsi="Times"/>
          <w:noProof/>
        </w:rPr>
        <w:t>(Choe, Babikian, DiFiori, Hovda, &amp; Giza, 2012)</w:t>
      </w:r>
      <w:r w:rsidRPr="00C421E4">
        <w:rPr>
          <w:rFonts w:ascii="Times" w:hAnsi="Times"/>
        </w:rPr>
        <w:fldChar w:fldCharType="end"/>
      </w:r>
      <w:r w:rsidRPr="00C421E4">
        <w:rPr>
          <w:rFonts w:ascii="Times" w:hAnsi="Times"/>
        </w:rPr>
        <w:t xml:space="preserve">. Similarly, on the other end of the age spectrum, older adults take longer to recover from mTBI than young adults with similar injury severity </w:t>
      </w:r>
      <w:r w:rsidRPr="00C421E4">
        <w:rPr>
          <w:rFonts w:ascii="Times" w:hAnsi="Times"/>
        </w:rPr>
        <w:fldChar w:fldCharType="begin"/>
      </w:r>
      <w:r w:rsidRPr="00C421E4">
        <w:rPr>
          <w:rFonts w:ascii="Times" w:hAnsi="Times"/>
        </w:rPr>
        <w:instrText xml:space="preserve"> ADDIN ZOTERO_ITEM CSL_CITATION {"citationID":"1u9vpu35il","properties":{"formattedCitation":"(Mosenthal et al., 2004)","plainCitation":"(Mosenthal et al., 2004)"},"citationItems":[{"id":960,"uris":["http://zotero.org/users/4141602/items/48EANV2D"],"uri":["http://zotero.org/users/4141602/items/48EANV2D"],"itemData":{"id":960,"type":"article-journal","title":"The effect of age on functional outcome in mild traumatic brain injury: 6-month report of a prospective multicenter trial","container-title":"Journal of Trauma and Acute Care Surgery","page":"1042-1048","volume":"56","issue":"5","author":[{"family":"Mosenthal","given":"Anne C."},{"family":"Livingston","given":"David H."},{"family":"Lavery","given":"Robert F."},{"family":"Knudson","given":"Margaret M."},{"family":"Lee","given":"Seong"},{"family":"Morabito","given":"Diane"},{"family":"Manley","given":"Geoffrey T."},{"family":"Nathens","given":"Avery"},{"family":"Jurkovich","given":"Gregory"},{"family":"Hoyt","given":"David B."}],"issued":{"date-parts":[["2004"]]}}}],"schema":"https://github.com/citation-style-language/schema/raw/master/csl-citation.json"} </w:instrText>
      </w:r>
      <w:r w:rsidRPr="00C421E4">
        <w:rPr>
          <w:rFonts w:ascii="Times" w:hAnsi="Times"/>
        </w:rPr>
        <w:fldChar w:fldCharType="separate"/>
      </w:r>
      <w:r w:rsidRPr="00C421E4">
        <w:rPr>
          <w:rFonts w:ascii="Times" w:hAnsi="Times"/>
          <w:noProof/>
        </w:rPr>
        <w:t>(Mosenthal et al., 2004)</w:t>
      </w:r>
      <w:r w:rsidRPr="00C421E4">
        <w:rPr>
          <w:rFonts w:ascii="Times" w:hAnsi="Times"/>
        </w:rPr>
        <w:fldChar w:fldCharType="end"/>
      </w:r>
      <w:r w:rsidRPr="00C421E4">
        <w:rPr>
          <w:rFonts w:ascii="Times" w:hAnsi="Times"/>
        </w:rPr>
        <w:t xml:space="preserve">. Given the complicating effects of young and old age on mTBI recovery, young adults were utilized to minimize extraneous variables, even though, as mentioned, a college-attending population tends to have higher-than-average mental health issues. Nevertheless, this work in young adults is an important starting point that will guide future work in other populations. </w:t>
      </w:r>
    </w:p>
    <w:p w14:paraId="66612A02" w14:textId="77777777" w:rsidR="00F7044C" w:rsidRPr="00C421E4" w:rsidRDefault="00F7044C" w:rsidP="00F7044C">
      <w:pPr>
        <w:spacing w:after="160" w:line="480" w:lineRule="auto"/>
        <w:rPr>
          <w:rFonts w:ascii="Times" w:hAnsi="Times"/>
        </w:rPr>
      </w:pPr>
    </w:p>
    <w:p w14:paraId="3895827E" w14:textId="77777777" w:rsidR="00F7044C" w:rsidRPr="00C421E4" w:rsidRDefault="00F7044C" w:rsidP="00F7044C">
      <w:pPr>
        <w:spacing w:after="160" w:line="480" w:lineRule="auto"/>
        <w:rPr>
          <w:rFonts w:ascii="Times" w:hAnsi="Times"/>
        </w:rPr>
      </w:pPr>
      <w:r w:rsidRPr="00C421E4">
        <w:rPr>
          <w:rFonts w:ascii="Times" w:hAnsi="Times"/>
        </w:rPr>
        <w:lastRenderedPageBreak/>
        <w:t xml:space="preserve">As has been noted several times, </w:t>
      </w:r>
      <w:r w:rsidRPr="00C421E4">
        <w:rPr>
          <w:rFonts w:ascii="Times" w:hAnsi="Times"/>
          <w:b/>
        </w:rPr>
        <w:t>Studies 1 and 2</w:t>
      </w:r>
      <w:r w:rsidRPr="00C421E4">
        <w:rPr>
          <w:rFonts w:ascii="Times" w:hAnsi="Times"/>
        </w:rPr>
        <w:t xml:space="preserve"> are limited because they did not include mood outcome variables, such as depressive or anxiety symptomology. They also did not include neuropsychological testing, with the exception of the Digit Span Forward test. Although the Digit Span Forward test was included as a measure of working memory, it was later determined that there are more sensitive tests (e.g., the Digit Span Backward) that could have been utilized. In </w:t>
      </w:r>
      <w:r w:rsidRPr="00C421E4">
        <w:rPr>
          <w:rFonts w:ascii="Times" w:hAnsi="Times"/>
          <w:b/>
        </w:rPr>
        <w:t>Studies 1 and 2</w:t>
      </w:r>
      <w:r w:rsidRPr="00C421E4">
        <w:rPr>
          <w:rFonts w:ascii="Times" w:hAnsi="Times"/>
        </w:rPr>
        <w:t xml:space="preserve">, therefore, we are limited in our ability to draw conclusions about cognitive or emotional differences between groups. This limitation is especially regrettable in </w:t>
      </w:r>
      <w:r w:rsidRPr="00C421E4">
        <w:rPr>
          <w:rFonts w:ascii="Times" w:hAnsi="Times"/>
          <w:b/>
        </w:rPr>
        <w:t>Study 2</w:t>
      </w:r>
      <w:r w:rsidRPr="00C421E4">
        <w:rPr>
          <w:rFonts w:ascii="Times" w:hAnsi="Times"/>
        </w:rPr>
        <w:t xml:space="preserve"> because we detected differences in emotion memory between groups (both enhancements and reductions), but we are unable to determine whether these emotional differences are predictive of mood outcomes or whether these differences are benign. To address these weaknesses, we included neuropsychological measures in </w:t>
      </w:r>
      <w:r w:rsidRPr="00C421E4">
        <w:rPr>
          <w:rFonts w:ascii="Times" w:hAnsi="Times"/>
          <w:b/>
        </w:rPr>
        <w:t>Study 3</w:t>
      </w:r>
      <w:r w:rsidRPr="00C421E4">
        <w:rPr>
          <w:rFonts w:ascii="Times" w:hAnsi="Times"/>
        </w:rPr>
        <w:t xml:space="preserve">. </w:t>
      </w:r>
    </w:p>
    <w:p w14:paraId="5ABBE799" w14:textId="77777777" w:rsidR="00F7044C" w:rsidRPr="00C421E4" w:rsidRDefault="00F7044C" w:rsidP="00F7044C">
      <w:pPr>
        <w:spacing w:after="160" w:line="480" w:lineRule="auto"/>
        <w:rPr>
          <w:rFonts w:ascii="Times" w:hAnsi="Times"/>
        </w:rPr>
      </w:pPr>
    </w:p>
    <w:p w14:paraId="75B0D1E3" w14:textId="77777777" w:rsidR="00F7044C" w:rsidRPr="00C421E4" w:rsidRDefault="00F7044C" w:rsidP="00F7044C">
      <w:pPr>
        <w:spacing w:after="160" w:line="480" w:lineRule="auto"/>
        <w:rPr>
          <w:rFonts w:ascii="Times" w:hAnsi="Times"/>
        </w:rPr>
      </w:pPr>
      <w:r w:rsidRPr="00C421E4">
        <w:rPr>
          <w:rFonts w:ascii="Times" w:hAnsi="Times"/>
        </w:rPr>
        <w:t xml:space="preserve">These three studies also had strengths. For instance, all studies had adequate statistical power to detect the effects of interest (with the exception of exploratory regressions in </w:t>
      </w:r>
      <w:r w:rsidRPr="00C421E4">
        <w:rPr>
          <w:rFonts w:ascii="Times" w:hAnsi="Times"/>
          <w:b/>
        </w:rPr>
        <w:t>Studies 2 and 3</w:t>
      </w:r>
      <w:r w:rsidRPr="00C421E4">
        <w:rPr>
          <w:rFonts w:ascii="Times" w:hAnsi="Times"/>
        </w:rPr>
        <w:t xml:space="preserve">). The studies included both behavioral data and physiological data. For instance, in </w:t>
      </w:r>
      <w:r w:rsidRPr="00C421E4">
        <w:rPr>
          <w:rFonts w:ascii="Times" w:hAnsi="Times"/>
          <w:b/>
        </w:rPr>
        <w:t>Studies 1 and 2</w:t>
      </w:r>
      <w:r w:rsidRPr="00C421E4">
        <w:rPr>
          <w:rFonts w:ascii="Times" w:hAnsi="Times"/>
        </w:rPr>
        <w:t xml:space="preserve">, polysomnography was recorded to assess whether experimental groups differed in sleep architecture or characteristics. The inclusion of sleep data allowed us to determine whether sleep-dependent differences between groups were related to sleep architecture differences, thus linking neural brain correlates with behavior. In </w:t>
      </w:r>
      <w:r w:rsidRPr="00C421E4">
        <w:rPr>
          <w:rFonts w:ascii="Times" w:hAnsi="Times"/>
          <w:b/>
        </w:rPr>
        <w:t>Study 3</w:t>
      </w:r>
      <w:r w:rsidRPr="00C421E4">
        <w:rPr>
          <w:rFonts w:ascii="Times" w:hAnsi="Times"/>
        </w:rPr>
        <w:t xml:space="preserve">, physiological measures of emotion (e.g., heart rate, skin conductance, EMG tone) were included to supplement behavioral ratings of emotional </w:t>
      </w:r>
      <w:r w:rsidRPr="00C421E4">
        <w:rPr>
          <w:rFonts w:ascii="Times" w:hAnsi="Times"/>
        </w:rPr>
        <w:lastRenderedPageBreak/>
        <w:t xml:space="preserve">images. These measures allowed us to assess whether autonomic differences between groups mirrored those seen in behavioral ratings and also allowed us to assess whether there were autonomic abnormalities in the mTBI group relative to controls. Therefore, these data provided the opportunity for a broad and dynamic view of emotion following mTBI, and, to our knowledge, these are a few of the only extant studies to have probed both behavior and physiology following chronic mTBI. </w:t>
      </w:r>
    </w:p>
    <w:p w14:paraId="1B70F498" w14:textId="77777777" w:rsidR="00F7044C" w:rsidRPr="00C421E4" w:rsidRDefault="00F7044C" w:rsidP="00F7044C">
      <w:pPr>
        <w:spacing w:after="160" w:line="480" w:lineRule="auto"/>
        <w:rPr>
          <w:rFonts w:ascii="Times" w:hAnsi="Times"/>
        </w:rPr>
      </w:pPr>
    </w:p>
    <w:p w14:paraId="576419E6" w14:textId="77777777" w:rsidR="00F7044C" w:rsidRPr="00E7732F" w:rsidRDefault="00F7044C" w:rsidP="00F7044C">
      <w:pPr>
        <w:spacing w:line="480" w:lineRule="auto"/>
        <w:jc w:val="center"/>
        <w:outlineLvl w:val="0"/>
        <w:rPr>
          <w:rFonts w:ascii="Times" w:hAnsi="Times"/>
          <w:b/>
          <w:u w:val="single"/>
        </w:rPr>
      </w:pPr>
      <w:r>
        <w:rPr>
          <w:rFonts w:ascii="Times" w:hAnsi="Times"/>
          <w:b/>
          <w:u w:val="single"/>
        </w:rPr>
        <w:t xml:space="preserve">F. </w:t>
      </w:r>
      <w:r w:rsidRPr="00E7732F">
        <w:rPr>
          <w:rFonts w:ascii="Times" w:hAnsi="Times"/>
          <w:b/>
          <w:u w:val="single"/>
        </w:rPr>
        <w:t>Contributions/Importance of This Work</w:t>
      </w:r>
    </w:p>
    <w:p w14:paraId="36426C9D" w14:textId="77777777" w:rsidR="00F7044C" w:rsidRPr="00C421E4" w:rsidRDefault="00F7044C" w:rsidP="00F7044C">
      <w:pPr>
        <w:spacing w:after="160" w:line="480" w:lineRule="auto"/>
        <w:rPr>
          <w:rFonts w:ascii="Times" w:hAnsi="Times"/>
        </w:rPr>
      </w:pPr>
      <w:r w:rsidRPr="00C421E4">
        <w:rPr>
          <w:rFonts w:ascii="Times" w:hAnsi="Times"/>
        </w:rPr>
        <w:t xml:space="preserve">The three studies conducted here make a substantial contribution to the mTBI literature. </w:t>
      </w:r>
      <w:r w:rsidRPr="00C421E4">
        <w:rPr>
          <w:rFonts w:ascii="Times" w:hAnsi="Times"/>
          <w:b/>
        </w:rPr>
        <w:t>Study 1</w:t>
      </w:r>
      <w:r w:rsidRPr="00C421E4">
        <w:rPr>
          <w:rFonts w:ascii="Times" w:hAnsi="Times"/>
        </w:rPr>
        <w:t xml:space="preserve"> was the first experiment to attempt to link two existing ideas from the mTBI literature: (1) sleep is altered following chronic mTBI, and (2) cognition is potentially altered following mTBI (although our data, in retrospect, do not support this notion). Although researchers in the field surmised that mTBI-induced sleep alterations may lead to negative cognitive consequences, this idea had never been tested. Even though we did not detect differences in neutral sleep-dependent memory consolidation, the novelty of this study was outlined in a commentary written about </w:t>
      </w:r>
      <w:r w:rsidRPr="00C421E4">
        <w:rPr>
          <w:rFonts w:ascii="Times" w:hAnsi="Times"/>
          <w:b/>
        </w:rPr>
        <w:t xml:space="preserve">Study 1 </w:t>
      </w:r>
      <w:r w:rsidRPr="00C421E4">
        <w:rPr>
          <w:rFonts w:ascii="Times" w:hAnsi="Times"/>
        </w:rPr>
        <w:fldChar w:fldCharType="begin"/>
      </w:r>
      <w:r w:rsidRPr="00C421E4">
        <w:rPr>
          <w:rFonts w:ascii="Times" w:hAnsi="Times"/>
        </w:rPr>
        <w:instrText xml:space="preserve"> ADDIN ZOTERO_ITEM CSL_CITATION {"citationID":"1vt0nd051d","properties":{"formattedCitation":"(Durrant, 2015)","plainCitation":"(Durrant, 2015)"},"citationItems":[{"id":953,"uris":["http://zotero.org/users/4141602/items/FF6MNJJJ"],"uri":["http://zotero.org/users/4141602/items/FF6MNJJJ"],"itemData":{"id":953,"type":"article-journal","title":"Commentary: Altered sleep composition after traumatic brain injury does not affect declarative sleep-dependent memory consolidation","container-title":"Frontiers in human neuroscience","volume":"9","author":[{"family":"Durrant","given":"Simon J."}],"issued":{"date-parts":[["2015"]]}}}],"schema":"https://github.com/citation-style-language/schema/raw/master/csl-citation.json"} </w:instrText>
      </w:r>
      <w:r w:rsidRPr="00C421E4">
        <w:rPr>
          <w:rFonts w:ascii="Times" w:hAnsi="Times"/>
        </w:rPr>
        <w:fldChar w:fldCharType="separate"/>
      </w:r>
      <w:r w:rsidRPr="00C421E4">
        <w:rPr>
          <w:rFonts w:ascii="Times" w:hAnsi="Times"/>
          <w:noProof/>
        </w:rPr>
        <w:t>(Durrant, 2015)</w:t>
      </w:r>
      <w:r w:rsidRPr="00C421E4">
        <w:rPr>
          <w:rFonts w:ascii="Times" w:hAnsi="Times"/>
        </w:rPr>
        <w:fldChar w:fldCharType="end"/>
      </w:r>
      <w:r w:rsidRPr="00C421E4">
        <w:rPr>
          <w:rFonts w:ascii="Times" w:hAnsi="Times"/>
        </w:rPr>
        <w:t>:</w:t>
      </w:r>
    </w:p>
    <w:p w14:paraId="2D4D97A1" w14:textId="77777777" w:rsidR="00F7044C" w:rsidRPr="00C421E4" w:rsidRDefault="00F7044C" w:rsidP="00F7044C">
      <w:pPr>
        <w:spacing w:line="480" w:lineRule="auto"/>
        <w:ind w:left="360"/>
        <w:rPr>
          <w:rFonts w:ascii="Times" w:hAnsi="Times"/>
          <w:shd w:val="clear" w:color="auto" w:fill="FFFFFF"/>
        </w:rPr>
      </w:pPr>
      <w:r w:rsidRPr="00C421E4">
        <w:rPr>
          <w:rFonts w:ascii="Times" w:hAnsi="Times"/>
          <w:shd w:val="clear" w:color="auto" w:fill="FFFFFF"/>
        </w:rPr>
        <w:t xml:space="preserve">“…until now there has been almost no investigation of the role of sleep disturbance in memory deficit where the sleep disturbance occurs as a result of another condition… As such, the new study from Mantua et al. (2015) is especially welcome and will hopefully herald a new era of investigation into the contribution of co-morbid sleep disturbances to memory deficits not only in mTBI, but a wide variety of other </w:t>
      </w:r>
      <w:r w:rsidRPr="00C421E4">
        <w:rPr>
          <w:rFonts w:ascii="Times" w:hAnsi="Times"/>
          <w:shd w:val="clear" w:color="auto" w:fill="FFFFFF"/>
        </w:rPr>
        <w:lastRenderedPageBreak/>
        <w:t>conditions where disturbed sleep and reduced memory are present (such as Alzheimer's Disease and Parkinson's Disease, to give two obvious examples).”</w:t>
      </w:r>
    </w:p>
    <w:p w14:paraId="14BED81A" w14:textId="77777777" w:rsidR="00F7044C" w:rsidRPr="00C421E4" w:rsidRDefault="00F7044C" w:rsidP="00F7044C">
      <w:pPr>
        <w:spacing w:line="480" w:lineRule="auto"/>
        <w:ind w:left="360"/>
        <w:rPr>
          <w:rFonts w:ascii="Times" w:hAnsi="Times"/>
          <w:shd w:val="clear" w:color="auto" w:fill="FFFFFF"/>
        </w:rPr>
      </w:pPr>
    </w:p>
    <w:p w14:paraId="78752466"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 xml:space="preserve">This work led to the development of </w:t>
      </w:r>
      <w:r w:rsidRPr="00C421E4">
        <w:rPr>
          <w:rFonts w:ascii="Times" w:hAnsi="Times"/>
          <w:b/>
          <w:shd w:val="clear" w:color="auto" w:fill="FFFFFF"/>
        </w:rPr>
        <w:t>Study 2</w:t>
      </w:r>
      <w:r w:rsidRPr="00C421E4">
        <w:rPr>
          <w:rFonts w:ascii="Times" w:hAnsi="Times"/>
          <w:shd w:val="clear" w:color="auto" w:fill="FFFFFF"/>
        </w:rPr>
        <w:t xml:space="preserve">, which focused on emotional alterations that may occur as mTBI-induced sleep alterations. Although it had been hypothesized that sleep alterations following mTBI might contribute to disrupted emotional processing (e.g., sleep-dependent memory consolidation of emotional stimuli), this idea had not been tested. We demonstrated that both sleep- and wake-dependent memory differences occur in individuals with a chronic history of mTBI. Altered sleep architecture (i.e., less REM sleep) statistically predicted sleep-dependent memory alterations. This work suggests that, indeed, sleep changes following mTBI may disrupt sleep-dependent emotional processing and presents a potential mechanism linking poor sleep with mood disturbances in this population. Interestingly, however, although sleep-dependent consolidation is reduced in an mTBI population, wake-dependent consolidation was enhanced, suggesting some cognitive abilities are superior in this population. Further work could test if sleep- and wake- alterations could contribute to downstream emotional disruptions during subsequent wake. </w:t>
      </w:r>
    </w:p>
    <w:p w14:paraId="41025DC8" w14:textId="77777777" w:rsidR="00F7044C" w:rsidRPr="00C421E4" w:rsidRDefault="00F7044C" w:rsidP="00F7044C">
      <w:pPr>
        <w:spacing w:line="480" w:lineRule="auto"/>
        <w:rPr>
          <w:rFonts w:ascii="Times" w:hAnsi="Times"/>
          <w:shd w:val="clear" w:color="auto" w:fill="FFFFFF"/>
        </w:rPr>
      </w:pPr>
    </w:p>
    <w:p w14:paraId="12D49DE5"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 xml:space="preserve">In </w:t>
      </w:r>
      <w:r w:rsidRPr="00C421E4">
        <w:rPr>
          <w:rFonts w:ascii="Times" w:hAnsi="Times"/>
          <w:b/>
          <w:shd w:val="clear" w:color="auto" w:fill="FFFFFF"/>
        </w:rPr>
        <w:t>Study 2</w:t>
      </w:r>
      <w:r w:rsidRPr="00C421E4">
        <w:rPr>
          <w:rFonts w:ascii="Times" w:hAnsi="Times"/>
          <w:shd w:val="clear" w:color="auto" w:fill="FFFFFF"/>
        </w:rPr>
        <w:t xml:space="preserve">, there were incidental findings that suggested the chronic mTBI population has blunted habituation. Given this, </w:t>
      </w:r>
      <w:r w:rsidRPr="00C421E4">
        <w:rPr>
          <w:rFonts w:ascii="Times" w:hAnsi="Times"/>
          <w:b/>
          <w:shd w:val="clear" w:color="auto" w:fill="FFFFFF"/>
        </w:rPr>
        <w:t>Study 3</w:t>
      </w:r>
      <w:r w:rsidRPr="00C421E4">
        <w:rPr>
          <w:rFonts w:ascii="Times" w:hAnsi="Times"/>
          <w:shd w:val="clear" w:color="auto" w:fill="FFFFFF"/>
        </w:rPr>
        <w:t xml:space="preserve"> sought to replicate and expand these findings. There is a large gap in the mTBI literature: although it was established that some persons with a history of chronic mTBI are at increased risk for mood disturbances in the 1980s, little (or no) work has been done to pinpoint which specific emotional </w:t>
      </w:r>
      <w:r w:rsidRPr="00C421E4">
        <w:rPr>
          <w:rFonts w:ascii="Times" w:hAnsi="Times"/>
          <w:shd w:val="clear" w:color="auto" w:fill="FFFFFF"/>
        </w:rPr>
        <w:lastRenderedPageBreak/>
        <w:t xml:space="preserve">components are altered in this population. We surmised that a lack of habituation may be a contributing factor to mood disturbances in this population. We found mTBI subjects had enhanced (rather than blunted) habituation, yet group differences in habituation did not predict group differences in mood symptomatology. Although there have been many studies that have detected mental health alterations in this population, to our knowledge, this is the first study to examine factors that contribute to depressive and anxiety symptoms in this population. Therefore, we feel this study contributes conceptually to the field of mTBI. </w:t>
      </w:r>
    </w:p>
    <w:p w14:paraId="01BA24AD" w14:textId="77777777" w:rsidR="00F7044C" w:rsidRPr="00C421E4" w:rsidRDefault="00F7044C" w:rsidP="00F7044C">
      <w:pPr>
        <w:spacing w:line="480" w:lineRule="auto"/>
        <w:rPr>
          <w:rFonts w:ascii="Times" w:hAnsi="Times"/>
          <w:shd w:val="clear" w:color="auto" w:fill="FFFFFF"/>
        </w:rPr>
      </w:pPr>
    </w:p>
    <w:p w14:paraId="5D1DA317" w14:textId="77777777" w:rsidR="00F7044C" w:rsidRPr="00C421E4" w:rsidRDefault="00F7044C" w:rsidP="00F7044C">
      <w:pPr>
        <w:spacing w:line="480" w:lineRule="auto"/>
        <w:rPr>
          <w:rFonts w:ascii="Times" w:hAnsi="Times"/>
          <w:shd w:val="clear" w:color="auto" w:fill="FFFFFF"/>
        </w:rPr>
      </w:pPr>
      <w:r w:rsidRPr="00C421E4">
        <w:rPr>
          <w:rFonts w:ascii="Times" w:hAnsi="Times"/>
          <w:shd w:val="clear" w:color="auto" w:fill="FFFFFF"/>
        </w:rPr>
        <w:t xml:space="preserve">These studies also provide experimental contributions to the field. To our knowledge, this is the first experiment to test for positive habituation using images (rather than facial expressions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{"citationID":"9ogorsnai","properties":{"formattedCitation":"(Wright et al., 2001)","plainCitation":"(Wright et al., 2001)"},"citationItems":[{"id":"h1OO1zp7/JtvamATi","uris":["http://www.mendeley.com/documents/?uuid=ce456213-45ef-43da-bfb1-c0c2d5fc1799"],"uri":["http://www.mendeley.com/documents/?uuid=ce456213-45ef-43da-bfb1-c0c2d5fc1799"],"itemData":{"author":[{"dropping-particle":"","family":"Wright","given":"C. I.","non-dropping-particle":"","parse-names":false,"suffix":""},{"dropping-particle":"","family":"Fischer","given":"H.","non-dropping-particle":"","parse-names":false,"suffix":""},{"dropping-particle":"","family":"Whalen","given":"P. J.","non-dropping-particle":"","parse-names":false,"suffix":""},{"dropping-particle":"","family":"McInerney","given":"S. C.","non-dropping-particle":"","parse-names":false,"suffix":""},{"dropping-particle":"","family":"Shin","given":"L. M.","non-dropping-particle":"","parse-names":false,"suffix":""},{"dropping-particle":"","family":"Rauch","given":"S. L.","non-dropping-particle":"","parse-names":false,"suffix":""}],"container-title":"Neuroreport","id":"h1OO1zp7/JtvamATi","issue":"2","issued":{"date-parts":[["2001"]]},"page":"379-383","title":"Differential prefrontal cortex and amygdala habituation to repeatedly presented emotional stimuli","type":"article-journal","volume":"12"}}],"schema":"https://github.com/citation-style-language/schema/raw/master/csl-citation.json"}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(Wright et al., 2001)</w:t>
      </w:r>
      <w:r w:rsidRPr="00C421E4">
        <w:rPr>
          <w:rFonts w:ascii="Times" w:hAnsi="Times"/>
          <w:shd w:val="clear" w:color="auto" w:fill="FFFFFF"/>
        </w:rPr>
        <w:fldChar w:fldCharType="end"/>
      </w:r>
      <w:r w:rsidRPr="00C421E4">
        <w:rPr>
          <w:rFonts w:ascii="Times" w:hAnsi="Times"/>
          <w:shd w:val="clear" w:color="auto" w:fill="FFFFFF"/>
        </w:rPr>
        <w:t xml:space="preserve">. It is also the first study to attempt to link habituation of positive or negative images (and physiological habituation) with anxiety symptomology (one other study has linked depression with habituation </w:t>
      </w:r>
      <w:r w:rsidRPr="00C421E4">
        <w:rPr>
          <w:rFonts w:ascii="Times" w:hAnsi="Times"/>
          <w:shd w:val="clear" w:color="auto" w:fill="FFFFFF"/>
        </w:rPr>
        <w:fldChar w:fldCharType="begin"/>
      </w:r>
      <w:r w:rsidRPr="00C421E4">
        <w:rPr>
          <w:rFonts w:ascii="Times" w:hAnsi="Times"/>
          <w:shd w:val="clear" w:color="auto" w:fill="FFFFFF"/>
        </w:rPr>
        <w:instrText xml:space="preserve"> ADDIN ZOTERO_ITEM CSL_CITATION {"citationID":"1hte1mcics","properties":{"formattedCitation":"(Neumeister et al., 2006)","plainCitation":"(Neumeister et al., 2006)"},"citationItems":[{"id":"c0DXPsqv/zVxwNMId","uris":["http://www.mendeley.com/documents/?uuid=fbd7a816-468c-489d-8984-2a72793f3e27"],"uri":["http://www.mendeley.com/documents/?uuid=fbd7a816-468c-489d-8984-2a72793f3e27"],"itemData":{"author":[{"dropping-particle":"","family":"Neumeister","given":"A.","non-dropping-particle":"","parse-names":false,"suffix":""},{"dropping-particle":"","family":"Henry","given":"S.","non-dropping-particle":"","parse-names":false,"suffix":""},{"dropping-particle":"","family":"Herscovitch","given":"P.","non-dropping-particle":"","parse-names":false,"suffix":""},{"dropping-particle":"","family":"Charney","given":"D. S.","non-dropping-particle":"","parse-names":false,"suffix":""},{"dropping-particle":"","family":"Drevets","given":"W. C.","non-dropping-particle":"","parse-names":false,"suffix":""}],"container-title":"Neuropsychopharmacology","id":"c0DXPsqv/zVxwNMId","issued":{"date-parts":[["2006"]]},"page":"S92-S92","title":"Habituation as a Phenotypic Marker for Major Depression","type":"article-journal","volume":"31"}}],"schema":"https://github.com/citation-style-language/schema/raw/master/csl-citation.json"} </w:instrText>
      </w:r>
      <w:r w:rsidRPr="00C421E4">
        <w:rPr>
          <w:rFonts w:ascii="Times" w:hAnsi="Times"/>
          <w:shd w:val="clear" w:color="auto" w:fill="FFFFFF"/>
        </w:rPr>
        <w:fldChar w:fldCharType="separate"/>
      </w:r>
      <w:r w:rsidRPr="00C421E4">
        <w:rPr>
          <w:rFonts w:ascii="Times" w:hAnsi="Times"/>
          <w:noProof/>
          <w:shd w:val="clear" w:color="auto" w:fill="FFFFFF"/>
        </w:rPr>
        <w:t>Neumeister et al., 2006)</w:t>
      </w:r>
      <w:r w:rsidRPr="00C421E4">
        <w:rPr>
          <w:rFonts w:ascii="Times" w:hAnsi="Times"/>
          <w:shd w:val="clear" w:color="auto" w:fill="FFFFFF"/>
        </w:rPr>
        <w:fldChar w:fldCharType="end"/>
      </w:r>
      <w:r w:rsidRPr="00C421E4">
        <w:rPr>
          <w:rFonts w:ascii="Times" w:hAnsi="Times"/>
          <w:shd w:val="clear" w:color="auto" w:fill="FFFFFF"/>
        </w:rPr>
        <w:t xml:space="preserve">.  Additionally, </w:t>
      </w:r>
      <w:r w:rsidRPr="00C421E4">
        <w:rPr>
          <w:rFonts w:ascii="Times" w:hAnsi="Times"/>
          <w:b/>
          <w:shd w:val="clear" w:color="auto" w:fill="FFFFFF"/>
        </w:rPr>
        <w:t>Study 2</w:t>
      </w:r>
      <w:r w:rsidRPr="00C421E4">
        <w:rPr>
          <w:rFonts w:ascii="Times" w:hAnsi="Times"/>
          <w:shd w:val="clear" w:color="auto" w:fill="FFFFFF"/>
        </w:rPr>
        <w:t xml:space="preserve"> was the first study to characterize ratings of negative IAPS images in chronic mTBI, and </w:t>
      </w:r>
      <w:r w:rsidRPr="00C421E4">
        <w:rPr>
          <w:rFonts w:ascii="Times" w:hAnsi="Times"/>
          <w:b/>
          <w:shd w:val="clear" w:color="auto" w:fill="FFFFFF"/>
        </w:rPr>
        <w:t>Study 3</w:t>
      </w:r>
      <w:r w:rsidRPr="00C421E4">
        <w:rPr>
          <w:rFonts w:ascii="Times" w:hAnsi="Times"/>
          <w:shd w:val="clear" w:color="auto" w:fill="FFFFFF"/>
        </w:rPr>
        <w:t xml:space="preserve"> was the first to characterize ratings of positive IAPS images.  Therefore, our results can be used as groundwork for future experiments that aim to probe emotional functioning following mTBI.</w:t>
      </w:r>
    </w:p>
    <w:p w14:paraId="55068392" w14:textId="77777777" w:rsidR="00F7044C" w:rsidRPr="00C421E4" w:rsidRDefault="00F7044C" w:rsidP="00F7044C">
      <w:pPr>
        <w:spacing w:line="480" w:lineRule="auto"/>
        <w:rPr>
          <w:rFonts w:ascii="Times" w:hAnsi="Times"/>
          <w:shd w:val="clear" w:color="auto" w:fill="FFFFFF"/>
        </w:rPr>
      </w:pPr>
    </w:p>
    <w:p w14:paraId="75F25D30" w14:textId="77777777" w:rsidR="00F7044C" w:rsidRPr="00C421E4" w:rsidRDefault="00F7044C" w:rsidP="00F7044C">
      <w:pPr>
        <w:spacing w:line="480" w:lineRule="auto"/>
        <w:rPr>
          <w:rFonts w:ascii="Times" w:hAnsi="Times"/>
          <w:shd w:val="clear" w:color="auto" w:fill="FFFFFF"/>
        </w:rPr>
      </w:pPr>
    </w:p>
    <w:p w14:paraId="6DEE02E1" w14:textId="77777777" w:rsidR="00F7044C" w:rsidRPr="00C421E4" w:rsidRDefault="00F7044C" w:rsidP="00F7044C">
      <w:pPr>
        <w:rPr>
          <w:rFonts w:ascii="Times" w:hAnsi="Times"/>
        </w:rPr>
      </w:pPr>
      <w:r w:rsidRPr="00C421E4">
        <w:rPr>
          <w:rFonts w:ascii="Times" w:hAnsi="Times"/>
        </w:rPr>
        <w:br w:type="page"/>
      </w:r>
    </w:p>
    <w:p w14:paraId="5EF16919" w14:textId="77777777" w:rsidR="00F7044C" w:rsidRPr="00C421E4" w:rsidRDefault="00F7044C" w:rsidP="00F7044C">
      <w:pPr>
        <w:rPr>
          <w:rFonts w:ascii="Times" w:hAnsi="Times"/>
        </w:rPr>
      </w:pPr>
    </w:p>
    <w:p w14:paraId="6E59CB8E" w14:textId="77777777" w:rsidR="00F7044C" w:rsidRPr="00C421E4" w:rsidRDefault="00F7044C" w:rsidP="00F7044C">
      <w:pPr>
        <w:rPr>
          <w:rFonts w:ascii="Times" w:hAnsi="Times"/>
        </w:rPr>
      </w:pPr>
    </w:p>
    <w:tbl>
      <w:tblPr>
        <w:tblW w:w="9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1301"/>
        <w:gridCol w:w="1309"/>
        <w:gridCol w:w="1375"/>
        <w:gridCol w:w="1300"/>
        <w:gridCol w:w="1300"/>
        <w:gridCol w:w="1300"/>
      </w:tblGrid>
      <w:tr w:rsidR="00F7044C" w:rsidRPr="00C421E4" w14:paraId="690B6933" w14:textId="77777777" w:rsidTr="00804E6B">
        <w:trPr>
          <w:trHeight w:val="320"/>
        </w:trPr>
        <w:tc>
          <w:tcPr>
            <w:tcW w:w="1975" w:type="dxa"/>
            <w:shd w:val="clear" w:color="auto" w:fill="auto"/>
            <w:noWrap/>
            <w:vAlign w:val="bottom"/>
            <w:hideMark/>
          </w:tcPr>
          <w:p w14:paraId="05E300DF" w14:textId="77777777" w:rsidR="00F7044C" w:rsidRPr="00C421E4" w:rsidRDefault="00F7044C" w:rsidP="00804E6B">
            <w:pPr>
              <w:jc w:val="center"/>
              <w:rPr>
                <w:rFonts w:ascii="Times" w:hAnsi="Times"/>
                <w:sz w:val="20"/>
                <w:szCs w:val="20"/>
              </w:rPr>
            </w:pPr>
          </w:p>
        </w:tc>
        <w:tc>
          <w:tcPr>
            <w:tcW w:w="2610" w:type="dxa"/>
            <w:gridSpan w:val="2"/>
            <w:shd w:val="clear" w:color="auto" w:fill="auto"/>
            <w:noWrap/>
            <w:vAlign w:val="bottom"/>
            <w:hideMark/>
          </w:tcPr>
          <w:p w14:paraId="70A52F45" w14:textId="77777777" w:rsidR="00F7044C" w:rsidRPr="00C421E4" w:rsidRDefault="00F7044C" w:rsidP="00804E6B">
            <w:pPr>
              <w:jc w:val="center"/>
              <w:rPr>
                <w:rFonts w:ascii="Times" w:hAnsi="Times"/>
              </w:rPr>
            </w:pPr>
            <w:r w:rsidRPr="00C421E4">
              <w:rPr>
                <w:rFonts w:ascii="Times" w:hAnsi="Times"/>
              </w:rPr>
              <w:t>Study 1</w:t>
            </w:r>
          </w:p>
        </w:tc>
        <w:tc>
          <w:tcPr>
            <w:tcW w:w="2675" w:type="dxa"/>
            <w:gridSpan w:val="2"/>
            <w:shd w:val="clear" w:color="auto" w:fill="auto"/>
            <w:noWrap/>
            <w:vAlign w:val="bottom"/>
            <w:hideMark/>
          </w:tcPr>
          <w:p w14:paraId="0C13561E" w14:textId="77777777" w:rsidR="00F7044C" w:rsidRPr="00C421E4" w:rsidRDefault="00F7044C" w:rsidP="00804E6B">
            <w:pPr>
              <w:jc w:val="center"/>
              <w:rPr>
                <w:rFonts w:ascii="Times" w:hAnsi="Times"/>
              </w:rPr>
            </w:pPr>
            <w:r w:rsidRPr="00C421E4">
              <w:rPr>
                <w:rFonts w:ascii="Times" w:hAnsi="Times"/>
              </w:rPr>
              <w:t>Study 2</w:t>
            </w:r>
          </w:p>
        </w:tc>
        <w:tc>
          <w:tcPr>
            <w:tcW w:w="2600" w:type="dxa"/>
            <w:gridSpan w:val="2"/>
            <w:shd w:val="clear" w:color="auto" w:fill="auto"/>
            <w:noWrap/>
            <w:vAlign w:val="bottom"/>
            <w:hideMark/>
          </w:tcPr>
          <w:p w14:paraId="5CDB6DAD" w14:textId="77777777" w:rsidR="00F7044C" w:rsidRPr="00C421E4" w:rsidRDefault="00F7044C" w:rsidP="00804E6B">
            <w:pPr>
              <w:jc w:val="center"/>
              <w:rPr>
                <w:rFonts w:ascii="Times" w:hAnsi="Times"/>
              </w:rPr>
            </w:pPr>
            <w:r w:rsidRPr="00C421E4">
              <w:rPr>
                <w:rFonts w:ascii="Times" w:hAnsi="Times"/>
              </w:rPr>
              <w:t>Study 3</w:t>
            </w:r>
          </w:p>
        </w:tc>
      </w:tr>
      <w:tr w:rsidR="00F7044C" w:rsidRPr="00C421E4" w14:paraId="41347270" w14:textId="77777777" w:rsidTr="00804E6B">
        <w:trPr>
          <w:trHeight w:val="320"/>
        </w:trPr>
        <w:tc>
          <w:tcPr>
            <w:tcW w:w="1975" w:type="dxa"/>
            <w:shd w:val="clear" w:color="auto" w:fill="auto"/>
            <w:noWrap/>
            <w:vAlign w:val="bottom"/>
            <w:hideMark/>
          </w:tcPr>
          <w:p w14:paraId="75CFC42F" w14:textId="77777777" w:rsidR="00F7044C" w:rsidRPr="00C421E4" w:rsidRDefault="00F7044C" w:rsidP="00804E6B">
            <w:pPr>
              <w:jc w:val="center"/>
              <w:rPr>
                <w:rFonts w:ascii="Times" w:hAnsi="Times"/>
              </w:rPr>
            </w:pPr>
          </w:p>
        </w:tc>
        <w:tc>
          <w:tcPr>
            <w:tcW w:w="1301" w:type="dxa"/>
            <w:shd w:val="clear" w:color="auto" w:fill="auto"/>
            <w:noWrap/>
            <w:vAlign w:val="bottom"/>
            <w:hideMark/>
          </w:tcPr>
          <w:p w14:paraId="3EA6262D" w14:textId="77777777" w:rsidR="00F7044C" w:rsidRPr="00C421E4" w:rsidRDefault="00F7044C" w:rsidP="00804E6B">
            <w:pPr>
              <w:jc w:val="center"/>
              <w:rPr>
                <w:rFonts w:ascii="Times" w:hAnsi="Times"/>
              </w:rPr>
            </w:pPr>
            <w:r w:rsidRPr="00C421E4">
              <w:rPr>
                <w:rFonts w:ascii="Times" w:hAnsi="Times"/>
              </w:rPr>
              <w:t>Non-TBI</w:t>
            </w:r>
          </w:p>
        </w:tc>
        <w:tc>
          <w:tcPr>
            <w:tcW w:w="1309" w:type="dxa"/>
            <w:shd w:val="clear" w:color="auto" w:fill="auto"/>
            <w:noWrap/>
            <w:vAlign w:val="bottom"/>
            <w:hideMark/>
          </w:tcPr>
          <w:p w14:paraId="071363CB" w14:textId="77777777" w:rsidR="00F7044C" w:rsidRPr="00C421E4" w:rsidRDefault="00F7044C" w:rsidP="00804E6B">
            <w:pPr>
              <w:jc w:val="center"/>
              <w:rPr>
                <w:rFonts w:ascii="Times" w:hAnsi="Times"/>
              </w:rPr>
            </w:pPr>
            <w:r w:rsidRPr="00C421E4">
              <w:rPr>
                <w:rFonts w:ascii="Times" w:hAnsi="Times"/>
              </w:rPr>
              <w:t>mTBI</w:t>
            </w:r>
          </w:p>
        </w:tc>
        <w:tc>
          <w:tcPr>
            <w:tcW w:w="1375" w:type="dxa"/>
            <w:shd w:val="clear" w:color="auto" w:fill="auto"/>
            <w:noWrap/>
            <w:vAlign w:val="bottom"/>
            <w:hideMark/>
          </w:tcPr>
          <w:p w14:paraId="0DE81540" w14:textId="77777777" w:rsidR="00F7044C" w:rsidRPr="00C421E4" w:rsidRDefault="00F7044C" w:rsidP="00804E6B">
            <w:pPr>
              <w:jc w:val="center"/>
              <w:rPr>
                <w:rFonts w:ascii="Times" w:hAnsi="Times"/>
              </w:rPr>
            </w:pPr>
            <w:r w:rsidRPr="00C421E4">
              <w:rPr>
                <w:rFonts w:ascii="Times" w:hAnsi="Times"/>
              </w:rPr>
              <w:t>Non-TBI</w:t>
            </w:r>
          </w:p>
        </w:tc>
        <w:tc>
          <w:tcPr>
            <w:tcW w:w="1300" w:type="dxa"/>
            <w:shd w:val="clear" w:color="auto" w:fill="auto"/>
            <w:noWrap/>
            <w:vAlign w:val="bottom"/>
            <w:hideMark/>
          </w:tcPr>
          <w:p w14:paraId="1B83FC10" w14:textId="77777777" w:rsidR="00F7044C" w:rsidRPr="00C421E4" w:rsidRDefault="00F7044C" w:rsidP="00804E6B">
            <w:pPr>
              <w:jc w:val="center"/>
              <w:rPr>
                <w:rFonts w:ascii="Times" w:hAnsi="Times"/>
              </w:rPr>
            </w:pPr>
            <w:r w:rsidRPr="00C421E4">
              <w:rPr>
                <w:rFonts w:ascii="Times" w:hAnsi="Times"/>
              </w:rPr>
              <w:t>mTBI</w:t>
            </w:r>
          </w:p>
        </w:tc>
        <w:tc>
          <w:tcPr>
            <w:tcW w:w="1300" w:type="dxa"/>
            <w:shd w:val="clear" w:color="auto" w:fill="auto"/>
            <w:noWrap/>
            <w:vAlign w:val="bottom"/>
            <w:hideMark/>
          </w:tcPr>
          <w:p w14:paraId="3169B40D" w14:textId="77777777" w:rsidR="00F7044C" w:rsidRPr="00C421E4" w:rsidRDefault="00F7044C" w:rsidP="00804E6B">
            <w:pPr>
              <w:jc w:val="center"/>
              <w:rPr>
                <w:rFonts w:ascii="Times" w:hAnsi="Times"/>
              </w:rPr>
            </w:pPr>
            <w:r w:rsidRPr="00C421E4">
              <w:rPr>
                <w:rFonts w:ascii="Times" w:hAnsi="Times"/>
              </w:rPr>
              <w:t>Non-TBI</w:t>
            </w:r>
          </w:p>
        </w:tc>
        <w:tc>
          <w:tcPr>
            <w:tcW w:w="1300" w:type="dxa"/>
            <w:shd w:val="clear" w:color="auto" w:fill="auto"/>
            <w:noWrap/>
            <w:vAlign w:val="bottom"/>
            <w:hideMark/>
          </w:tcPr>
          <w:p w14:paraId="3F2D2014" w14:textId="77777777" w:rsidR="00F7044C" w:rsidRPr="00C421E4" w:rsidRDefault="00F7044C" w:rsidP="00804E6B">
            <w:pPr>
              <w:jc w:val="center"/>
              <w:rPr>
                <w:rFonts w:ascii="Times" w:hAnsi="Times"/>
              </w:rPr>
            </w:pPr>
            <w:r w:rsidRPr="00C421E4">
              <w:rPr>
                <w:rFonts w:ascii="Times" w:hAnsi="Times"/>
              </w:rPr>
              <w:t>mTBI</w:t>
            </w:r>
          </w:p>
        </w:tc>
      </w:tr>
      <w:tr w:rsidR="00F7044C" w:rsidRPr="00C421E4" w14:paraId="511AC1CE" w14:textId="77777777" w:rsidTr="00804E6B">
        <w:trPr>
          <w:trHeight w:val="320"/>
        </w:trPr>
        <w:tc>
          <w:tcPr>
            <w:tcW w:w="9860" w:type="dxa"/>
            <w:gridSpan w:val="7"/>
            <w:shd w:val="clear" w:color="auto" w:fill="auto"/>
            <w:noWrap/>
            <w:vAlign w:val="bottom"/>
            <w:hideMark/>
          </w:tcPr>
          <w:p w14:paraId="1416FDFE" w14:textId="77777777" w:rsidR="00F7044C" w:rsidRPr="00C421E4" w:rsidRDefault="00F7044C" w:rsidP="00804E6B">
            <w:pPr>
              <w:jc w:val="center"/>
              <w:rPr>
                <w:rFonts w:ascii="Times" w:hAnsi="Times"/>
                <w:sz w:val="20"/>
                <w:szCs w:val="20"/>
              </w:rPr>
            </w:pPr>
            <w:r w:rsidRPr="00C421E4">
              <w:rPr>
                <w:rFonts w:ascii="Times" w:hAnsi="Times"/>
                <w:b/>
              </w:rPr>
              <w:t>Demographics</w:t>
            </w:r>
          </w:p>
        </w:tc>
      </w:tr>
      <w:tr w:rsidR="00F7044C" w:rsidRPr="00C421E4" w14:paraId="7E4BA65C" w14:textId="77777777" w:rsidTr="00804E6B">
        <w:trPr>
          <w:trHeight w:val="320"/>
        </w:trPr>
        <w:tc>
          <w:tcPr>
            <w:tcW w:w="1975" w:type="dxa"/>
            <w:shd w:val="clear" w:color="auto" w:fill="auto"/>
            <w:noWrap/>
            <w:vAlign w:val="bottom"/>
            <w:hideMark/>
          </w:tcPr>
          <w:p w14:paraId="0A89CF16" w14:textId="77777777" w:rsidR="00F7044C" w:rsidRPr="00C421E4" w:rsidRDefault="00F7044C" w:rsidP="00804E6B">
            <w:pPr>
              <w:jc w:val="center"/>
              <w:rPr>
                <w:rFonts w:ascii="Times" w:hAnsi="Times"/>
              </w:rPr>
            </w:pPr>
            <w:r w:rsidRPr="00C421E4">
              <w:rPr>
                <w:rFonts w:ascii="Times" w:hAnsi="Times"/>
              </w:rPr>
              <w:t>Sample size</w:t>
            </w:r>
          </w:p>
        </w:tc>
        <w:tc>
          <w:tcPr>
            <w:tcW w:w="1301" w:type="dxa"/>
            <w:shd w:val="clear" w:color="auto" w:fill="auto"/>
            <w:noWrap/>
            <w:vAlign w:val="bottom"/>
            <w:hideMark/>
          </w:tcPr>
          <w:p w14:paraId="63DA2AE6" w14:textId="77777777" w:rsidR="00F7044C" w:rsidRPr="00C421E4" w:rsidRDefault="00F7044C" w:rsidP="00804E6B">
            <w:pPr>
              <w:jc w:val="center"/>
              <w:rPr>
                <w:rFonts w:ascii="Times" w:hAnsi="Times"/>
              </w:rPr>
            </w:pPr>
            <w:r w:rsidRPr="00C421E4">
              <w:rPr>
                <w:rFonts w:ascii="Times" w:hAnsi="Times"/>
              </w:rPr>
              <w:t>26</w:t>
            </w:r>
          </w:p>
        </w:tc>
        <w:tc>
          <w:tcPr>
            <w:tcW w:w="1309" w:type="dxa"/>
            <w:shd w:val="clear" w:color="auto" w:fill="auto"/>
            <w:noWrap/>
            <w:vAlign w:val="bottom"/>
            <w:hideMark/>
          </w:tcPr>
          <w:p w14:paraId="43ACA454" w14:textId="77777777" w:rsidR="00F7044C" w:rsidRPr="00C421E4" w:rsidRDefault="00F7044C" w:rsidP="00804E6B">
            <w:pPr>
              <w:jc w:val="center"/>
              <w:rPr>
                <w:rFonts w:ascii="Times" w:hAnsi="Times"/>
              </w:rPr>
            </w:pPr>
            <w:r w:rsidRPr="00C421E4">
              <w:rPr>
                <w:rFonts w:ascii="Times" w:hAnsi="Times"/>
              </w:rPr>
              <w:t>30</w:t>
            </w:r>
          </w:p>
        </w:tc>
        <w:tc>
          <w:tcPr>
            <w:tcW w:w="1375" w:type="dxa"/>
            <w:shd w:val="clear" w:color="auto" w:fill="auto"/>
            <w:noWrap/>
            <w:vAlign w:val="bottom"/>
            <w:hideMark/>
          </w:tcPr>
          <w:p w14:paraId="5128FE23" w14:textId="77777777" w:rsidR="00F7044C" w:rsidRPr="00C421E4" w:rsidRDefault="00F7044C" w:rsidP="00804E6B">
            <w:pPr>
              <w:jc w:val="center"/>
              <w:rPr>
                <w:rFonts w:ascii="Times" w:hAnsi="Times"/>
              </w:rPr>
            </w:pPr>
            <w:r w:rsidRPr="00C421E4">
              <w:rPr>
                <w:rFonts w:ascii="Times" w:hAnsi="Times"/>
              </w:rPr>
              <w:t>41</w:t>
            </w:r>
          </w:p>
        </w:tc>
        <w:tc>
          <w:tcPr>
            <w:tcW w:w="1300" w:type="dxa"/>
            <w:shd w:val="clear" w:color="auto" w:fill="auto"/>
            <w:noWrap/>
            <w:vAlign w:val="bottom"/>
            <w:hideMark/>
          </w:tcPr>
          <w:p w14:paraId="2CAA5377" w14:textId="77777777" w:rsidR="00F7044C" w:rsidRPr="00C421E4" w:rsidRDefault="00F7044C" w:rsidP="00804E6B">
            <w:pPr>
              <w:jc w:val="center"/>
              <w:rPr>
                <w:rFonts w:ascii="Times" w:hAnsi="Times"/>
              </w:rPr>
            </w:pPr>
            <w:r w:rsidRPr="00C421E4">
              <w:rPr>
                <w:rFonts w:ascii="Times" w:hAnsi="Times"/>
              </w:rPr>
              <w:t>40</w:t>
            </w:r>
          </w:p>
        </w:tc>
        <w:tc>
          <w:tcPr>
            <w:tcW w:w="1300" w:type="dxa"/>
            <w:shd w:val="clear" w:color="auto" w:fill="auto"/>
            <w:noWrap/>
            <w:vAlign w:val="bottom"/>
            <w:hideMark/>
          </w:tcPr>
          <w:p w14:paraId="1D50D267" w14:textId="77777777" w:rsidR="00F7044C" w:rsidRPr="00C421E4" w:rsidRDefault="00F7044C" w:rsidP="00804E6B">
            <w:pPr>
              <w:jc w:val="center"/>
              <w:rPr>
                <w:rFonts w:ascii="Times" w:hAnsi="Times"/>
              </w:rPr>
            </w:pPr>
            <w:r w:rsidRPr="00C421E4">
              <w:rPr>
                <w:rFonts w:ascii="Times" w:hAnsi="Times"/>
              </w:rPr>
              <w:t>45</w:t>
            </w:r>
          </w:p>
        </w:tc>
        <w:tc>
          <w:tcPr>
            <w:tcW w:w="1300" w:type="dxa"/>
            <w:shd w:val="clear" w:color="auto" w:fill="auto"/>
            <w:noWrap/>
            <w:vAlign w:val="bottom"/>
            <w:hideMark/>
          </w:tcPr>
          <w:p w14:paraId="40A4688C" w14:textId="77777777" w:rsidR="00F7044C" w:rsidRPr="00C421E4" w:rsidRDefault="00F7044C" w:rsidP="00804E6B">
            <w:pPr>
              <w:jc w:val="center"/>
              <w:rPr>
                <w:rFonts w:ascii="Times" w:hAnsi="Times"/>
              </w:rPr>
            </w:pPr>
            <w:r w:rsidRPr="00C421E4">
              <w:rPr>
                <w:rFonts w:ascii="Times" w:hAnsi="Times"/>
              </w:rPr>
              <w:t>45</w:t>
            </w:r>
          </w:p>
        </w:tc>
      </w:tr>
      <w:tr w:rsidR="00F7044C" w:rsidRPr="00C421E4" w14:paraId="10EEE513" w14:textId="77777777" w:rsidTr="00804E6B">
        <w:trPr>
          <w:trHeight w:val="320"/>
        </w:trPr>
        <w:tc>
          <w:tcPr>
            <w:tcW w:w="1975" w:type="dxa"/>
            <w:shd w:val="clear" w:color="auto" w:fill="auto"/>
            <w:noWrap/>
            <w:vAlign w:val="bottom"/>
            <w:hideMark/>
          </w:tcPr>
          <w:p w14:paraId="373A2004" w14:textId="77777777" w:rsidR="00F7044C" w:rsidRPr="00C421E4" w:rsidRDefault="00F7044C" w:rsidP="00804E6B">
            <w:pPr>
              <w:jc w:val="center"/>
              <w:rPr>
                <w:rFonts w:ascii="Times" w:hAnsi="Times"/>
              </w:rPr>
            </w:pPr>
            <w:r w:rsidRPr="00C421E4">
              <w:rPr>
                <w:rFonts w:ascii="Times" w:hAnsi="Times"/>
              </w:rPr>
              <w:t>Age</w:t>
            </w:r>
          </w:p>
        </w:tc>
        <w:tc>
          <w:tcPr>
            <w:tcW w:w="1301" w:type="dxa"/>
            <w:shd w:val="clear" w:color="auto" w:fill="auto"/>
            <w:noWrap/>
            <w:vAlign w:val="bottom"/>
            <w:hideMark/>
          </w:tcPr>
          <w:p w14:paraId="4BEB1863" w14:textId="77777777" w:rsidR="00F7044C" w:rsidRPr="00C421E4" w:rsidRDefault="00F7044C" w:rsidP="00804E6B">
            <w:pPr>
              <w:jc w:val="center"/>
              <w:rPr>
                <w:rFonts w:ascii="Times" w:hAnsi="Times"/>
              </w:rPr>
            </w:pPr>
            <w:r w:rsidRPr="00C421E4">
              <w:rPr>
                <w:rFonts w:ascii="Times" w:hAnsi="Times"/>
              </w:rPr>
              <w:t>19.6 ± 1.3</w:t>
            </w:r>
          </w:p>
        </w:tc>
        <w:tc>
          <w:tcPr>
            <w:tcW w:w="1309" w:type="dxa"/>
            <w:shd w:val="clear" w:color="auto" w:fill="auto"/>
            <w:noWrap/>
            <w:vAlign w:val="bottom"/>
            <w:hideMark/>
          </w:tcPr>
          <w:p w14:paraId="15136D20" w14:textId="77777777" w:rsidR="00F7044C" w:rsidRPr="00C421E4" w:rsidRDefault="00F7044C" w:rsidP="00804E6B">
            <w:pPr>
              <w:jc w:val="center"/>
              <w:rPr>
                <w:rFonts w:ascii="Times" w:hAnsi="Times"/>
              </w:rPr>
            </w:pPr>
            <w:r w:rsidRPr="00C421E4">
              <w:rPr>
                <w:rFonts w:ascii="Times" w:hAnsi="Times"/>
              </w:rPr>
              <w:t>20.3 ± 1.5</w:t>
            </w:r>
          </w:p>
        </w:tc>
        <w:tc>
          <w:tcPr>
            <w:tcW w:w="1375" w:type="dxa"/>
            <w:shd w:val="clear" w:color="auto" w:fill="auto"/>
            <w:noWrap/>
            <w:vAlign w:val="bottom"/>
            <w:hideMark/>
          </w:tcPr>
          <w:p w14:paraId="254E3254" w14:textId="77777777" w:rsidR="00F7044C" w:rsidRPr="00C421E4" w:rsidRDefault="00F7044C" w:rsidP="00804E6B">
            <w:pPr>
              <w:jc w:val="center"/>
              <w:rPr>
                <w:rFonts w:ascii="Times" w:hAnsi="Times"/>
              </w:rPr>
            </w:pPr>
            <w:r w:rsidRPr="00C421E4">
              <w:rPr>
                <w:rFonts w:ascii="Times" w:hAnsi="Times"/>
              </w:rPr>
              <w:t>20.2 ± 19.9</w:t>
            </w:r>
          </w:p>
        </w:tc>
        <w:tc>
          <w:tcPr>
            <w:tcW w:w="1300" w:type="dxa"/>
            <w:shd w:val="clear" w:color="auto" w:fill="auto"/>
            <w:noWrap/>
            <w:vAlign w:val="bottom"/>
            <w:hideMark/>
          </w:tcPr>
          <w:p w14:paraId="43ED81DA" w14:textId="77777777" w:rsidR="00F7044C" w:rsidRPr="00C421E4" w:rsidRDefault="00F7044C" w:rsidP="00804E6B">
            <w:pPr>
              <w:jc w:val="center"/>
              <w:rPr>
                <w:rFonts w:ascii="Times" w:hAnsi="Times"/>
              </w:rPr>
            </w:pPr>
            <w:r w:rsidRPr="00C421E4">
              <w:rPr>
                <w:rFonts w:ascii="Times" w:hAnsi="Times"/>
              </w:rPr>
              <w:t>19.9 ± 1.5</w:t>
            </w:r>
          </w:p>
        </w:tc>
        <w:tc>
          <w:tcPr>
            <w:tcW w:w="1300" w:type="dxa"/>
            <w:shd w:val="clear" w:color="auto" w:fill="auto"/>
            <w:noWrap/>
            <w:vAlign w:val="bottom"/>
            <w:hideMark/>
          </w:tcPr>
          <w:p w14:paraId="099B7106" w14:textId="77777777" w:rsidR="00F7044C" w:rsidRPr="00C421E4" w:rsidRDefault="00F7044C" w:rsidP="00804E6B">
            <w:pPr>
              <w:jc w:val="center"/>
              <w:rPr>
                <w:rFonts w:ascii="Times" w:hAnsi="Times"/>
              </w:rPr>
            </w:pPr>
            <w:r w:rsidRPr="00C421E4">
              <w:rPr>
                <w:rFonts w:ascii="Times" w:hAnsi="Times"/>
              </w:rPr>
              <w:t>19.9 ± 1.3</w:t>
            </w:r>
          </w:p>
        </w:tc>
        <w:tc>
          <w:tcPr>
            <w:tcW w:w="1300" w:type="dxa"/>
            <w:shd w:val="clear" w:color="auto" w:fill="auto"/>
            <w:noWrap/>
            <w:vAlign w:val="bottom"/>
            <w:hideMark/>
          </w:tcPr>
          <w:p w14:paraId="2B4BAB14" w14:textId="77777777" w:rsidR="00F7044C" w:rsidRPr="00C421E4" w:rsidRDefault="00F7044C" w:rsidP="00804E6B">
            <w:pPr>
              <w:jc w:val="center"/>
              <w:rPr>
                <w:rFonts w:ascii="Times" w:hAnsi="Times"/>
              </w:rPr>
            </w:pPr>
            <w:r w:rsidRPr="00C421E4">
              <w:rPr>
                <w:rFonts w:ascii="Times" w:hAnsi="Times"/>
              </w:rPr>
              <w:t>20.0 ± 1.6</w:t>
            </w:r>
          </w:p>
        </w:tc>
      </w:tr>
      <w:tr w:rsidR="00F7044C" w:rsidRPr="00C421E4" w14:paraId="0FE294C2" w14:textId="77777777" w:rsidTr="00804E6B">
        <w:trPr>
          <w:trHeight w:val="320"/>
        </w:trPr>
        <w:tc>
          <w:tcPr>
            <w:tcW w:w="1975" w:type="dxa"/>
            <w:shd w:val="clear" w:color="auto" w:fill="auto"/>
            <w:noWrap/>
            <w:vAlign w:val="bottom"/>
            <w:hideMark/>
          </w:tcPr>
          <w:p w14:paraId="37D6D654" w14:textId="77777777" w:rsidR="00F7044C" w:rsidRPr="00C421E4" w:rsidRDefault="00F7044C" w:rsidP="00804E6B">
            <w:pPr>
              <w:jc w:val="center"/>
              <w:rPr>
                <w:rFonts w:ascii="Times" w:hAnsi="Times"/>
              </w:rPr>
            </w:pPr>
            <w:r w:rsidRPr="00C421E4">
              <w:rPr>
                <w:rFonts w:ascii="Times" w:hAnsi="Times"/>
              </w:rPr>
              <w:t>Gender (%F)</w:t>
            </w:r>
          </w:p>
        </w:tc>
        <w:tc>
          <w:tcPr>
            <w:tcW w:w="1301" w:type="dxa"/>
            <w:shd w:val="clear" w:color="auto" w:fill="auto"/>
            <w:noWrap/>
            <w:vAlign w:val="bottom"/>
            <w:hideMark/>
          </w:tcPr>
          <w:p w14:paraId="47E938D8" w14:textId="77777777" w:rsidR="00F7044C" w:rsidRPr="00C421E4" w:rsidRDefault="00F7044C" w:rsidP="00804E6B">
            <w:pPr>
              <w:jc w:val="center"/>
              <w:rPr>
                <w:rFonts w:ascii="Times" w:hAnsi="Times"/>
              </w:rPr>
            </w:pPr>
            <w:r w:rsidRPr="00C421E4">
              <w:rPr>
                <w:rFonts w:ascii="Times" w:hAnsi="Times"/>
              </w:rPr>
              <w:t>70</w:t>
            </w:r>
          </w:p>
        </w:tc>
        <w:tc>
          <w:tcPr>
            <w:tcW w:w="1309" w:type="dxa"/>
            <w:shd w:val="clear" w:color="auto" w:fill="auto"/>
            <w:noWrap/>
            <w:vAlign w:val="bottom"/>
            <w:hideMark/>
          </w:tcPr>
          <w:p w14:paraId="593698A0" w14:textId="77777777" w:rsidR="00F7044C" w:rsidRPr="00C421E4" w:rsidRDefault="00F7044C" w:rsidP="00804E6B">
            <w:pPr>
              <w:jc w:val="center"/>
              <w:rPr>
                <w:rFonts w:ascii="Times" w:hAnsi="Times"/>
              </w:rPr>
            </w:pPr>
            <w:r w:rsidRPr="00C421E4">
              <w:rPr>
                <w:rFonts w:ascii="Times" w:hAnsi="Times"/>
              </w:rPr>
              <w:t>58.6</w:t>
            </w:r>
          </w:p>
        </w:tc>
        <w:tc>
          <w:tcPr>
            <w:tcW w:w="1375" w:type="dxa"/>
            <w:shd w:val="clear" w:color="auto" w:fill="auto"/>
            <w:noWrap/>
            <w:vAlign w:val="bottom"/>
            <w:hideMark/>
          </w:tcPr>
          <w:p w14:paraId="1E8A0A05" w14:textId="77777777" w:rsidR="00F7044C" w:rsidRPr="00C421E4" w:rsidRDefault="00F7044C" w:rsidP="00804E6B">
            <w:pPr>
              <w:jc w:val="center"/>
              <w:rPr>
                <w:rFonts w:ascii="Times" w:hAnsi="Times"/>
              </w:rPr>
            </w:pPr>
            <w:r w:rsidRPr="00C421E4">
              <w:rPr>
                <w:rFonts w:ascii="Times" w:hAnsi="Times"/>
              </w:rPr>
              <w:t>70</w:t>
            </w:r>
          </w:p>
        </w:tc>
        <w:tc>
          <w:tcPr>
            <w:tcW w:w="1300" w:type="dxa"/>
            <w:shd w:val="clear" w:color="auto" w:fill="auto"/>
            <w:noWrap/>
            <w:vAlign w:val="bottom"/>
            <w:hideMark/>
          </w:tcPr>
          <w:p w14:paraId="30AF17C4" w14:textId="77777777" w:rsidR="00F7044C" w:rsidRPr="00C421E4" w:rsidRDefault="00F7044C" w:rsidP="00804E6B">
            <w:pPr>
              <w:jc w:val="center"/>
              <w:rPr>
                <w:rFonts w:ascii="Times" w:hAnsi="Times"/>
              </w:rPr>
            </w:pPr>
            <w:r w:rsidRPr="00C421E4">
              <w:rPr>
                <w:rFonts w:ascii="Times" w:hAnsi="Times"/>
              </w:rPr>
              <w:t>75.6</w:t>
            </w:r>
          </w:p>
        </w:tc>
        <w:tc>
          <w:tcPr>
            <w:tcW w:w="1300" w:type="dxa"/>
            <w:shd w:val="clear" w:color="auto" w:fill="auto"/>
            <w:noWrap/>
            <w:vAlign w:val="bottom"/>
            <w:hideMark/>
          </w:tcPr>
          <w:p w14:paraId="482F8BA6" w14:textId="77777777" w:rsidR="00F7044C" w:rsidRPr="00C421E4" w:rsidRDefault="00F7044C" w:rsidP="00804E6B">
            <w:pPr>
              <w:jc w:val="center"/>
              <w:rPr>
                <w:rFonts w:ascii="Times" w:hAnsi="Times"/>
              </w:rPr>
            </w:pPr>
            <w:r w:rsidRPr="00C421E4">
              <w:rPr>
                <w:rFonts w:ascii="Times" w:hAnsi="Times"/>
              </w:rPr>
              <w:t>42.2</w:t>
            </w:r>
          </w:p>
        </w:tc>
        <w:tc>
          <w:tcPr>
            <w:tcW w:w="1300" w:type="dxa"/>
            <w:shd w:val="clear" w:color="auto" w:fill="auto"/>
            <w:noWrap/>
            <w:vAlign w:val="bottom"/>
            <w:hideMark/>
          </w:tcPr>
          <w:p w14:paraId="630D4A27" w14:textId="77777777" w:rsidR="00F7044C" w:rsidRPr="00C421E4" w:rsidRDefault="00F7044C" w:rsidP="00804E6B">
            <w:pPr>
              <w:jc w:val="center"/>
              <w:rPr>
                <w:rFonts w:ascii="Times" w:hAnsi="Times"/>
              </w:rPr>
            </w:pPr>
            <w:r w:rsidRPr="00C421E4">
              <w:rPr>
                <w:rFonts w:ascii="Times" w:hAnsi="Times"/>
              </w:rPr>
              <w:t>42.2</w:t>
            </w:r>
          </w:p>
        </w:tc>
      </w:tr>
      <w:tr w:rsidR="00F7044C" w:rsidRPr="00C421E4" w14:paraId="31A0C9F1" w14:textId="77777777" w:rsidTr="00804E6B">
        <w:trPr>
          <w:trHeight w:val="320"/>
        </w:trPr>
        <w:tc>
          <w:tcPr>
            <w:tcW w:w="1975" w:type="dxa"/>
            <w:shd w:val="clear" w:color="auto" w:fill="auto"/>
            <w:noWrap/>
            <w:vAlign w:val="bottom"/>
            <w:hideMark/>
          </w:tcPr>
          <w:p w14:paraId="0271A11C" w14:textId="77777777" w:rsidR="00F7044C" w:rsidRPr="00C421E4" w:rsidRDefault="00F7044C" w:rsidP="00804E6B">
            <w:pPr>
              <w:jc w:val="center"/>
              <w:rPr>
                <w:rFonts w:ascii="Times" w:hAnsi="Times"/>
              </w:rPr>
            </w:pPr>
            <w:r w:rsidRPr="00C421E4">
              <w:rPr>
                <w:rFonts w:ascii="Times" w:hAnsi="Times"/>
              </w:rPr>
              <w:t>Years of Ed.</w:t>
            </w:r>
          </w:p>
        </w:tc>
        <w:tc>
          <w:tcPr>
            <w:tcW w:w="1301" w:type="dxa"/>
            <w:shd w:val="clear" w:color="auto" w:fill="auto"/>
            <w:noWrap/>
            <w:vAlign w:val="bottom"/>
            <w:hideMark/>
          </w:tcPr>
          <w:p w14:paraId="5C3E5F59" w14:textId="77777777" w:rsidR="00F7044C" w:rsidRPr="00C421E4" w:rsidRDefault="00F7044C" w:rsidP="00804E6B">
            <w:pPr>
              <w:jc w:val="center"/>
              <w:rPr>
                <w:rFonts w:ascii="Times" w:hAnsi="Times"/>
              </w:rPr>
            </w:pPr>
            <w:r w:rsidRPr="00C421E4">
              <w:rPr>
                <w:rFonts w:ascii="Times" w:hAnsi="Times"/>
              </w:rPr>
              <w:t>14.3 ± 1.2</w:t>
            </w:r>
          </w:p>
        </w:tc>
        <w:tc>
          <w:tcPr>
            <w:tcW w:w="1309" w:type="dxa"/>
            <w:shd w:val="clear" w:color="auto" w:fill="auto"/>
            <w:noWrap/>
            <w:vAlign w:val="bottom"/>
            <w:hideMark/>
          </w:tcPr>
          <w:p w14:paraId="5FDCD1AB" w14:textId="77777777" w:rsidR="00F7044C" w:rsidRPr="00C421E4" w:rsidRDefault="00F7044C" w:rsidP="00804E6B">
            <w:pPr>
              <w:jc w:val="center"/>
              <w:rPr>
                <w:rFonts w:ascii="Times" w:hAnsi="Times"/>
              </w:rPr>
            </w:pPr>
            <w:r w:rsidRPr="00C421E4">
              <w:rPr>
                <w:rFonts w:ascii="Times" w:hAnsi="Times"/>
              </w:rPr>
              <w:t>15.0 ± 1.3</w:t>
            </w:r>
          </w:p>
        </w:tc>
        <w:tc>
          <w:tcPr>
            <w:tcW w:w="1375" w:type="dxa"/>
            <w:shd w:val="clear" w:color="auto" w:fill="auto"/>
            <w:noWrap/>
            <w:vAlign w:val="bottom"/>
            <w:hideMark/>
          </w:tcPr>
          <w:p w14:paraId="35647306" w14:textId="77777777" w:rsidR="00F7044C" w:rsidRPr="00C421E4" w:rsidRDefault="00F7044C" w:rsidP="00804E6B">
            <w:pPr>
              <w:jc w:val="center"/>
              <w:rPr>
                <w:rFonts w:ascii="Times" w:hAnsi="Times"/>
              </w:rPr>
            </w:pPr>
            <w:r w:rsidRPr="00C421E4">
              <w:rPr>
                <w:rFonts w:ascii="Times" w:hAnsi="Times"/>
              </w:rPr>
              <w:t>14.9 ± 1.3</w:t>
            </w:r>
          </w:p>
        </w:tc>
        <w:tc>
          <w:tcPr>
            <w:tcW w:w="1300" w:type="dxa"/>
            <w:shd w:val="clear" w:color="auto" w:fill="auto"/>
            <w:noWrap/>
            <w:vAlign w:val="bottom"/>
            <w:hideMark/>
          </w:tcPr>
          <w:p w14:paraId="699D8837" w14:textId="77777777" w:rsidR="00F7044C" w:rsidRPr="00C421E4" w:rsidRDefault="00F7044C" w:rsidP="00804E6B">
            <w:pPr>
              <w:jc w:val="center"/>
              <w:rPr>
                <w:rFonts w:ascii="Times" w:hAnsi="Times"/>
              </w:rPr>
            </w:pPr>
            <w:r w:rsidRPr="00C421E4">
              <w:rPr>
                <w:rFonts w:ascii="Times" w:hAnsi="Times"/>
              </w:rPr>
              <w:t>14.6 ± 1.3</w:t>
            </w:r>
          </w:p>
        </w:tc>
        <w:tc>
          <w:tcPr>
            <w:tcW w:w="1300" w:type="dxa"/>
            <w:shd w:val="clear" w:color="auto" w:fill="auto"/>
            <w:noWrap/>
            <w:vAlign w:val="bottom"/>
            <w:hideMark/>
          </w:tcPr>
          <w:p w14:paraId="5B7F9A6B" w14:textId="77777777" w:rsidR="00F7044C" w:rsidRPr="00C421E4" w:rsidRDefault="00F7044C" w:rsidP="00804E6B">
            <w:pPr>
              <w:jc w:val="center"/>
              <w:rPr>
                <w:rFonts w:ascii="Times" w:hAnsi="Times"/>
              </w:rPr>
            </w:pPr>
            <w:r w:rsidRPr="00C421E4">
              <w:rPr>
                <w:rFonts w:ascii="Times" w:hAnsi="Times"/>
              </w:rPr>
              <w:t>14.3 ± 1.0</w:t>
            </w:r>
          </w:p>
        </w:tc>
        <w:tc>
          <w:tcPr>
            <w:tcW w:w="1300" w:type="dxa"/>
            <w:shd w:val="clear" w:color="auto" w:fill="auto"/>
            <w:noWrap/>
            <w:vAlign w:val="bottom"/>
            <w:hideMark/>
          </w:tcPr>
          <w:p w14:paraId="4953DF0D" w14:textId="77777777" w:rsidR="00F7044C" w:rsidRPr="00C421E4" w:rsidRDefault="00F7044C" w:rsidP="00804E6B">
            <w:pPr>
              <w:jc w:val="center"/>
              <w:rPr>
                <w:rFonts w:ascii="Times" w:hAnsi="Times"/>
              </w:rPr>
            </w:pPr>
            <w:r w:rsidRPr="00C421E4">
              <w:rPr>
                <w:rFonts w:ascii="Times" w:hAnsi="Times"/>
              </w:rPr>
              <w:t>14.3 ± 0.9</w:t>
            </w:r>
          </w:p>
        </w:tc>
      </w:tr>
      <w:tr w:rsidR="00F7044C" w:rsidRPr="00C421E4" w14:paraId="6423CF22" w14:textId="77777777" w:rsidTr="00804E6B">
        <w:trPr>
          <w:trHeight w:val="320"/>
        </w:trPr>
        <w:tc>
          <w:tcPr>
            <w:tcW w:w="9860" w:type="dxa"/>
            <w:gridSpan w:val="7"/>
            <w:shd w:val="clear" w:color="auto" w:fill="auto"/>
            <w:noWrap/>
            <w:vAlign w:val="bottom"/>
            <w:hideMark/>
          </w:tcPr>
          <w:p w14:paraId="007002B0" w14:textId="77777777" w:rsidR="00F7044C" w:rsidRPr="00C421E4" w:rsidRDefault="00F7044C" w:rsidP="00804E6B">
            <w:pPr>
              <w:jc w:val="center"/>
              <w:rPr>
                <w:rFonts w:ascii="Times" w:hAnsi="Times"/>
                <w:sz w:val="20"/>
                <w:szCs w:val="20"/>
              </w:rPr>
            </w:pPr>
            <w:r w:rsidRPr="00C421E4">
              <w:rPr>
                <w:rFonts w:ascii="Times" w:hAnsi="Times"/>
                <w:b/>
              </w:rPr>
              <w:t>TBI Characteristics</w:t>
            </w:r>
          </w:p>
        </w:tc>
      </w:tr>
      <w:tr w:rsidR="00F7044C" w:rsidRPr="00C421E4" w14:paraId="1D79E113" w14:textId="77777777" w:rsidTr="00804E6B">
        <w:trPr>
          <w:trHeight w:val="320"/>
        </w:trPr>
        <w:tc>
          <w:tcPr>
            <w:tcW w:w="1975" w:type="dxa"/>
            <w:shd w:val="clear" w:color="auto" w:fill="auto"/>
            <w:noWrap/>
            <w:vAlign w:val="bottom"/>
            <w:hideMark/>
          </w:tcPr>
          <w:p w14:paraId="4CCE4A35" w14:textId="77777777" w:rsidR="00F7044C" w:rsidRPr="00C421E4" w:rsidRDefault="00F7044C" w:rsidP="00804E6B">
            <w:pPr>
              <w:jc w:val="center"/>
              <w:rPr>
                <w:rFonts w:ascii="Times" w:hAnsi="Times"/>
              </w:rPr>
            </w:pPr>
            <w:r w:rsidRPr="00C421E4">
              <w:rPr>
                <w:rFonts w:ascii="Times" w:hAnsi="Times"/>
              </w:rPr>
              <w:t>Num. of mTBI</w:t>
            </w:r>
          </w:p>
        </w:tc>
        <w:tc>
          <w:tcPr>
            <w:tcW w:w="1301" w:type="dxa"/>
            <w:shd w:val="clear" w:color="auto" w:fill="auto"/>
            <w:noWrap/>
            <w:vAlign w:val="bottom"/>
            <w:hideMark/>
          </w:tcPr>
          <w:p w14:paraId="2101A60D"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574C0F8C" w14:textId="77777777" w:rsidR="00F7044C" w:rsidRPr="00C421E4" w:rsidRDefault="00F7044C" w:rsidP="00804E6B">
            <w:pPr>
              <w:jc w:val="center"/>
              <w:rPr>
                <w:rFonts w:ascii="Times" w:hAnsi="Times"/>
              </w:rPr>
            </w:pPr>
            <w:r w:rsidRPr="00C421E4">
              <w:rPr>
                <w:rFonts w:ascii="Times" w:hAnsi="Times"/>
              </w:rPr>
              <w:t>1.69 ± 1.1</w:t>
            </w:r>
          </w:p>
        </w:tc>
        <w:tc>
          <w:tcPr>
            <w:tcW w:w="1375" w:type="dxa"/>
            <w:shd w:val="clear" w:color="auto" w:fill="auto"/>
            <w:noWrap/>
            <w:vAlign w:val="bottom"/>
            <w:hideMark/>
          </w:tcPr>
          <w:p w14:paraId="1BFD4AFF" w14:textId="77777777" w:rsidR="00F7044C" w:rsidRPr="00C421E4" w:rsidRDefault="00F7044C" w:rsidP="00804E6B">
            <w:pPr>
              <w:jc w:val="center"/>
              <w:rPr>
                <w:rFonts w:ascii="Times" w:hAnsi="Times"/>
              </w:rPr>
            </w:pPr>
          </w:p>
        </w:tc>
        <w:tc>
          <w:tcPr>
            <w:tcW w:w="1300" w:type="dxa"/>
            <w:shd w:val="clear" w:color="auto" w:fill="auto"/>
            <w:noWrap/>
            <w:vAlign w:val="bottom"/>
            <w:hideMark/>
          </w:tcPr>
          <w:p w14:paraId="5F32EA02" w14:textId="77777777" w:rsidR="00F7044C" w:rsidRPr="00C421E4" w:rsidRDefault="00F7044C" w:rsidP="00804E6B">
            <w:pPr>
              <w:jc w:val="center"/>
              <w:rPr>
                <w:rFonts w:ascii="Times" w:hAnsi="Times"/>
              </w:rPr>
            </w:pPr>
            <w:r w:rsidRPr="00C421E4">
              <w:rPr>
                <w:rFonts w:ascii="Times" w:hAnsi="Times"/>
              </w:rPr>
              <w:t>1.65 ± 1.2</w:t>
            </w:r>
          </w:p>
        </w:tc>
        <w:tc>
          <w:tcPr>
            <w:tcW w:w="1300" w:type="dxa"/>
            <w:shd w:val="clear" w:color="auto" w:fill="auto"/>
            <w:noWrap/>
            <w:vAlign w:val="bottom"/>
            <w:hideMark/>
          </w:tcPr>
          <w:p w14:paraId="3F48329B" w14:textId="77777777" w:rsidR="00F7044C" w:rsidRPr="00C421E4" w:rsidRDefault="00F7044C" w:rsidP="00804E6B">
            <w:pPr>
              <w:jc w:val="center"/>
              <w:rPr>
                <w:rFonts w:ascii="Times" w:hAnsi="Times"/>
              </w:rPr>
            </w:pPr>
          </w:p>
        </w:tc>
        <w:tc>
          <w:tcPr>
            <w:tcW w:w="1300" w:type="dxa"/>
            <w:shd w:val="clear" w:color="auto" w:fill="auto"/>
            <w:noWrap/>
            <w:vAlign w:val="bottom"/>
            <w:hideMark/>
          </w:tcPr>
          <w:p w14:paraId="4FCA4304" w14:textId="77777777" w:rsidR="00F7044C" w:rsidRPr="00C421E4" w:rsidRDefault="00F7044C" w:rsidP="00804E6B">
            <w:pPr>
              <w:jc w:val="center"/>
              <w:rPr>
                <w:rFonts w:ascii="Times" w:hAnsi="Times"/>
              </w:rPr>
            </w:pPr>
            <w:r w:rsidRPr="00C421E4">
              <w:rPr>
                <w:rFonts w:ascii="Times" w:hAnsi="Times"/>
              </w:rPr>
              <w:t>2.2 ± 1.6</w:t>
            </w:r>
          </w:p>
        </w:tc>
      </w:tr>
      <w:tr w:rsidR="00F7044C" w:rsidRPr="00C421E4" w14:paraId="11B62823" w14:textId="77777777" w:rsidTr="00804E6B">
        <w:trPr>
          <w:trHeight w:val="320"/>
        </w:trPr>
        <w:tc>
          <w:tcPr>
            <w:tcW w:w="1975" w:type="dxa"/>
            <w:shd w:val="clear" w:color="auto" w:fill="auto"/>
            <w:noWrap/>
            <w:vAlign w:val="bottom"/>
            <w:hideMark/>
          </w:tcPr>
          <w:p w14:paraId="67BC499A" w14:textId="77777777" w:rsidR="00F7044C" w:rsidRPr="00C421E4" w:rsidRDefault="00F7044C" w:rsidP="00804E6B">
            <w:pPr>
              <w:jc w:val="center"/>
              <w:rPr>
                <w:rFonts w:ascii="Times" w:hAnsi="Times"/>
              </w:rPr>
            </w:pPr>
            <w:r w:rsidRPr="00C421E4">
              <w:rPr>
                <w:rFonts w:ascii="Times" w:hAnsi="Times"/>
              </w:rPr>
              <w:t>Years since mTBI</w:t>
            </w:r>
          </w:p>
        </w:tc>
        <w:tc>
          <w:tcPr>
            <w:tcW w:w="1301" w:type="dxa"/>
            <w:shd w:val="clear" w:color="auto" w:fill="auto"/>
            <w:noWrap/>
            <w:vAlign w:val="bottom"/>
            <w:hideMark/>
          </w:tcPr>
          <w:p w14:paraId="3D607F86"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3A0904B5" w14:textId="77777777" w:rsidR="00F7044C" w:rsidRPr="00C421E4" w:rsidRDefault="00F7044C" w:rsidP="00804E6B">
            <w:pPr>
              <w:jc w:val="center"/>
              <w:rPr>
                <w:rFonts w:ascii="Times" w:hAnsi="Times"/>
              </w:rPr>
            </w:pPr>
            <w:r w:rsidRPr="00C421E4">
              <w:rPr>
                <w:rFonts w:ascii="Times" w:hAnsi="Times"/>
              </w:rPr>
              <w:t>4.35 ± 3.14</w:t>
            </w:r>
          </w:p>
        </w:tc>
        <w:tc>
          <w:tcPr>
            <w:tcW w:w="1375" w:type="dxa"/>
            <w:shd w:val="clear" w:color="auto" w:fill="auto"/>
            <w:noWrap/>
            <w:vAlign w:val="bottom"/>
            <w:hideMark/>
          </w:tcPr>
          <w:p w14:paraId="0706631B" w14:textId="77777777" w:rsidR="00F7044C" w:rsidRPr="00C421E4" w:rsidRDefault="00F7044C" w:rsidP="00804E6B">
            <w:pPr>
              <w:jc w:val="center"/>
              <w:rPr>
                <w:rFonts w:ascii="Times" w:hAnsi="Times"/>
              </w:rPr>
            </w:pPr>
          </w:p>
        </w:tc>
        <w:tc>
          <w:tcPr>
            <w:tcW w:w="1300" w:type="dxa"/>
            <w:shd w:val="clear" w:color="auto" w:fill="auto"/>
            <w:noWrap/>
            <w:vAlign w:val="bottom"/>
            <w:hideMark/>
          </w:tcPr>
          <w:p w14:paraId="1B14C400" w14:textId="77777777" w:rsidR="00F7044C" w:rsidRPr="00C421E4" w:rsidRDefault="00F7044C" w:rsidP="00804E6B">
            <w:pPr>
              <w:jc w:val="center"/>
              <w:rPr>
                <w:rFonts w:ascii="Times" w:hAnsi="Times"/>
              </w:rPr>
            </w:pPr>
            <w:r w:rsidRPr="00C421E4">
              <w:rPr>
                <w:rFonts w:ascii="Times" w:hAnsi="Times"/>
              </w:rPr>
              <w:t>3.7 ± 2.9</w:t>
            </w:r>
          </w:p>
        </w:tc>
        <w:tc>
          <w:tcPr>
            <w:tcW w:w="1300" w:type="dxa"/>
            <w:shd w:val="clear" w:color="auto" w:fill="auto"/>
            <w:noWrap/>
            <w:vAlign w:val="bottom"/>
            <w:hideMark/>
          </w:tcPr>
          <w:p w14:paraId="06AFE887" w14:textId="77777777" w:rsidR="00F7044C" w:rsidRPr="00C421E4" w:rsidRDefault="00F7044C" w:rsidP="00804E6B">
            <w:pPr>
              <w:jc w:val="center"/>
              <w:rPr>
                <w:rFonts w:ascii="Times" w:hAnsi="Times"/>
              </w:rPr>
            </w:pPr>
          </w:p>
        </w:tc>
        <w:tc>
          <w:tcPr>
            <w:tcW w:w="1300" w:type="dxa"/>
            <w:shd w:val="clear" w:color="auto" w:fill="auto"/>
            <w:noWrap/>
            <w:vAlign w:val="bottom"/>
            <w:hideMark/>
          </w:tcPr>
          <w:p w14:paraId="2578432F" w14:textId="77777777" w:rsidR="00F7044C" w:rsidRPr="00C421E4" w:rsidRDefault="00F7044C" w:rsidP="00804E6B">
            <w:pPr>
              <w:jc w:val="center"/>
              <w:rPr>
                <w:rFonts w:ascii="Times" w:hAnsi="Times"/>
              </w:rPr>
            </w:pPr>
            <w:r w:rsidRPr="00C421E4">
              <w:rPr>
                <w:rFonts w:ascii="Times" w:hAnsi="Times"/>
              </w:rPr>
              <w:t>3.3 ± 1.5</w:t>
            </w:r>
          </w:p>
        </w:tc>
      </w:tr>
      <w:tr w:rsidR="00F7044C" w:rsidRPr="00C421E4" w14:paraId="551E2677" w14:textId="77777777" w:rsidTr="00804E6B">
        <w:trPr>
          <w:trHeight w:val="320"/>
        </w:trPr>
        <w:tc>
          <w:tcPr>
            <w:tcW w:w="9860" w:type="dxa"/>
            <w:gridSpan w:val="7"/>
            <w:shd w:val="clear" w:color="auto" w:fill="auto"/>
            <w:noWrap/>
            <w:vAlign w:val="bottom"/>
            <w:hideMark/>
          </w:tcPr>
          <w:p w14:paraId="142E73D3" w14:textId="77777777" w:rsidR="00F7044C" w:rsidRPr="00C421E4" w:rsidRDefault="00F7044C" w:rsidP="00804E6B">
            <w:pPr>
              <w:jc w:val="center"/>
              <w:rPr>
                <w:rFonts w:ascii="Times" w:hAnsi="Times"/>
                <w:sz w:val="20"/>
                <w:szCs w:val="20"/>
              </w:rPr>
            </w:pPr>
            <w:r w:rsidRPr="00C421E4">
              <w:rPr>
                <w:rFonts w:ascii="Times" w:hAnsi="Times"/>
                <w:b/>
              </w:rPr>
              <w:t>Emotional Stimuli</w:t>
            </w:r>
          </w:p>
        </w:tc>
      </w:tr>
      <w:tr w:rsidR="00F7044C" w:rsidRPr="00C421E4" w14:paraId="03FEC105" w14:textId="77777777" w:rsidTr="00804E6B">
        <w:trPr>
          <w:trHeight w:val="320"/>
        </w:trPr>
        <w:tc>
          <w:tcPr>
            <w:tcW w:w="1975" w:type="dxa"/>
            <w:shd w:val="clear" w:color="auto" w:fill="auto"/>
            <w:noWrap/>
            <w:vAlign w:val="bottom"/>
            <w:hideMark/>
          </w:tcPr>
          <w:p w14:paraId="00B681A5" w14:textId="77777777" w:rsidR="00F7044C" w:rsidRPr="00C421E4" w:rsidRDefault="00F7044C" w:rsidP="00804E6B">
            <w:pPr>
              <w:jc w:val="center"/>
              <w:rPr>
                <w:rFonts w:ascii="Times" w:hAnsi="Times"/>
              </w:rPr>
            </w:pPr>
            <w:r w:rsidRPr="00C421E4">
              <w:rPr>
                <w:rFonts w:ascii="Times" w:hAnsi="Times"/>
              </w:rPr>
              <w:t>Negative Valence</w:t>
            </w:r>
          </w:p>
        </w:tc>
        <w:tc>
          <w:tcPr>
            <w:tcW w:w="1301" w:type="dxa"/>
            <w:shd w:val="clear" w:color="auto" w:fill="auto"/>
            <w:noWrap/>
            <w:vAlign w:val="bottom"/>
            <w:hideMark/>
          </w:tcPr>
          <w:p w14:paraId="74984552"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10A84557" w14:textId="77777777" w:rsidR="00F7044C" w:rsidRPr="00C421E4" w:rsidRDefault="00F7044C" w:rsidP="00804E6B">
            <w:pPr>
              <w:jc w:val="center"/>
              <w:rPr>
                <w:rFonts w:ascii="Times" w:hAnsi="Times"/>
                <w:sz w:val="20"/>
                <w:szCs w:val="20"/>
              </w:rPr>
            </w:pPr>
          </w:p>
        </w:tc>
        <w:tc>
          <w:tcPr>
            <w:tcW w:w="1375" w:type="dxa"/>
            <w:shd w:val="clear" w:color="auto" w:fill="auto"/>
            <w:noWrap/>
            <w:vAlign w:val="bottom"/>
            <w:hideMark/>
          </w:tcPr>
          <w:p w14:paraId="2278E4DD" w14:textId="77777777" w:rsidR="00F7044C" w:rsidRPr="00C421E4" w:rsidRDefault="00F7044C" w:rsidP="00804E6B">
            <w:pPr>
              <w:jc w:val="center"/>
              <w:rPr>
                <w:rFonts w:ascii="Times" w:hAnsi="Times"/>
                <w:b/>
                <w:bCs/>
              </w:rPr>
            </w:pPr>
            <w:r w:rsidRPr="00C421E4">
              <w:rPr>
                <w:rFonts w:ascii="Times" w:hAnsi="Times"/>
                <w:b/>
                <w:bCs/>
              </w:rPr>
              <w:t>1.8 ± 0.5</w:t>
            </w:r>
          </w:p>
        </w:tc>
        <w:tc>
          <w:tcPr>
            <w:tcW w:w="1300" w:type="dxa"/>
            <w:shd w:val="clear" w:color="auto" w:fill="auto"/>
            <w:noWrap/>
            <w:vAlign w:val="bottom"/>
            <w:hideMark/>
          </w:tcPr>
          <w:p w14:paraId="12F0A5FD" w14:textId="77777777" w:rsidR="00F7044C" w:rsidRPr="00C421E4" w:rsidRDefault="00F7044C" w:rsidP="00804E6B">
            <w:pPr>
              <w:jc w:val="center"/>
              <w:rPr>
                <w:rFonts w:ascii="Times" w:hAnsi="Times"/>
                <w:b/>
                <w:bCs/>
              </w:rPr>
            </w:pPr>
            <w:r w:rsidRPr="00C421E4">
              <w:rPr>
                <w:rFonts w:ascii="Times" w:hAnsi="Times"/>
                <w:b/>
                <w:bCs/>
              </w:rPr>
              <w:t>1.9 ± 0.4</w:t>
            </w:r>
          </w:p>
        </w:tc>
        <w:tc>
          <w:tcPr>
            <w:tcW w:w="1300" w:type="dxa"/>
            <w:shd w:val="clear" w:color="auto" w:fill="auto"/>
            <w:noWrap/>
            <w:vAlign w:val="bottom"/>
            <w:hideMark/>
          </w:tcPr>
          <w:p w14:paraId="351C9B20" w14:textId="77777777" w:rsidR="00F7044C" w:rsidRPr="00C421E4" w:rsidRDefault="00F7044C" w:rsidP="00804E6B">
            <w:pPr>
              <w:jc w:val="center"/>
              <w:rPr>
                <w:rFonts w:ascii="Times" w:hAnsi="Times"/>
                <w:b/>
                <w:bCs/>
              </w:rPr>
            </w:pPr>
            <w:r w:rsidRPr="00C421E4">
              <w:rPr>
                <w:rFonts w:ascii="Times" w:hAnsi="Times"/>
                <w:b/>
                <w:bCs/>
              </w:rPr>
              <w:t>2.7 ± 0.8</w:t>
            </w:r>
          </w:p>
        </w:tc>
        <w:tc>
          <w:tcPr>
            <w:tcW w:w="1300" w:type="dxa"/>
            <w:shd w:val="clear" w:color="auto" w:fill="auto"/>
            <w:noWrap/>
            <w:vAlign w:val="bottom"/>
            <w:hideMark/>
          </w:tcPr>
          <w:p w14:paraId="2577E7A7" w14:textId="77777777" w:rsidR="00F7044C" w:rsidRPr="00C421E4" w:rsidRDefault="00F7044C" w:rsidP="00804E6B">
            <w:pPr>
              <w:jc w:val="center"/>
              <w:rPr>
                <w:rFonts w:ascii="Times" w:hAnsi="Times"/>
                <w:b/>
                <w:bCs/>
              </w:rPr>
            </w:pPr>
            <w:r w:rsidRPr="00C421E4">
              <w:rPr>
                <w:rFonts w:ascii="Times" w:hAnsi="Times"/>
                <w:b/>
                <w:bCs/>
              </w:rPr>
              <w:t>2.9 ± 0.7</w:t>
            </w:r>
          </w:p>
        </w:tc>
      </w:tr>
      <w:tr w:rsidR="00F7044C" w:rsidRPr="00C421E4" w14:paraId="1BAF15B1" w14:textId="77777777" w:rsidTr="00804E6B">
        <w:trPr>
          <w:trHeight w:val="320"/>
        </w:trPr>
        <w:tc>
          <w:tcPr>
            <w:tcW w:w="1975" w:type="dxa"/>
            <w:shd w:val="clear" w:color="auto" w:fill="auto"/>
            <w:noWrap/>
            <w:vAlign w:val="bottom"/>
            <w:hideMark/>
          </w:tcPr>
          <w:p w14:paraId="5F3F9E01" w14:textId="77777777" w:rsidR="00F7044C" w:rsidRPr="00C421E4" w:rsidRDefault="00F7044C" w:rsidP="00804E6B">
            <w:pPr>
              <w:jc w:val="center"/>
              <w:rPr>
                <w:rFonts w:ascii="Times" w:hAnsi="Times"/>
              </w:rPr>
            </w:pPr>
            <w:r w:rsidRPr="00C421E4">
              <w:rPr>
                <w:rFonts w:ascii="Times" w:hAnsi="Times"/>
              </w:rPr>
              <w:t>Negative Arousal</w:t>
            </w:r>
          </w:p>
        </w:tc>
        <w:tc>
          <w:tcPr>
            <w:tcW w:w="1301" w:type="dxa"/>
            <w:shd w:val="clear" w:color="auto" w:fill="auto"/>
            <w:noWrap/>
            <w:vAlign w:val="bottom"/>
            <w:hideMark/>
          </w:tcPr>
          <w:p w14:paraId="269D6741"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7F8EE8C0" w14:textId="77777777" w:rsidR="00F7044C" w:rsidRPr="00C421E4" w:rsidRDefault="00F7044C" w:rsidP="00804E6B">
            <w:pPr>
              <w:jc w:val="center"/>
              <w:rPr>
                <w:rFonts w:ascii="Times" w:hAnsi="Times"/>
                <w:sz w:val="20"/>
                <w:szCs w:val="20"/>
              </w:rPr>
            </w:pPr>
          </w:p>
        </w:tc>
        <w:tc>
          <w:tcPr>
            <w:tcW w:w="1375" w:type="dxa"/>
            <w:shd w:val="clear" w:color="auto" w:fill="auto"/>
            <w:noWrap/>
            <w:vAlign w:val="bottom"/>
            <w:hideMark/>
          </w:tcPr>
          <w:p w14:paraId="2883FA2C" w14:textId="77777777" w:rsidR="00F7044C" w:rsidRPr="00C421E4" w:rsidRDefault="00F7044C" w:rsidP="00804E6B">
            <w:pPr>
              <w:jc w:val="center"/>
              <w:rPr>
                <w:rFonts w:ascii="Times" w:hAnsi="Times"/>
              </w:rPr>
            </w:pPr>
            <w:r w:rsidRPr="00C421E4">
              <w:rPr>
                <w:rFonts w:ascii="Times" w:hAnsi="Times"/>
              </w:rPr>
              <w:t>5.12 ± 2.2</w:t>
            </w:r>
          </w:p>
        </w:tc>
        <w:tc>
          <w:tcPr>
            <w:tcW w:w="1300" w:type="dxa"/>
            <w:shd w:val="clear" w:color="auto" w:fill="auto"/>
            <w:noWrap/>
            <w:vAlign w:val="bottom"/>
            <w:hideMark/>
          </w:tcPr>
          <w:p w14:paraId="6A213D87" w14:textId="77777777" w:rsidR="00F7044C" w:rsidRPr="00C421E4" w:rsidRDefault="00F7044C" w:rsidP="00804E6B">
            <w:pPr>
              <w:jc w:val="center"/>
              <w:rPr>
                <w:rFonts w:ascii="Times" w:hAnsi="Times"/>
              </w:rPr>
            </w:pPr>
            <w:r w:rsidRPr="00C421E4">
              <w:rPr>
                <w:rFonts w:ascii="Times" w:hAnsi="Times"/>
              </w:rPr>
              <w:t>5.62 ± 1.6</w:t>
            </w:r>
          </w:p>
        </w:tc>
        <w:tc>
          <w:tcPr>
            <w:tcW w:w="1300" w:type="dxa"/>
            <w:shd w:val="clear" w:color="auto" w:fill="auto"/>
            <w:noWrap/>
            <w:vAlign w:val="bottom"/>
            <w:hideMark/>
          </w:tcPr>
          <w:p w14:paraId="18425231" w14:textId="77777777" w:rsidR="00F7044C" w:rsidRPr="00C421E4" w:rsidRDefault="00F7044C" w:rsidP="00804E6B">
            <w:pPr>
              <w:jc w:val="center"/>
              <w:rPr>
                <w:rFonts w:ascii="Times" w:hAnsi="Times"/>
              </w:rPr>
            </w:pPr>
            <w:r w:rsidRPr="00C421E4">
              <w:rPr>
                <w:rFonts w:ascii="Times" w:hAnsi="Times"/>
              </w:rPr>
              <w:t>1.9 ± 1.1</w:t>
            </w:r>
          </w:p>
        </w:tc>
        <w:tc>
          <w:tcPr>
            <w:tcW w:w="1300" w:type="dxa"/>
            <w:shd w:val="clear" w:color="auto" w:fill="auto"/>
            <w:noWrap/>
            <w:vAlign w:val="bottom"/>
            <w:hideMark/>
          </w:tcPr>
          <w:p w14:paraId="4357D5BA" w14:textId="77777777" w:rsidR="00F7044C" w:rsidRPr="00C421E4" w:rsidRDefault="00F7044C" w:rsidP="00804E6B">
            <w:pPr>
              <w:jc w:val="center"/>
              <w:rPr>
                <w:rFonts w:ascii="Times" w:hAnsi="Times"/>
              </w:rPr>
            </w:pPr>
            <w:r w:rsidRPr="00C421E4">
              <w:rPr>
                <w:rFonts w:ascii="Times" w:hAnsi="Times"/>
              </w:rPr>
              <w:t>5.47 ± 1.3</w:t>
            </w:r>
          </w:p>
        </w:tc>
      </w:tr>
      <w:tr w:rsidR="00F7044C" w:rsidRPr="00C421E4" w14:paraId="02B84292" w14:textId="77777777" w:rsidTr="00804E6B">
        <w:trPr>
          <w:trHeight w:val="320"/>
        </w:trPr>
        <w:tc>
          <w:tcPr>
            <w:tcW w:w="1975" w:type="dxa"/>
            <w:shd w:val="clear" w:color="auto" w:fill="auto"/>
            <w:noWrap/>
            <w:vAlign w:val="bottom"/>
            <w:hideMark/>
          </w:tcPr>
          <w:p w14:paraId="26DFE7F7" w14:textId="77777777" w:rsidR="00F7044C" w:rsidRPr="00C421E4" w:rsidRDefault="00F7044C" w:rsidP="00804E6B">
            <w:pPr>
              <w:jc w:val="center"/>
              <w:rPr>
                <w:rFonts w:ascii="Times" w:hAnsi="Times"/>
              </w:rPr>
            </w:pPr>
            <w:r w:rsidRPr="00C421E4">
              <w:rPr>
                <w:rFonts w:ascii="Times" w:hAnsi="Times"/>
              </w:rPr>
              <w:t>Neutral Valence</w:t>
            </w:r>
          </w:p>
        </w:tc>
        <w:tc>
          <w:tcPr>
            <w:tcW w:w="1301" w:type="dxa"/>
            <w:shd w:val="clear" w:color="auto" w:fill="auto"/>
            <w:noWrap/>
            <w:vAlign w:val="bottom"/>
            <w:hideMark/>
          </w:tcPr>
          <w:p w14:paraId="76D2BF33"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0DFE0AE1" w14:textId="77777777" w:rsidR="00F7044C" w:rsidRPr="00C421E4" w:rsidRDefault="00F7044C" w:rsidP="00804E6B">
            <w:pPr>
              <w:jc w:val="center"/>
              <w:rPr>
                <w:rFonts w:ascii="Times" w:hAnsi="Times"/>
                <w:sz w:val="20"/>
                <w:szCs w:val="20"/>
              </w:rPr>
            </w:pPr>
          </w:p>
        </w:tc>
        <w:tc>
          <w:tcPr>
            <w:tcW w:w="1375" w:type="dxa"/>
            <w:shd w:val="clear" w:color="auto" w:fill="auto"/>
            <w:noWrap/>
            <w:vAlign w:val="bottom"/>
            <w:hideMark/>
          </w:tcPr>
          <w:p w14:paraId="65F41D3F" w14:textId="77777777" w:rsidR="00F7044C" w:rsidRPr="00C421E4" w:rsidRDefault="00F7044C" w:rsidP="00804E6B">
            <w:pPr>
              <w:jc w:val="center"/>
              <w:rPr>
                <w:rFonts w:ascii="Times" w:hAnsi="Times"/>
              </w:rPr>
            </w:pPr>
            <w:r w:rsidRPr="00C421E4">
              <w:rPr>
                <w:rFonts w:ascii="Times" w:hAnsi="Times"/>
              </w:rPr>
              <w:t>4.9 ± .12</w:t>
            </w:r>
          </w:p>
        </w:tc>
        <w:tc>
          <w:tcPr>
            <w:tcW w:w="1300" w:type="dxa"/>
            <w:shd w:val="clear" w:color="auto" w:fill="auto"/>
            <w:noWrap/>
            <w:vAlign w:val="bottom"/>
            <w:hideMark/>
          </w:tcPr>
          <w:p w14:paraId="6112ECFA" w14:textId="77777777" w:rsidR="00F7044C" w:rsidRPr="00C421E4" w:rsidRDefault="00F7044C" w:rsidP="00804E6B">
            <w:pPr>
              <w:jc w:val="center"/>
              <w:rPr>
                <w:rFonts w:ascii="Times" w:hAnsi="Times"/>
              </w:rPr>
            </w:pPr>
            <w:r w:rsidRPr="00C421E4">
              <w:rPr>
                <w:rFonts w:ascii="Times" w:hAnsi="Times"/>
              </w:rPr>
              <w:t>4.9 ± .14</w:t>
            </w:r>
          </w:p>
        </w:tc>
        <w:tc>
          <w:tcPr>
            <w:tcW w:w="1300" w:type="dxa"/>
            <w:shd w:val="clear" w:color="auto" w:fill="auto"/>
            <w:noWrap/>
            <w:vAlign w:val="bottom"/>
            <w:hideMark/>
          </w:tcPr>
          <w:p w14:paraId="2E1A0CA9" w14:textId="77777777" w:rsidR="00F7044C" w:rsidRPr="00C421E4" w:rsidRDefault="00F7044C" w:rsidP="00804E6B">
            <w:pPr>
              <w:jc w:val="center"/>
              <w:rPr>
                <w:rFonts w:ascii="Times" w:hAnsi="Times"/>
              </w:rPr>
            </w:pPr>
            <w:r w:rsidRPr="00C421E4">
              <w:rPr>
                <w:rFonts w:ascii="Times" w:hAnsi="Times"/>
              </w:rPr>
              <w:t>5.1 ± .80</w:t>
            </w:r>
          </w:p>
        </w:tc>
        <w:tc>
          <w:tcPr>
            <w:tcW w:w="1300" w:type="dxa"/>
            <w:shd w:val="clear" w:color="auto" w:fill="auto"/>
            <w:noWrap/>
            <w:vAlign w:val="bottom"/>
            <w:hideMark/>
          </w:tcPr>
          <w:p w14:paraId="38648111" w14:textId="77777777" w:rsidR="00F7044C" w:rsidRPr="00C421E4" w:rsidRDefault="00F7044C" w:rsidP="00804E6B">
            <w:pPr>
              <w:jc w:val="center"/>
              <w:rPr>
                <w:rFonts w:ascii="Times" w:hAnsi="Times"/>
              </w:rPr>
            </w:pPr>
            <w:r w:rsidRPr="00C421E4">
              <w:rPr>
                <w:rFonts w:ascii="Times" w:hAnsi="Times"/>
              </w:rPr>
              <w:t>5.1 ± 0.5</w:t>
            </w:r>
          </w:p>
        </w:tc>
      </w:tr>
      <w:tr w:rsidR="00F7044C" w:rsidRPr="00C421E4" w14:paraId="1E8D4A5D" w14:textId="77777777" w:rsidTr="00804E6B">
        <w:trPr>
          <w:trHeight w:val="320"/>
        </w:trPr>
        <w:tc>
          <w:tcPr>
            <w:tcW w:w="1975" w:type="dxa"/>
            <w:shd w:val="clear" w:color="auto" w:fill="auto"/>
            <w:noWrap/>
            <w:vAlign w:val="bottom"/>
            <w:hideMark/>
          </w:tcPr>
          <w:p w14:paraId="71DE82E6" w14:textId="77777777" w:rsidR="00F7044C" w:rsidRPr="00C421E4" w:rsidRDefault="00F7044C" w:rsidP="00804E6B">
            <w:pPr>
              <w:jc w:val="center"/>
              <w:rPr>
                <w:rFonts w:ascii="Times" w:hAnsi="Times"/>
              </w:rPr>
            </w:pPr>
            <w:r w:rsidRPr="00C421E4">
              <w:rPr>
                <w:rFonts w:ascii="Times" w:hAnsi="Times"/>
              </w:rPr>
              <w:t>Neutral Arousal</w:t>
            </w:r>
          </w:p>
        </w:tc>
        <w:tc>
          <w:tcPr>
            <w:tcW w:w="1301" w:type="dxa"/>
            <w:shd w:val="clear" w:color="auto" w:fill="auto"/>
            <w:noWrap/>
            <w:vAlign w:val="bottom"/>
            <w:hideMark/>
          </w:tcPr>
          <w:p w14:paraId="0050A3AD" w14:textId="77777777" w:rsidR="00F7044C" w:rsidRPr="00C421E4" w:rsidRDefault="00F7044C" w:rsidP="00804E6B">
            <w:pPr>
              <w:jc w:val="center"/>
              <w:rPr>
                <w:rFonts w:ascii="Times" w:hAnsi="Times"/>
              </w:rPr>
            </w:pPr>
          </w:p>
        </w:tc>
        <w:tc>
          <w:tcPr>
            <w:tcW w:w="1309" w:type="dxa"/>
            <w:shd w:val="clear" w:color="auto" w:fill="auto"/>
            <w:noWrap/>
            <w:vAlign w:val="bottom"/>
            <w:hideMark/>
          </w:tcPr>
          <w:p w14:paraId="30A3E077" w14:textId="77777777" w:rsidR="00F7044C" w:rsidRPr="00C421E4" w:rsidRDefault="00F7044C" w:rsidP="00804E6B">
            <w:pPr>
              <w:jc w:val="center"/>
              <w:rPr>
                <w:rFonts w:ascii="Times" w:hAnsi="Times"/>
                <w:sz w:val="20"/>
                <w:szCs w:val="20"/>
              </w:rPr>
            </w:pPr>
          </w:p>
        </w:tc>
        <w:tc>
          <w:tcPr>
            <w:tcW w:w="1375" w:type="dxa"/>
            <w:shd w:val="clear" w:color="auto" w:fill="auto"/>
            <w:noWrap/>
            <w:vAlign w:val="bottom"/>
            <w:hideMark/>
          </w:tcPr>
          <w:p w14:paraId="19E70D0D" w14:textId="77777777" w:rsidR="00F7044C" w:rsidRPr="00C421E4" w:rsidRDefault="00F7044C" w:rsidP="00804E6B">
            <w:pPr>
              <w:jc w:val="center"/>
              <w:rPr>
                <w:rFonts w:ascii="Times" w:hAnsi="Times"/>
              </w:rPr>
            </w:pPr>
            <w:r w:rsidRPr="00C421E4">
              <w:rPr>
                <w:rFonts w:ascii="Times" w:hAnsi="Times"/>
              </w:rPr>
              <w:t>2.4 ± 1.2</w:t>
            </w:r>
          </w:p>
        </w:tc>
        <w:tc>
          <w:tcPr>
            <w:tcW w:w="1300" w:type="dxa"/>
            <w:shd w:val="clear" w:color="auto" w:fill="auto"/>
            <w:noWrap/>
            <w:vAlign w:val="bottom"/>
            <w:hideMark/>
          </w:tcPr>
          <w:p w14:paraId="4FEC6917" w14:textId="77777777" w:rsidR="00F7044C" w:rsidRPr="00C421E4" w:rsidRDefault="00F7044C" w:rsidP="00804E6B">
            <w:pPr>
              <w:jc w:val="center"/>
              <w:rPr>
                <w:rFonts w:ascii="Times" w:hAnsi="Times"/>
              </w:rPr>
            </w:pPr>
            <w:r w:rsidRPr="00C421E4">
              <w:rPr>
                <w:rFonts w:ascii="Times" w:hAnsi="Times"/>
              </w:rPr>
              <w:t>2.3 ± 1.2</w:t>
            </w:r>
          </w:p>
        </w:tc>
        <w:tc>
          <w:tcPr>
            <w:tcW w:w="1300" w:type="dxa"/>
            <w:shd w:val="clear" w:color="auto" w:fill="auto"/>
            <w:noWrap/>
            <w:vAlign w:val="bottom"/>
            <w:hideMark/>
          </w:tcPr>
          <w:p w14:paraId="3B886821" w14:textId="77777777" w:rsidR="00F7044C" w:rsidRPr="00C421E4" w:rsidRDefault="00F7044C" w:rsidP="00804E6B">
            <w:pPr>
              <w:jc w:val="center"/>
              <w:rPr>
                <w:rFonts w:ascii="Times" w:hAnsi="Times"/>
              </w:rPr>
            </w:pPr>
            <w:r w:rsidRPr="00C421E4">
              <w:rPr>
                <w:rFonts w:ascii="Times" w:hAnsi="Times"/>
              </w:rPr>
              <w:t>1.9 ± 1.1</w:t>
            </w:r>
          </w:p>
        </w:tc>
        <w:tc>
          <w:tcPr>
            <w:tcW w:w="1300" w:type="dxa"/>
            <w:shd w:val="clear" w:color="auto" w:fill="auto"/>
            <w:noWrap/>
            <w:vAlign w:val="bottom"/>
            <w:hideMark/>
          </w:tcPr>
          <w:p w14:paraId="7B0F8C7B" w14:textId="77777777" w:rsidR="00F7044C" w:rsidRPr="00C421E4" w:rsidRDefault="00F7044C" w:rsidP="00804E6B">
            <w:pPr>
              <w:jc w:val="center"/>
              <w:rPr>
                <w:rFonts w:ascii="Times" w:hAnsi="Times"/>
              </w:rPr>
            </w:pPr>
            <w:r w:rsidRPr="00C421E4">
              <w:rPr>
                <w:rFonts w:ascii="Times" w:hAnsi="Times"/>
              </w:rPr>
              <w:t>1.9 ± 1.0</w:t>
            </w:r>
          </w:p>
        </w:tc>
      </w:tr>
    </w:tbl>
    <w:p w14:paraId="2D6A990B" w14:textId="77777777" w:rsidR="00F7044C" w:rsidRPr="00C421E4" w:rsidRDefault="00F7044C" w:rsidP="00F7044C">
      <w:pPr>
        <w:rPr>
          <w:rFonts w:ascii="Times" w:hAnsi="Times"/>
        </w:rPr>
      </w:pPr>
    </w:p>
    <w:p w14:paraId="6D7E0ADE" w14:textId="77777777" w:rsidR="00F7044C" w:rsidRPr="00C421E4" w:rsidRDefault="00F7044C" w:rsidP="00F7044C">
      <w:pPr>
        <w:spacing w:line="480" w:lineRule="auto"/>
        <w:rPr>
          <w:rFonts w:ascii="Times" w:hAnsi="Times"/>
        </w:rPr>
      </w:pPr>
      <w:r>
        <w:rPr>
          <w:rFonts w:ascii="Times" w:hAnsi="Times"/>
        </w:rPr>
        <w:t>Table 18</w:t>
      </w:r>
      <w:r w:rsidRPr="00C421E4">
        <w:rPr>
          <w:rFonts w:ascii="Times" w:hAnsi="Times"/>
        </w:rPr>
        <w:t xml:space="preserve">: Quantitative comparison of Studies 1-3. Bold indicates statistical significance between studies. </w:t>
      </w:r>
      <w:r w:rsidRPr="00C421E4">
        <w:rPr>
          <w:rFonts w:ascii="Times" w:hAnsi="Time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1890"/>
        <w:gridCol w:w="2250"/>
        <w:gridCol w:w="3168"/>
      </w:tblGrid>
      <w:tr w:rsidR="00F7044C" w:rsidRPr="00C421E4" w14:paraId="3801F4D8" w14:textId="77777777" w:rsidTr="00804E6B">
        <w:trPr>
          <w:trHeight w:val="320"/>
        </w:trPr>
        <w:tc>
          <w:tcPr>
            <w:tcW w:w="1548" w:type="dxa"/>
            <w:shd w:val="clear" w:color="auto" w:fill="auto"/>
            <w:noWrap/>
            <w:vAlign w:val="center"/>
            <w:hideMark/>
          </w:tcPr>
          <w:p w14:paraId="1773D89E" w14:textId="77777777" w:rsidR="00F7044C" w:rsidRPr="00C421E4" w:rsidRDefault="00F7044C" w:rsidP="00804E6B">
            <w:pPr>
              <w:jc w:val="center"/>
              <w:rPr>
                <w:rFonts w:ascii="Times" w:hAnsi="Times"/>
                <w:b/>
                <w:sz w:val="20"/>
                <w:szCs w:val="20"/>
              </w:rPr>
            </w:pPr>
          </w:p>
        </w:tc>
        <w:tc>
          <w:tcPr>
            <w:tcW w:w="1890" w:type="dxa"/>
            <w:shd w:val="clear" w:color="auto" w:fill="auto"/>
            <w:noWrap/>
            <w:vAlign w:val="center"/>
            <w:hideMark/>
          </w:tcPr>
          <w:p w14:paraId="5249E383" w14:textId="77777777" w:rsidR="00F7044C" w:rsidRPr="00C421E4" w:rsidRDefault="00F7044C" w:rsidP="00804E6B">
            <w:pPr>
              <w:jc w:val="center"/>
              <w:rPr>
                <w:rFonts w:ascii="Times" w:hAnsi="Times"/>
                <w:b/>
              </w:rPr>
            </w:pPr>
            <w:r w:rsidRPr="00C421E4">
              <w:rPr>
                <w:rFonts w:ascii="Times" w:hAnsi="Times"/>
                <w:b/>
              </w:rPr>
              <w:t>Study 1</w:t>
            </w:r>
          </w:p>
        </w:tc>
        <w:tc>
          <w:tcPr>
            <w:tcW w:w="2250" w:type="dxa"/>
            <w:shd w:val="clear" w:color="auto" w:fill="auto"/>
            <w:noWrap/>
            <w:vAlign w:val="center"/>
            <w:hideMark/>
          </w:tcPr>
          <w:p w14:paraId="77AA08AE" w14:textId="77777777" w:rsidR="00F7044C" w:rsidRPr="00C421E4" w:rsidRDefault="00F7044C" w:rsidP="00804E6B">
            <w:pPr>
              <w:jc w:val="center"/>
              <w:rPr>
                <w:rFonts w:ascii="Times" w:hAnsi="Times"/>
                <w:b/>
              </w:rPr>
            </w:pPr>
            <w:r w:rsidRPr="00C421E4">
              <w:rPr>
                <w:rFonts w:ascii="Times" w:hAnsi="Times"/>
                <w:b/>
              </w:rPr>
              <w:t>Study 2</w:t>
            </w:r>
          </w:p>
        </w:tc>
        <w:tc>
          <w:tcPr>
            <w:tcW w:w="3168" w:type="dxa"/>
            <w:shd w:val="clear" w:color="auto" w:fill="auto"/>
            <w:noWrap/>
            <w:vAlign w:val="center"/>
            <w:hideMark/>
          </w:tcPr>
          <w:p w14:paraId="511BF139" w14:textId="77777777" w:rsidR="00F7044C" w:rsidRPr="00C421E4" w:rsidRDefault="00F7044C" w:rsidP="00804E6B">
            <w:pPr>
              <w:jc w:val="center"/>
              <w:rPr>
                <w:rFonts w:ascii="Times" w:hAnsi="Times"/>
                <w:b/>
              </w:rPr>
            </w:pPr>
            <w:r w:rsidRPr="00C421E4">
              <w:rPr>
                <w:rFonts w:ascii="Times" w:hAnsi="Times"/>
                <w:b/>
              </w:rPr>
              <w:t>Study 3</w:t>
            </w:r>
          </w:p>
        </w:tc>
      </w:tr>
      <w:tr w:rsidR="00F7044C" w:rsidRPr="00C421E4" w14:paraId="2454EA82" w14:textId="77777777" w:rsidTr="00804E6B">
        <w:trPr>
          <w:trHeight w:val="320"/>
        </w:trPr>
        <w:tc>
          <w:tcPr>
            <w:tcW w:w="1548" w:type="dxa"/>
            <w:shd w:val="clear" w:color="auto" w:fill="auto"/>
            <w:noWrap/>
            <w:vAlign w:val="center"/>
          </w:tcPr>
          <w:p w14:paraId="3E1AD3D7" w14:textId="77777777" w:rsidR="00F7044C" w:rsidRPr="00C421E4" w:rsidRDefault="00F7044C" w:rsidP="00804E6B">
            <w:pPr>
              <w:jc w:val="center"/>
              <w:rPr>
                <w:rFonts w:ascii="Times" w:hAnsi="Times"/>
              </w:rPr>
            </w:pPr>
            <w:r w:rsidRPr="00C421E4">
              <w:rPr>
                <w:rFonts w:ascii="Times" w:hAnsi="Times"/>
              </w:rPr>
              <w:t>Hypotheses</w:t>
            </w:r>
          </w:p>
        </w:tc>
        <w:tc>
          <w:tcPr>
            <w:tcW w:w="1890" w:type="dxa"/>
            <w:shd w:val="clear" w:color="auto" w:fill="auto"/>
            <w:noWrap/>
            <w:vAlign w:val="center"/>
          </w:tcPr>
          <w:p w14:paraId="263DC2FD" w14:textId="77777777" w:rsidR="00F7044C" w:rsidRPr="00C421E4" w:rsidRDefault="00F7044C" w:rsidP="00804E6B">
            <w:pPr>
              <w:jc w:val="center"/>
              <w:rPr>
                <w:rFonts w:ascii="Times" w:hAnsi="Times"/>
              </w:rPr>
            </w:pPr>
            <w:r w:rsidRPr="00C421E4">
              <w:rPr>
                <w:rFonts w:ascii="Times" w:hAnsi="Times"/>
              </w:rPr>
              <w:t>Sleep-dependent memory consolidation of neutral stimuli will be reduced in a chronic mTBI sample</w:t>
            </w:r>
          </w:p>
        </w:tc>
        <w:tc>
          <w:tcPr>
            <w:tcW w:w="2250" w:type="dxa"/>
            <w:shd w:val="clear" w:color="auto" w:fill="auto"/>
            <w:noWrap/>
            <w:vAlign w:val="center"/>
          </w:tcPr>
          <w:p w14:paraId="2A6E1C42" w14:textId="77777777" w:rsidR="00F7044C" w:rsidRPr="00C421E4" w:rsidRDefault="00F7044C" w:rsidP="00804E6B">
            <w:pPr>
              <w:jc w:val="center"/>
              <w:rPr>
                <w:rFonts w:ascii="Times" w:hAnsi="Times"/>
              </w:rPr>
            </w:pPr>
            <w:r w:rsidRPr="00C421E4">
              <w:rPr>
                <w:rFonts w:ascii="Times" w:hAnsi="Times"/>
              </w:rPr>
              <w:t>Sleep-dependent memory consolidation of emotional stimuli will be reduced in a chronic mTBI sample</w:t>
            </w:r>
          </w:p>
        </w:tc>
        <w:tc>
          <w:tcPr>
            <w:tcW w:w="3168" w:type="dxa"/>
            <w:shd w:val="clear" w:color="auto" w:fill="auto"/>
            <w:noWrap/>
            <w:vAlign w:val="center"/>
          </w:tcPr>
          <w:p w14:paraId="5D3EDA3B" w14:textId="77777777" w:rsidR="00F7044C" w:rsidRPr="00C421E4" w:rsidRDefault="00F7044C" w:rsidP="00804E6B">
            <w:pPr>
              <w:jc w:val="center"/>
              <w:rPr>
                <w:rFonts w:ascii="Times" w:hAnsi="Times"/>
              </w:rPr>
            </w:pPr>
            <w:r w:rsidRPr="00C421E4">
              <w:rPr>
                <w:rFonts w:ascii="Times" w:hAnsi="Times"/>
              </w:rPr>
              <w:t>(1) Emotion habituation will be reduced in a chronic mTBI sample</w:t>
            </w:r>
          </w:p>
          <w:p w14:paraId="4F46E37F" w14:textId="77777777" w:rsidR="00F7044C" w:rsidRPr="00C421E4" w:rsidRDefault="00F7044C" w:rsidP="00804E6B">
            <w:pPr>
              <w:jc w:val="center"/>
              <w:rPr>
                <w:rFonts w:ascii="Times" w:hAnsi="Times"/>
              </w:rPr>
            </w:pPr>
            <w:r w:rsidRPr="00C421E4">
              <w:rPr>
                <w:rFonts w:ascii="Times" w:hAnsi="Times"/>
              </w:rPr>
              <w:t>(2) Reactivity will be blunted in a chronic mTBI sample, circadian rhythmicity will play a role</w:t>
            </w:r>
          </w:p>
          <w:p w14:paraId="6D9265B6" w14:textId="77777777" w:rsidR="00F7044C" w:rsidRPr="00C421E4" w:rsidRDefault="00F7044C" w:rsidP="00804E6B">
            <w:pPr>
              <w:jc w:val="center"/>
              <w:rPr>
                <w:rFonts w:ascii="Times" w:hAnsi="Times"/>
              </w:rPr>
            </w:pPr>
            <w:r w:rsidRPr="00C421E4">
              <w:rPr>
                <w:rFonts w:ascii="Times" w:hAnsi="Times"/>
              </w:rPr>
              <w:t>(3) Habituation and reactivity will predict mood disturbances</w:t>
            </w:r>
          </w:p>
        </w:tc>
      </w:tr>
      <w:tr w:rsidR="00F7044C" w:rsidRPr="00C421E4" w14:paraId="1BA1BF4F" w14:textId="77777777" w:rsidTr="00804E6B">
        <w:trPr>
          <w:trHeight w:val="320"/>
        </w:trPr>
        <w:tc>
          <w:tcPr>
            <w:tcW w:w="1548" w:type="dxa"/>
            <w:shd w:val="clear" w:color="auto" w:fill="auto"/>
            <w:noWrap/>
            <w:vAlign w:val="center"/>
          </w:tcPr>
          <w:p w14:paraId="68B54C93" w14:textId="77777777" w:rsidR="00F7044C" w:rsidRPr="00C421E4" w:rsidRDefault="00F7044C" w:rsidP="00804E6B">
            <w:pPr>
              <w:jc w:val="center"/>
              <w:rPr>
                <w:rFonts w:ascii="Times" w:hAnsi="Times"/>
              </w:rPr>
            </w:pPr>
            <w:r w:rsidRPr="00C421E4">
              <w:rPr>
                <w:rFonts w:ascii="Times" w:hAnsi="Times"/>
              </w:rPr>
              <w:t>Findings</w:t>
            </w:r>
          </w:p>
        </w:tc>
        <w:tc>
          <w:tcPr>
            <w:tcW w:w="1890" w:type="dxa"/>
            <w:shd w:val="clear" w:color="auto" w:fill="auto"/>
            <w:noWrap/>
            <w:vAlign w:val="center"/>
          </w:tcPr>
          <w:p w14:paraId="0E478AF5" w14:textId="77777777" w:rsidR="00F7044C" w:rsidRPr="00C421E4" w:rsidRDefault="00F7044C" w:rsidP="00804E6B">
            <w:pPr>
              <w:jc w:val="center"/>
              <w:rPr>
                <w:rFonts w:ascii="Times" w:hAnsi="Times"/>
              </w:rPr>
            </w:pPr>
            <w:r w:rsidRPr="00C421E4">
              <w:rPr>
                <w:rFonts w:ascii="Times" w:hAnsi="Times"/>
              </w:rPr>
              <w:t>Sleep-dependent memory consolidation was exhibited in both mTBI and non-TBI groups equivalently</w:t>
            </w:r>
          </w:p>
        </w:tc>
        <w:tc>
          <w:tcPr>
            <w:tcW w:w="2250" w:type="dxa"/>
            <w:shd w:val="clear" w:color="auto" w:fill="auto"/>
            <w:noWrap/>
            <w:vAlign w:val="center"/>
          </w:tcPr>
          <w:p w14:paraId="69AA8D87" w14:textId="77777777" w:rsidR="00F7044C" w:rsidRPr="00C421E4" w:rsidRDefault="00F7044C" w:rsidP="00804E6B">
            <w:pPr>
              <w:jc w:val="center"/>
              <w:rPr>
                <w:rFonts w:ascii="Times" w:hAnsi="Times"/>
              </w:rPr>
            </w:pPr>
            <w:r w:rsidRPr="00C421E4">
              <w:rPr>
                <w:rFonts w:ascii="Times" w:hAnsi="Times"/>
              </w:rPr>
              <w:t>(1) mTBI participants had poorer sleep-dependent memory consolidation [lower memory discrimination hit rate]</w:t>
            </w:r>
          </w:p>
          <w:p w14:paraId="4F045A8B" w14:textId="77777777" w:rsidR="00F7044C" w:rsidRPr="00C421E4" w:rsidRDefault="00F7044C" w:rsidP="00804E6B">
            <w:pPr>
              <w:jc w:val="center"/>
              <w:rPr>
                <w:rFonts w:ascii="Times" w:hAnsi="Times"/>
              </w:rPr>
            </w:pPr>
            <w:r w:rsidRPr="00C421E4">
              <w:rPr>
                <w:rFonts w:ascii="Times" w:hAnsi="Times"/>
              </w:rPr>
              <w:t>(2) mTBI participants had greater wake-dependent memory consolidation [lower false positives]</w:t>
            </w:r>
          </w:p>
        </w:tc>
        <w:tc>
          <w:tcPr>
            <w:tcW w:w="3168" w:type="dxa"/>
            <w:shd w:val="clear" w:color="auto" w:fill="auto"/>
            <w:noWrap/>
            <w:vAlign w:val="center"/>
          </w:tcPr>
          <w:p w14:paraId="751272EA" w14:textId="77777777" w:rsidR="00F7044C" w:rsidRPr="00C421E4" w:rsidRDefault="00F7044C" w:rsidP="00804E6B">
            <w:pPr>
              <w:jc w:val="center"/>
              <w:rPr>
                <w:rFonts w:ascii="Times" w:hAnsi="Times"/>
              </w:rPr>
            </w:pPr>
            <w:r w:rsidRPr="00C421E4">
              <w:rPr>
                <w:rFonts w:ascii="Times" w:hAnsi="Times"/>
              </w:rPr>
              <w:t>(1) mTBI participants habituated arousal ratings more quickly</w:t>
            </w:r>
          </w:p>
          <w:p w14:paraId="5FCF74D7" w14:textId="77777777" w:rsidR="00F7044C" w:rsidRPr="00C421E4" w:rsidRDefault="00F7044C" w:rsidP="00804E6B">
            <w:pPr>
              <w:jc w:val="center"/>
              <w:rPr>
                <w:rFonts w:ascii="Times" w:hAnsi="Times"/>
              </w:rPr>
            </w:pPr>
            <w:r w:rsidRPr="00C421E4">
              <w:rPr>
                <w:rFonts w:ascii="Times" w:hAnsi="Times"/>
              </w:rPr>
              <w:t>(2) No group differences for reactivity</w:t>
            </w:r>
          </w:p>
          <w:p w14:paraId="34C2436F" w14:textId="77777777" w:rsidR="00F7044C" w:rsidRPr="00C421E4" w:rsidRDefault="00F7044C" w:rsidP="00804E6B">
            <w:pPr>
              <w:jc w:val="center"/>
              <w:rPr>
                <w:rFonts w:ascii="Times" w:hAnsi="Times"/>
              </w:rPr>
            </w:pPr>
            <w:r w:rsidRPr="00C421E4">
              <w:rPr>
                <w:rFonts w:ascii="Times" w:hAnsi="Times"/>
              </w:rPr>
              <w:t>(3) Reduced arousal ratings for positive images predicts higher depressive symptoms; higher habituation of Zygomaticus tone predicts higher combined symptomatology</w:t>
            </w:r>
          </w:p>
        </w:tc>
      </w:tr>
      <w:tr w:rsidR="00F7044C" w:rsidRPr="00C421E4" w14:paraId="07F008AF" w14:textId="77777777" w:rsidTr="00804E6B">
        <w:trPr>
          <w:trHeight w:val="320"/>
        </w:trPr>
        <w:tc>
          <w:tcPr>
            <w:tcW w:w="1548" w:type="dxa"/>
            <w:shd w:val="clear" w:color="auto" w:fill="auto"/>
            <w:noWrap/>
            <w:vAlign w:val="center"/>
            <w:hideMark/>
          </w:tcPr>
          <w:p w14:paraId="27350634" w14:textId="77777777" w:rsidR="00F7044C" w:rsidRPr="00C421E4" w:rsidRDefault="00F7044C" w:rsidP="00804E6B">
            <w:pPr>
              <w:jc w:val="center"/>
              <w:rPr>
                <w:rFonts w:ascii="Times" w:hAnsi="Times"/>
              </w:rPr>
            </w:pPr>
            <w:r w:rsidRPr="00C421E4">
              <w:rPr>
                <w:rFonts w:ascii="Times" w:hAnsi="Times"/>
              </w:rPr>
              <w:t>Hypotheses supported?</w:t>
            </w:r>
          </w:p>
        </w:tc>
        <w:tc>
          <w:tcPr>
            <w:tcW w:w="1890" w:type="dxa"/>
            <w:shd w:val="clear" w:color="auto" w:fill="auto"/>
            <w:noWrap/>
            <w:vAlign w:val="center"/>
            <w:hideMark/>
          </w:tcPr>
          <w:p w14:paraId="383BBDD3" w14:textId="77777777" w:rsidR="00F7044C" w:rsidRPr="00C421E4" w:rsidRDefault="00F7044C" w:rsidP="00804E6B">
            <w:pPr>
              <w:jc w:val="center"/>
              <w:rPr>
                <w:rFonts w:ascii="Times" w:hAnsi="Times"/>
              </w:rPr>
            </w:pPr>
            <w:r w:rsidRPr="00C421E4">
              <w:rPr>
                <w:rFonts w:ascii="Times" w:hAnsi="Times"/>
              </w:rPr>
              <w:t>No</w:t>
            </w:r>
          </w:p>
        </w:tc>
        <w:tc>
          <w:tcPr>
            <w:tcW w:w="2250" w:type="dxa"/>
            <w:shd w:val="clear" w:color="auto" w:fill="auto"/>
            <w:noWrap/>
            <w:vAlign w:val="center"/>
            <w:hideMark/>
          </w:tcPr>
          <w:p w14:paraId="66EE25AF" w14:textId="77777777" w:rsidR="00F7044C" w:rsidRPr="00C421E4" w:rsidRDefault="00F7044C" w:rsidP="00804E6B">
            <w:pPr>
              <w:jc w:val="center"/>
              <w:rPr>
                <w:rFonts w:ascii="Times" w:hAnsi="Times"/>
              </w:rPr>
            </w:pPr>
            <w:r w:rsidRPr="00C421E4">
              <w:rPr>
                <w:rFonts w:ascii="Times" w:hAnsi="Times"/>
              </w:rPr>
              <w:t>Partially</w:t>
            </w:r>
          </w:p>
        </w:tc>
        <w:tc>
          <w:tcPr>
            <w:tcW w:w="3168" w:type="dxa"/>
            <w:shd w:val="clear" w:color="auto" w:fill="auto"/>
            <w:noWrap/>
            <w:vAlign w:val="center"/>
            <w:hideMark/>
          </w:tcPr>
          <w:p w14:paraId="5928A934" w14:textId="77777777" w:rsidR="00F7044C" w:rsidRPr="00C421E4" w:rsidRDefault="00F7044C" w:rsidP="00804E6B">
            <w:pPr>
              <w:jc w:val="center"/>
              <w:rPr>
                <w:rFonts w:ascii="Times" w:hAnsi="Times"/>
              </w:rPr>
            </w:pPr>
            <w:r w:rsidRPr="00C421E4">
              <w:rPr>
                <w:rFonts w:ascii="Times" w:hAnsi="Times"/>
              </w:rPr>
              <w:t>No</w:t>
            </w:r>
          </w:p>
        </w:tc>
      </w:tr>
      <w:tr w:rsidR="00F7044C" w:rsidRPr="00C421E4" w14:paraId="203CA270" w14:textId="77777777" w:rsidTr="00804E6B">
        <w:trPr>
          <w:trHeight w:val="320"/>
        </w:trPr>
        <w:tc>
          <w:tcPr>
            <w:tcW w:w="1548" w:type="dxa"/>
            <w:shd w:val="clear" w:color="auto" w:fill="auto"/>
            <w:noWrap/>
            <w:vAlign w:val="center"/>
          </w:tcPr>
          <w:p w14:paraId="1E89DE6B" w14:textId="77777777" w:rsidR="00F7044C" w:rsidRPr="00C421E4" w:rsidRDefault="00F7044C" w:rsidP="00804E6B">
            <w:pPr>
              <w:jc w:val="center"/>
              <w:rPr>
                <w:rFonts w:ascii="Times" w:hAnsi="Times"/>
              </w:rPr>
            </w:pPr>
            <w:r w:rsidRPr="00C421E4">
              <w:rPr>
                <w:rFonts w:ascii="Times" w:hAnsi="Times"/>
              </w:rPr>
              <w:t>Cognitive tests</w:t>
            </w:r>
          </w:p>
        </w:tc>
        <w:tc>
          <w:tcPr>
            <w:tcW w:w="1890" w:type="dxa"/>
            <w:shd w:val="clear" w:color="auto" w:fill="auto"/>
            <w:noWrap/>
            <w:vAlign w:val="center"/>
          </w:tcPr>
          <w:p w14:paraId="2A26753B" w14:textId="77777777" w:rsidR="00F7044C" w:rsidRPr="00C421E4" w:rsidRDefault="00F7044C" w:rsidP="00804E6B">
            <w:pPr>
              <w:jc w:val="center"/>
              <w:rPr>
                <w:rFonts w:ascii="Times" w:hAnsi="Times"/>
              </w:rPr>
            </w:pPr>
            <w:r w:rsidRPr="00C421E4">
              <w:rPr>
                <w:rFonts w:ascii="Times" w:hAnsi="Times"/>
              </w:rPr>
              <w:t>No group differences in Digit Span Forward Test</w:t>
            </w:r>
          </w:p>
        </w:tc>
        <w:tc>
          <w:tcPr>
            <w:tcW w:w="2250" w:type="dxa"/>
            <w:shd w:val="clear" w:color="auto" w:fill="auto"/>
            <w:noWrap/>
            <w:vAlign w:val="center"/>
          </w:tcPr>
          <w:p w14:paraId="206C216A" w14:textId="77777777" w:rsidR="00F7044C" w:rsidRPr="00C421E4" w:rsidRDefault="00F7044C" w:rsidP="00804E6B">
            <w:pPr>
              <w:jc w:val="center"/>
              <w:rPr>
                <w:rFonts w:ascii="Times" w:hAnsi="Times"/>
              </w:rPr>
            </w:pPr>
            <w:r w:rsidRPr="00C421E4">
              <w:rPr>
                <w:rFonts w:ascii="Times" w:hAnsi="Times"/>
              </w:rPr>
              <w:t>No group differences in Digit Span Forward Test</w:t>
            </w:r>
          </w:p>
        </w:tc>
        <w:tc>
          <w:tcPr>
            <w:tcW w:w="3168" w:type="dxa"/>
            <w:shd w:val="clear" w:color="auto" w:fill="auto"/>
            <w:noWrap/>
            <w:vAlign w:val="center"/>
          </w:tcPr>
          <w:p w14:paraId="6F4AB633" w14:textId="77777777" w:rsidR="00F7044C" w:rsidRPr="00C421E4" w:rsidRDefault="00F7044C" w:rsidP="00804E6B">
            <w:pPr>
              <w:jc w:val="center"/>
              <w:rPr>
                <w:rFonts w:ascii="Times" w:hAnsi="Times"/>
              </w:rPr>
            </w:pPr>
            <w:r w:rsidRPr="00C421E4">
              <w:rPr>
                <w:rFonts w:ascii="Times" w:hAnsi="Times"/>
              </w:rPr>
              <w:t>mTBI outperformed non-TBI in Verbal Fluency Word Pair condition, no group differences for Verbal Fluency Set Switching, Digit Span Backwards, or Stroop</w:t>
            </w:r>
          </w:p>
        </w:tc>
      </w:tr>
      <w:tr w:rsidR="00F7044C" w:rsidRPr="00C421E4" w14:paraId="468CEB73" w14:textId="77777777" w:rsidTr="00804E6B">
        <w:trPr>
          <w:trHeight w:val="320"/>
        </w:trPr>
        <w:tc>
          <w:tcPr>
            <w:tcW w:w="1548" w:type="dxa"/>
            <w:shd w:val="clear" w:color="auto" w:fill="auto"/>
            <w:noWrap/>
            <w:vAlign w:val="center"/>
          </w:tcPr>
          <w:p w14:paraId="51306958" w14:textId="77777777" w:rsidR="00F7044C" w:rsidRPr="00C421E4" w:rsidRDefault="00F7044C" w:rsidP="00804E6B">
            <w:pPr>
              <w:jc w:val="center"/>
              <w:rPr>
                <w:rFonts w:ascii="Times" w:hAnsi="Times"/>
              </w:rPr>
            </w:pPr>
            <w:r w:rsidRPr="00C421E4">
              <w:rPr>
                <w:rFonts w:ascii="Times" w:hAnsi="Times"/>
              </w:rPr>
              <w:t>Mood symptoms</w:t>
            </w:r>
          </w:p>
        </w:tc>
        <w:tc>
          <w:tcPr>
            <w:tcW w:w="1890" w:type="dxa"/>
            <w:shd w:val="clear" w:color="auto" w:fill="auto"/>
            <w:noWrap/>
            <w:vAlign w:val="center"/>
          </w:tcPr>
          <w:p w14:paraId="494639D2" w14:textId="77777777" w:rsidR="00F7044C" w:rsidRPr="00C421E4" w:rsidRDefault="00F7044C" w:rsidP="00804E6B">
            <w:pPr>
              <w:jc w:val="center"/>
              <w:rPr>
                <w:rFonts w:ascii="Times" w:hAnsi="Times"/>
              </w:rPr>
            </w:pPr>
            <w:r w:rsidRPr="00C421E4">
              <w:rPr>
                <w:rFonts w:ascii="Times" w:hAnsi="Times"/>
              </w:rPr>
              <w:t>Tests not administered</w:t>
            </w:r>
          </w:p>
        </w:tc>
        <w:tc>
          <w:tcPr>
            <w:tcW w:w="2250" w:type="dxa"/>
            <w:shd w:val="clear" w:color="auto" w:fill="auto"/>
            <w:noWrap/>
            <w:vAlign w:val="center"/>
          </w:tcPr>
          <w:p w14:paraId="262519DD" w14:textId="77777777" w:rsidR="00F7044C" w:rsidRPr="00C421E4" w:rsidRDefault="00F7044C" w:rsidP="00804E6B">
            <w:pPr>
              <w:jc w:val="center"/>
              <w:rPr>
                <w:rFonts w:ascii="Times" w:hAnsi="Times"/>
              </w:rPr>
            </w:pPr>
            <w:r w:rsidRPr="00C421E4">
              <w:rPr>
                <w:rFonts w:ascii="Times" w:hAnsi="Times"/>
              </w:rPr>
              <w:t>Tests not administered</w:t>
            </w:r>
          </w:p>
        </w:tc>
        <w:tc>
          <w:tcPr>
            <w:tcW w:w="3168" w:type="dxa"/>
            <w:shd w:val="clear" w:color="auto" w:fill="auto"/>
            <w:noWrap/>
            <w:vAlign w:val="center"/>
          </w:tcPr>
          <w:p w14:paraId="785DEE53" w14:textId="77777777" w:rsidR="00F7044C" w:rsidRPr="00C421E4" w:rsidRDefault="00F7044C" w:rsidP="00804E6B">
            <w:pPr>
              <w:jc w:val="center"/>
              <w:rPr>
                <w:rFonts w:ascii="Times" w:hAnsi="Times"/>
              </w:rPr>
            </w:pPr>
            <w:r w:rsidRPr="00C421E4">
              <w:rPr>
                <w:rFonts w:ascii="Times" w:hAnsi="Times"/>
              </w:rPr>
              <w:t>mTBI group had higher anxiety symptomatology than non-TBI group</w:t>
            </w:r>
          </w:p>
        </w:tc>
      </w:tr>
      <w:tr w:rsidR="00F7044C" w:rsidRPr="00C421E4" w14:paraId="159CA843" w14:textId="77777777" w:rsidTr="00804E6B">
        <w:trPr>
          <w:trHeight w:val="320"/>
        </w:trPr>
        <w:tc>
          <w:tcPr>
            <w:tcW w:w="1548" w:type="dxa"/>
            <w:shd w:val="clear" w:color="auto" w:fill="auto"/>
            <w:noWrap/>
            <w:vAlign w:val="center"/>
          </w:tcPr>
          <w:p w14:paraId="27317A03" w14:textId="77777777" w:rsidR="00F7044C" w:rsidRPr="00C421E4" w:rsidRDefault="00F7044C" w:rsidP="00804E6B">
            <w:pPr>
              <w:jc w:val="center"/>
              <w:rPr>
                <w:rFonts w:ascii="Times" w:hAnsi="Times"/>
              </w:rPr>
            </w:pPr>
            <w:r w:rsidRPr="00C421E4">
              <w:rPr>
                <w:rFonts w:ascii="Times" w:hAnsi="Times"/>
              </w:rPr>
              <w:t>Evidence of impairment in mTBI sample</w:t>
            </w:r>
          </w:p>
        </w:tc>
        <w:tc>
          <w:tcPr>
            <w:tcW w:w="1890" w:type="dxa"/>
            <w:shd w:val="clear" w:color="auto" w:fill="auto"/>
            <w:noWrap/>
            <w:vAlign w:val="center"/>
          </w:tcPr>
          <w:p w14:paraId="302299C3" w14:textId="77777777" w:rsidR="00F7044C" w:rsidRPr="00C421E4" w:rsidRDefault="00F7044C" w:rsidP="00804E6B">
            <w:pPr>
              <w:jc w:val="center"/>
              <w:rPr>
                <w:rFonts w:ascii="Times" w:hAnsi="Times"/>
              </w:rPr>
            </w:pPr>
            <w:r w:rsidRPr="00C421E4">
              <w:rPr>
                <w:rFonts w:ascii="Times" w:hAnsi="Times"/>
              </w:rPr>
              <w:t>None</w:t>
            </w:r>
          </w:p>
        </w:tc>
        <w:tc>
          <w:tcPr>
            <w:tcW w:w="2250" w:type="dxa"/>
            <w:shd w:val="clear" w:color="auto" w:fill="auto"/>
            <w:noWrap/>
            <w:vAlign w:val="center"/>
          </w:tcPr>
          <w:p w14:paraId="3A718B0F" w14:textId="77777777" w:rsidR="00F7044C" w:rsidRPr="00C421E4" w:rsidRDefault="00F7044C" w:rsidP="00804E6B">
            <w:pPr>
              <w:jc w:val="center"/>
              <w:rPr>
                <w:rFonts w:ascii="Times" w:hAnsi="Times"/>
              </w:rPr>
            </w:pPr>
            <w:r w:rsidRPr="00C421E4">
              <w:rPr>
                <w:rFonts w:ascii="Times" w:hAnsi="Times"/>
              </w:rPr>
              <w:t>Yes, for sleep-dependent memory consolidation [memory discrimination hit rate]</w:t>
            </w:r>
          </w:p>
        </w:tc>
        <w:tc>
          <w:tcPr>
            <w:tcW w:w="3168" w:type="dxa"/>
            <w:shd w:val="clear" w:color="auto" w:fill="auto"/>
            <w:noWrap/>
            <w:vAlign w:val="center"/>
          </w:tcPr>
          <w:p w14:paraId="30F08149" w14:textId="77777777" w:rsidR="00F7044C" w:rsidRPr="00C421E4" w:rsidRDefault="00F7044C" w:rsidP="00804E6B">
            <w:pPr>
              <w:jc w:val="center"/>
              <w:rPr>
                <w:rFonts w:ascii="Times" w:hAnsi="Times"/>
              </w:rPr>
            </w:pPr>
            <w:r w:rsidRPr="00C421E4">
              <w:rPr>
                <w:rFonts w:ascii="Times" w:hAnsi="Times"/>
              </w:rPr>
              <w:t>Yes, for mood disturbances [anxiety symptomatology]</w:t>
            </w:r>
          </w:p>
        </w:tc>
      </w:tr>
      <w:tr w:rsidR="00F7044C" w:rsidRPr="00C421E4" w14:paraId="6B9D980D" w14:textId="77777777" w:rsidTr="00804E6B">
        <w:trPr>
          <w:trHeight w:val="320"/>
        </w:trPr>
        <w:tc>
          <w:tcPr>
            <w:tcW w:w="1548" w:type="dxa"/>
            <w:shd w:val="clear" w:color="auto" w:fill="auto"/>
            <w:noWrap/>
            <w:vAlign w:val="center"/>
          </w:tcPr>
          <w:p w14:paraId="35EFC48B" w14:textId="77777777" w:rsidR="00F7044C" w:rsidRPr="00C421E4" w:rsidRDefault="00F7044C" w:rsidP="00804E6B">
            <w:pPr>
              <w:jc w:val="center"/>
              <w:rPr>
                <w:rFonts w:ascii="Times" w:hAnsi="Times"/>
              </w:rPr>
            </w:pPr>
            <w:r w:rsidRPr="00C421E4">
              <w:rPr>
                <w:rFonts w:ascii="Times" w:hAnsi="Times"/>
              </w:rPr>
              <w:t xml:space="preserve">Evidence of enhancement </w:t>
            </w:r>
            <w:r w:rsidRPr="00C421E4">
              <w:rPr>
                <w:rFonts w:ascii="Times" w:hAnsi="Times"/>
              </w:rPr>
              <w:lastRenderedPageBreak/>
              <w:t>in mTBI sample</w:t>
            </w:r>
          </w:p>
        </w:tc>
        <w:tc>
          <w:tcPr>
            <w:tcW w:w="1890" w:type="dxa"/>
            <w:shd w:val="clear" w:color="auto" w:fill="auto"/>
            <w:noWrap/>
            <w:vAlign w:val="center"/>
          </w:tcPr>
          <w:p w14:paraId="4A53D6CC" w14:textId="77777777" w:rsidR="00F7044C" w:rsidRPr="00C421E4" w:rsidRDefault="00F7044C" w:rsidP="00804E6B">
            <w:pPr>
              <w:jc w:val="center"/>
              <w:rPr>
                <w:rFonts w:ascii="Times" w:hAnsi="Times"/>
              </w:rPr>
            </w:pPr>
            <w:r w:rsidRPr="00C421E4">
              <w:rPr>
                <w:rFonts w:ascii="Times" w:hAnsi="Times"/>
              </w:rPr>
              <w:lastRenderedPageBreak/>
              <w:t>None</w:t>
            </w:r>
          </w:p>
        </w:tc>
        <w:tc>
          <w:tcPr>
            <w:tcW w:w="2250" w:type="dxa"/>
            <w:shd w:val="clear" w:color="auto" w:fill="auto"/>
            <w:noWrap/>
            <w:vAlign w:val="center"/>
          </w:tcPr>
          <w:p w14:paraId="0D6422D5" w14:textId="77777777" w:rsidR="00F7044C" w:rsidRPr="00C421E4" w:rsidRDefault="00F7044C" w:rsidP="00804E6B">
            <w:pPr>
              <w:jc w:val="center"/>
              <w:rPr>
                <w:rFonts w:ascii="Times" w:hAnsi="Times"/>
              </w:rPr>
            </w:pPr>
            <w:r w:rsidRPr="00C421E4">
              <w:rPr>
                <w:rFonts w:ascii="Times" w:hAnsi="Times"/>
              </w:rPr>
              <w:t xml:space="preserve">Yes, for wake-dependent memory </w:t>
            </w:r>
            <w:r w:rsidRPr="00C421E4">
              <w:rPr>
                <w:rFonts w:ascii="Times" w:hAnsi="Times"/>
              </w:rPr>
              <w:lastRenderedPageBreak/>
              <w:t>consolidation [false positives]</w:t>
            </w:r>
          </w:p>
        </w:tc>
        <w:tc>
          <w:tcPr>
            <w:tcW w:w="3168" w:type="dxa"/>
            <w:shd w:val="clear" w:color="auto" w:fill="auto"/>
            <w:noWrap/>
            <w:vAlign w:val="center"/>
          </w:tcPr>
          <w:p w14:paraId="55990D3C" w14:textId="77777777" w:rsidR="00F7044C" w:rsidRPr="00C421E4" w:rsidRDefault="00F7044C" w:rsidP="00804E6B">
            <w:pPr>
              <w:jc w:val="center"/>
              <w:rPr>
                <w:rFonts w:ascii="Times" w:hAnsi="Times"/>
              </w:rPr>
            </w:pPr>
            <w:r w:rsidRPr="00C421E4">
              <w:rPr>
                <w:rFonts w:ascii="Times" w:hAnsi="Times"/>
              </w:rPr>
              <w:lastRenderedPageBreak/>
              <w:t>Yes, for Verbal Fluency [Word Pair condition]</w:t>
            </w:r>
          </w:p>
        </w:tc>
      </w:tr>
      <w:tr w:rsidR="00F7044C" w:rsidRPr="00C421E4" w14:paraId="6914BFD8" w14:textId="77777777" w:rsidTr="00804E6B">
        <w:trPr>
          <w:trHeight w:val="320"/>
        </w:trPr>
        <w:tc>
          <w:tcPr>
            <w:tcW w:w="1548" w:type="dxa"/>
            <w:shd w:val="clear" w:color="auto" w:fill="auto"/>
            <w:noWrap/>
            <w:vAlign w:val="center"/>
          </w:tcPr>
          <w:p w14:paraId="17DF2216" w14:textId="77777777" w:rsidR="00F7044C" w:rsidRPr="00C421E4" w:rsidRDefault="00F7044C" w:rsidP="00804E6B">
            <w:pPr>
              <w:jc w:val="center"/>
              <w:rPr>
                <w:rFonts w:ascii="Times" w:hAnsi="Times"/>
              </w:rPr>
            </w:pPr>
            <w:r w:rsidRPr="00C421E4">
              <w:rPr>
                <w:rFonts w:ascii="Times" w:hAnsi="Times"/>
              </w:rPr>
              <w:lastRenderedPageBreak/>
              <w:t>Equivocal/ ambiguous group differences</w:t>
            </w:r>
          </w:p>
        </w:tc>
        <w:tc>
          <w:tcPr>
            <w:tcW w:w="1890" w:type="dxa"/>
            <w:shd w:val="clear" w:color="auto" w:fill="auto"/>
            <w:noWrap/>
            <w:vAlign w:val="center"/>
          </w:tcPr>
          <w:p w14:paraId="662B671A" w14:textId="77777777" w:rsidR="00F7044C" w:rsidRPr="00C421E4" w:rsidRDefault="00F7044C" w:rsidP="00804E6B">
            <w:pPr>
              <w:jc w:val="center"/>
              <w:rPr>
                <w:rFonts w:ascii="Times" w:hAnsi="Times"/>
              </w:rPr>
            </w:pPr>
            <w:r w:rsidRPr="00C421E4">
              <w:rPr>
                <w:rFonts w:ascii="Times" w:hAnsi="Times"/>
              </w:rPr>
              <w:t>None</w:t>
            </w:r>
          </w:p>
        </w:tc>
        <w:tc>
          <w:tcPr>
            <w:tcW w:w="2250" w:type="dxa"/>
            <w:shd w:val="clear" w:color="auto" w:fill="auto"/>
            <w:noWrap/>
            <w:vAlign w:val="center"/>
          </w:tcPr>
          <w:p w14:paraId="2A1F4ABB" w14:textId="77777777" w:rsidR="00F7044C" w:rsidRPr="00C421E4" w:rsidRDefault="00F7044C" w:rsidP="00804E6B">
            <w:pPr>
              <w:jc w:val="center"/>
              <w:rPr>
                <w:rFonts w:ascii="Times" w:hAnsi="Times"/>
              </w:rPr>
            </w:pPr>
            <w:r w:rsidRPr="00C421E4">
              <w:rPr>
                <w:rFonts w:ascii="Times" w:hAnsi="Times"/>
              </w:rPr>
              <w:t>Yes, group differences in valence habituation.</w:t>
            </w:r>
          </w:p>
        </w:tc>
        <w:tc>
          <w:tcPr>
            <w:tcW w:w="3168" w:type="dxa"/>
            <w:shd w:val="clear" w:color="auto" w:fill="auto"/>
            <w:noWrap/>
            <w:vAlign w:val="center"/>
          </w:tcPr>
          <w:p w14:paraId="0D82AC32" w14:textId="77777777" w:rsidR="00F7044C" w:rsidRPr="00C421E4" w:rsidRDefault="00F7044C" w:rsidP="00804E6B">
            <w:pPr>
              <w:jc w:val="center"/>
              <w:rPr>
                <w:rFonts w:ascii="Times" w:hAnsi="Times"/>
              </w:rPr>
            </w:pPr>
            <w:r w:rsidRPr="00C421E4">
              <w:rPr>
                <w:rFonts w:ascii="Times" w:hAnsi="Times"/>
              </w:rPr>
              <w:t>Yes, group differences in arousal habituation</w:t>
            </w:r>
          </w:p>
        </w:tc>
      </w:tr>
    </w:tbl>
    <w:p w14:paraId="5C10BED3" w14:textId="77777777" w:rsidR="00F7044C" w:rsidRPr="00C421E4" w:rsidRDefault="00F7044C" w:rsidP="00F7044C">
      <w:pPr>
        <w:rPr>
          <w:rFonts w:ascii="Times" w:hAnsi="Times"/>
        </w:rPr>
      </w:pPr>
    </w:p>
    <w:p w14:paraId="09757A13" w14:textId="77777777" w:rsidR="00F7044C" w:rsidRPr="00C421E4" w:rsidRDefault="00F7044C" w:rsidP="00F7044C">
      <w:pPr>
        <w:rPr>
          <w:rFonts w:ascii="Times" w:hAnsi="Times"/>
        </w:rPr>
      </w:pPr>
      <w:r>
        <w:rPr>
          <w:rFonts w:ascii="Times" w:hAnsi="Times"/>
        </w:rPr>
        <w:t>Table 19</w:t>
      </w:r>
      <w:r w:rsidRPr="00C421E4">
        <w:rPr>
          <w:rFonts w:ascii="Times" w:hAnsi="Times"/>
        </w:rPr>
        <w:t xml:space="preserve">: Qualitative comparison of Studies 1-3. </w:t>
      </w:r>
    </w:p>
    <w:p w14:paraId="7AD8E112" w14:textId="77777777" w:rsidR="00F7044C" w:rsidRPr="00C421E4" w:rsidRDefault="00F7044C" w:rsidP="00F7044C">
      <w:pPr>
        <w:rPr>
          <w:rFonts w:ascii="Times" w:hAnsi="Times"/>
        </w:rPr>
      </w:pPr>
      <w:r w:rsidRPr="00C421E4">
        <w:rPr>
          <w:rFonts w:ascii="Times" w:hAnsi="Times"/>
        </w:rPr>
        <w:br w:type="page"/>
      </w:r>
    </w:p>
    <w:p w14:paraId="6D3F7C41" w14:textId="77777777" w:rsidR="00F7044C" w:rsidRPr="00C421E4" w:rsidRDefault="00F7044C" w:rsidP="00F7044C">
      <w:pPr>
        <w:pStyle w:val="Bibliography"/>
        <w:jc w:val="center"/>
        <w:outlineLvl w:val="0"/>
        <w:rPr>
          <w:rFonts w:ascii="Times" w:hAnsi="Times"/>
        </w:rPr>
      </w:pPr>
      <w:r w:rsidRPr="00C421E4">
        <w:rPr>
          <w:rFonts w:ascii="Times" w:hAnsi="Times"/>
        </w:rPr>
        <w:lastRenderedPageBreak/>
        <w:t>BIBLIOGRAPHY</w:t>
      </w:r>
    </w:p>
    <w:p w14:paraId="378EA840" w14:textId="77777777" w:rsidR="00F7044C" w:rsidRDefault="00F7044C" w:rsidP="00F7044C">
      <w:pPr>
        <w:pStyle w:val="Bibliography"/>
        <w:rPr>
          <w:rFonts w:ascii="Times" w:hAnsi="Times"/>
        </w:rPr>
      </w:pPr>
      <w:r w:rsidRPr="00C421E4">
        <w:rPr>
          <w:rFonts w:ascii="Times" w:eastAsiaTheme="minorEastAsia" w:hAnsi="Times" w:cstheme="minorBidi"/>
        </w:rPr>
        <w:fldChar w:fldCharType="begin"/>
      </w:r>
      <w:r w:rsidRPr="00C421E4">
        <w:rPr>
          <w:rFonts w:ascii="Times" w:hAnsi="Times"/>
        </w:rPr>
        <w:instrText xml:space="preserve"> ADDIN ZOTERO_BIBL {"custom":[]} CSL_BIBLIOGRAPHY </w:instrText>
      </w:r>
      <w:r w:rsidRPr="00C421E4">
        <w:rPr>
          <w:rFonts w:ascii="Times" w:eastAsiaTheme="minorEastAsia" w:hAnsi="Times" w:cstheme="minorBidi"/>
        </w:rPr>
        <w:fldChar w:fldCharType="separate"/>
      </w:r>
      <w:r w:rsidRPr="00C421E4">
        <w:rPr>
          <w:rFonts w:ascii="Times" w:hAnsi="Times"/>
        </w:rPr>
        <w:t xml:space="preserve">Abercrombie, H. C., Chambers, A. S., Greischar, L., &amp; Monticelli, R. M. (2008). Orienting, emotion, and memory: Phasic and tonic variation in heart rate predicts memory for emotional pictures in men. </w:t>
      </w:r>
      <w:r w:rsidRPr="00C421E4">
        <w:rPr>
          <w:rFonts w:ascii="Times" w:hAnsi="Times"/>
          <w:i/>
          <w:iCs/>
        </w:rPr>
        <w:t>Neurobiology of Learning and Memory</w:t>
      </w:r>
      <w:r w:rsidRPr="00C421E4">
        <w:rPr>
          <w:rFonts w:ascii="Times" w:hAnsi="Times"/>
        </w:rPr>
        <w:t xml:space="preserve">, </w:t>
      </w:r>
      <w:r w:rsidRPr="00C421E4">
        <w:rPr>
          <w:rFonts w:ascii="Times" w:hAnsi="Times"/>
          <w:i/>
          <w:iCs/>
        </w:rPr>
        <w:t>90</w:t>
      </w:r>
      <w:r w:rsidRPr="00C421E4">
        <w:rPr>
          <w:rFonts w:ascii="Times" w:hAnsi="Times"/>
        </w:rPr>
        <w:t>(4), 644–650. https://doi.org/10.1016/j.nlm.2008.08.001</w:t>
      </w:r>
    </w:p>
    <w:p w14:paraId="76D9629C" w14:textId="77777777" w:rsidR="00F7044C" w:rsidRPr="004C5148" w:rsidRDefault="00F7044C" w:rsidP="00F7044C"/>
    <w:p w14:paraId="0CA8DFD4" w14:textId="77777777" w:rsidR="00F7044C" w:rsidRDefault="00F7044C" w:rsidP="00F7044C">
      <w:pPr>
        <w:pStyle w:val="Bibliography"/>
        <w:rPr>
          <w:rFonts w:ascii="Times" w:hAnsi="Times"/>
        </w:rPr>
      </w:pPr>
      <w:r w:rsidRPr="00C421E4">
        <w:rPr>
          <w:rFonts w:ascii="Times" w:hAnsi="Times"/>
        </w:rPr>
        <w:t xml:space="preserve">Ansari, M. A., Roberts, K. N., &amp; Scheff, S. W. (2008). Oxidative stress and modification of synaptic proteins in hippocampus after traumatic brain injury. </w:t>
      </w:r>
      <w:r w:rsidRPr="00C421E4">
        <w:rPr>
          <w:rFonts w:ascii="Times" w:hAnsi="Times"/>
          <w:i/>
          <w:iCs/>
        </w:rPr>
        <w:t>Free Radical Biology and Medicine</w:t>
      </w:r>
      <w:r w:rsidRPr="00C421E4">
        <w:rPr>
          <w:rFonts w:ascii="Times" w:hAnsi="Times"/>
        </w:rPr>
        <w:t xml:space="preserve">, </w:t>
      </w:r>
      <w:r w:rsidRPr="00C421E4">
        <w:rPr>
          <w:rFonts w:ascii="Times" w:hAnsi="Times"/>
          <w:i/>
          <w:iCs/>
        </w:rPr>
        <w:t>45</w:t>
      </w:r>
      <w:r w:rsidRPr="00C421E4">
        <w:rPr>
          <w:rFonts w:ascii="Times" w:hAnsi="Times"/>
        </w:rPr>
        <w:t>(4), 443–452. https://doi.org/10.1016/j.freeradbiomed.2008.04.038</w:t>
      </w:r>
    </w:p>
    <w:p w14:paraId="459F83E2" w14:textId="77777777" w:rsidR="00F7044C" w:rsidRPr="004C5148" w:rsidRDefault="00F7044C" w:rsidP="00F7044C"/>
    <w:p w14:paraId="139353F7" w14:textId="77777777" w:rsidR="00F7044C" w:rsidRDefault="00F7044C" w:rsidP="00F7044C">
      <w:pPr>
        <w:pStyle w:val="Bibliography"/>
        <w:rPr>
          <w:rFonts w:ascii="Times" w:hAnsi="Times"/>
        </w:rPr>
      </w:pPr>
      <w:r w:rsidRPr="00C421E4">
        <w:rPr>
          <w:rFonts w:ascii="Times" w:hAnsi="Times"/>
        </w:rPr>
        <w:t xml:space="preserve">Arbour, C., Khoury, S., Lavigne, G. J., Gagnon, K., Poirier, G., Montplaisir, J. Y., … Gosselin, N. (2015). Are NREM sleep characteristics associated to subjective sleep complaints after mild traumatic brain injury? </w:t>
      </w:r>
      <w:r w:rsidRPr="00C421E4">
        <w:rPr>
          <w:rFonts w:ascii="Times" w:hAnsi="Times"/>
          <w:i/>
          <w:iCs/>
        </w:rPr>
        <w:t>Sleep Medicine</w:t>
      </w:r>
      <w:r w:rsidRPr="00C421E4">
        <w:rPr>
          <w:rFonts w:ascii="Times" w:hAnsi="Times"/>
        </w:rPr>
        <w:t xml:space="preserve">, </w:t>
      </w:r>
      <w:r w:rsidRPr="00C421E4">
        <w:rPr>
          <w:rFonts w:ascii="Times" w:hAnsi="Times"/>
          <w:i/>
          <w:iCs/>
        </w:rPr>
        <w:t>16</w:t>
      </w:r>
      <w:r w:rsidRPr="00C421E4">
        <w:rPr>
          <w:rFonts w:ascii="Times" w:hAnsi="Times"/>
        </w:rPr>
        <w:t>(4), 534–539. https://doi.org/10.1016/j.sleep.2014.12.002</w:t>
      </w:r>
    </w:p>
    <w:p w14:paraId="1608DC90" w14:textId="77777777" w:rsidR="00F7044C" w:rsidRPr="004C5148" w:rsidRDefault="00F7044C" w:rsidP="00F7044C"/>
    <w:p w14:paraId="6D022BC5" w14:textId="77777777" w:rsidR="00F7044C" w:rsidRDefault="00F7044C" w:rsidP="00F7044C">
      <w:pPr>
        <w:pStyle w:val="Bibliography"/>
        <w:rPr>
          <w:rFonts w:ascii="Times" w:hAnsi="Times"/>
        </w:rPr>
      </w:pPr>
      <w:r w:rsidRPr="00C421E4">
        <w:rPr>
          <w:rFonts w:ascii="Times" w:hAnsi="Times"/>
        </w:rPr>
        <w:t xml:space="preserve">Arntz, A., Tiesema, M., &amp; Kindt, M. (2007). Treatment of PTSD: A comparison of imaginal exposure with and without imagery rescripting. </w:t>
      </w:r>
      <w:r w:rsidRPr="00C421E4">
        <w:rPr>
          <w:rFonts w:ascii="Times" w:hAnsi="Times"/>
          <w:i/>
          <w:iCs/>
        </w:rPr>
        <w:t>Journal of Behavior Therapy and Experimental Psychiatry</w:t>
      </w:r>
      <w:r w:rsidRPr="00C421E4">
        <w:rPr>
          <w:rFonts w:ascii="Times" w:hAnsi="Times"/>
        </w:rPr>
        <w:t xml:space="preserve">, </w:t>
      </w:r>
      <w:r w:rsidRPr="00C421E4">
        <w:rPr>
          <w:rFonts w:ascii="Times" w:hAnsi="Times"/>
          <w:i/>
          <w:iCs/>
        </w:rPr>
        <w:t>38</w:t>
      </w:r>
      <w:r w:rsidRPr="00C421E4">
        <w:rPr>
          <w:rFonts w:ascii="Times" w:hAnsi="Times"/>
        </w:rPr>
        <w:t>(4), 345–370. https://doi.org/10.1016/j.jbtep.2007.10.006</w:t>
      </w:r>
    </w:p>
    <w:p w14:paraId="07560BE5" w14:textId="77777777" w:rsidR="00F7044C" w:rsidRPr="004C5148" w:rsidRDefault="00F7044C" w:rsidP="00F7044C"/>
    <w:p w14:paraId="0B131641" w14:textId="77777777" w:rsidR="00F7044C" w:rsidRDefault="00F7044C" w:rsidP="00F7044C">
      <w:pPr>
        <w:pStyle w:val="Bibliography"/>
        <w:rPr>
          <w:rFonts w:ascii="Times" w:hAnsi="Times"/>
        </w:rPr>
      </w:pPr>
      <w:r w:rsidRPr="00C421E4">
        <w:rPr>
          <w:rFonts w:ascii="Times" w:hAnsi="Times"/>
        </w:rPr>
        <w:t xml:space="preserve">Ayalon, L., Borodkin, K., Dishon, L., Kanety, H., &amp; Dagan, Y. (2007). Circadian rhythm sleep disorders following mild traumatic brain injury. </w:t>
      </w:r>
      <w:r w:rsidRPr="00C421E4">
        <w:rPr>
          <w:rFonts w:ascii="Times" w:hAnsi="Times"/>
          <w:i/>
          <w:iCs/>
        </w:rPr>
        <w:t>Neurology</w:t>
      </w:r>
      <w:r w:rsidRPr="00C421E4">
        <w:rPr>
          <w:rFonts w:ascii="Times" w:hAnsi="Times"/>
        </w:rPr>
        <w:t xml:space="preserve">, </w:t>
      </w:r>
      <w:r w:rsidRPr="00C421E4">
        <w:rPr>
          <w:rFonts w:ascii="Times" w:hAnsi="Times"/>
          <w:i/>
          <w:iCs/>
        </w:rPr>
        <w:t>68</w:t>
      </w:r>
      <w:r w:rsidRPr="00C421E4">
        <w:rPr>
          <w:rFonts w:ascii="Times" w:hAnsi="Times"/>
        </w:rPr>
        <w:t>(14), 1136–1140. https://doi.org/10.1212/01.wnl.0000258672.52836.30</w:t>
      </w:r>
    </w:p>
    <w:p w14:paraId="764968B8" w14:textId="77777777" w:rsidR="00F7044C" w:rsidRPr="004C5148" w:rsidRDefault="00F7044C" w:rsidP="00F7044C"/>
    <w:p w14:paraId="79434204" w14:textId="77777777" w:rsidR="00F7044C" w:rsidRPr="00C421E4" w:rsidRDefault="00F7044C" w:rsidP="00F7044C">
      <w:pPr>
        <w:pStyle w:val="Bibliography"/>
        <w:rPr>
          <w:rFonts w:ascii="Times" w:hAnsi="Times"/>
        </w:rPr>
      </w:pPr>
      <w:r w:rsidRPr="00C421E4">
        <w:rPr>
          <w:rFonts w:ascii="Times" w:hAnsi="Times"/>
        </w:rPr>
        <w:t xml:space="preserve">Baker, J. M., &amp; Good, D. E. (2014a). Physiological emotional under-arousal in individuals with mild head injury. </w:t>
      </w:r>
      <w:r w:rsidRPr="00C421E4">
        <w:rPr>
          <w:rFonts w:ascii="Times" w:hAnsi="Times"/>
          <w:i/>
          <w:iCs/>
        </w:rPr>
        <w:t xml:space="preserve">Brain </w:t>
      </w:r>
      <w:proofErr w:type="gramStart"/>
      <w:r w:rsidRPr="00C421E4">
        <w:rPr>
          <w:rFonts w:ascii="Times" w:hAnsi="Times"/>
          <w:i/>
          <w:iCs/>
        </w:rPr>
        <w:t>Injury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[BI]</w:t>
      </w:r>
      <w:r w:rsidRPr="00C421E4">
        <w:rPr>
          <w:rFonts w:ascii="Times" w:hAnsi="Times"/>
        </w:rPr>
        <w:t xml:space="preserve">, </w:t>
      </w:r>
      <w:r w:rsidRPr="00C421E4">
        <w:rPr>
          <w:rFonts w:ascii="Times" w:hAnsi="Times"/>
          <w:i/>
          <w:iCs/>
        </w:rPr>
        <w:t>28</w:t>
      </w:r>
      <w:r w:rsidRPr="00C421E4">
        <w:rPr>
          <w:rFonts w:ascii="Times" w:hAnsi="Times"/>
        </w:rPr>
        <w:t>(1), 51–65. https://doi.org/10.3109/02699052.2013.857787</w:t>
      </w:r>
    </w:p>
    <w:p w14:paraId="2448984E" w14:textId="77777777" w:rsidR="00F7044C" w:rsidRDefault="00F7044C" w:rsidP="00F7044C">
      <w:pPr>
        <w:pStyle w:val="Bibliography"/>
        <w:rPr>
          <w:rFonts w:ascii="Times" w:hAnsi="Times"/>
        </w:rPr>
      </w:pPr>
      <w:r w:rsidRPr="00C421E4">
        <w:rPr>
          <w:rFonts w:ascii="Times" w:hAnsi="Times"/>
        </w:rPr>
        <w:t xml:space="preserve">Baker, J. M., &amp; Good, D. E. (2014b). Physiological emotional under-arousal in individuals with mild head injury. </w:t>
      </w:r>
      <w:r w:rsidRPr="00C421E4">
        <w:rPr>
          <w:rFonts w:ascii="Times" w:hAnsi="Times"/>
          <w:i/>
          <w:iCs/>
        </w:rPr>
        <w:t xml:space="preserve">Brain </w:t>
      </w:r>
      <w:proofErr w:type="gramStart"/>
      <w:r w:rsidRPr="00C421E4">
        <w:rPr>
          <w:rFonts w:ascii="Times" w:hAnsi="Times"/>
          <w:i/>
          <w:iCs/>
        </w:rPr>
        <w:t>Injury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[BI]</w:t>
      </w:r>
      <w:r w:rsidRPr="00C421E4">
        <w:rPr>
          <w:rFonts w:ascii="Times" w:hAnsi="Times"/>
        </w:rPr>
        <w:t xml:space="preserve">, </w:t>
      </w:r>
      <w:r w:rsidRPr="00C421E4">
        <w:rPr>
          <w:rFonts w:ascii="Times" w:hAnsi="Times"/>
          <w:i/>
          <w:iCs/>
        </w:rPr>
        <w:t>28</w:t>
      </w:r>
      <w:r w:rsidRPr="00C421E4">
        <w:rPr>
          <w:rFonts w:ascii="Times" w:hAnsi="Times"/>
        </w:rPr>
        <w:t>(1), 51–65. https://doi.org/10.3109/02699052.2013.857787</w:t>
      </w:r>
    </w:p>
    <w:p w14:paraId="10079DC3" w14:textId="77777777" w:rsidR="00F7044C" w:rsidRPr="004C5148" w:rsidRDefault="00F7044C" w:rsidP="00F7044C"/>
    <w:p w14:paraId="0F3C08E0" w14:textId="77777777" w:rsidR="00F7044C" w:rsidRDefault="00F7044C" w:rsidP="00F7044C">
      <w:pPr>
        <w:pStyle w:val="Bibliography"/>
        <w:rPr>
          <w:rFonts w:ascii="Times" w:hAnsi="Times"/>
        </w:rPr>
      </w:pPr>
      <w:r w:rsidRPr="00C421E4">
        <w:rPr>
          <w:rFonts w:ascii="Times" w:hAnsi="Times"/>
        </w:rPr>
        <w:t xml:space="preserve">Baran, B., Mantua, J., &amp; Spencer, R. M. (2016). Age-related Changes in the Sleep-dependent Reorganization of Declarative Memories. </w:t>
      </w:r>
      <w:r w:rsidRPr="00C421E4">
        <w:rPr>
          <w:rFonts w:ascii="Times" w:hAnsi="Times"/>
          <w:i/>
          <w:iCs/>
        </w:rPr>
        <w:t>Journal of Cognitive Neuroscience</w:t>
      </w:r>
      <w:r w:rsidRPr="00C421E4">
        <w:rPr>
          <w:rFonts w:ascii="Times" w:hAnsi="Times"/>
        </w:rPr>
        <w:t xml:space="preserve">, </w:t>
      </w:r>
      <w:r w:rsidRPr="00C421E4">
        <w:rPr>
          <w:rFonts w:ascii="Times" w:hAnsi="Times"/>
          <w:i/>
          <w:iCs/>
        </w:rPr>
        <w:t>In Press</w:t>
      </w:r>
      <w:r w:rsidRPr="00C421E4">
        <w:rPr>
          <w:rFonts w:ascii="Times" w:hAnsi="Times"/>
        </w:rPr>
        <w:t>.</w:t>
      </w:r>
    </w:p>
    <w:p w14:paraId="0D2D3459" w14:textId="77777777" w:rsidR="00F7044C" w:rsidRPr="004C5148" w:rsidRDefault="00F7044C" w:rsidP="00F7044C"/>
    <w:p w14:paraId="1A3DEBF0" w14:textId="77777777" w:rsidR="00F7044C" w:rsidRPr="00C421E4" w:rsidRDefault="00F7044C" w:rsidP="00F7044C">
      <w:pPr>
        <w:pStyle w:val="Bibliography"/>
        <w:rPr>
          <w:rFonts w:ascii="Times" w:hAnsi="Times"/>
        </w:rPr>
      </w:pPr>
      <w:r w:rsidRPr="00C421E4">
        <w:rPr>
          <w:rFonts w:ascii="Times" w:hAnsi="Times"/>
        </w:rPr>
        <w:t xml:space="preserve">Baran, B., Pace-Schott, E. F., Ericson, C., &amp; Spencer, R. M. C. (2012). Processing of emotional reactivity and emotional memory over sleep. </w:t>
      </w:r>
      <w:r w:rsidRPr="00C421E4">
        <w:rPr>
          <w:rFonts w:ascii="Times" w:hAnsi="Times"/>
          <w:i/>
          <w:iCs/>
        </w:rPr>
        <w:t xml:space="preserve">The Journal of </w:t>
      </w:r>
      <w:proofErr w:type="gramStart"/>
      <w:r w:rsidRPr="00C421E4">
        <w:rPr>
          <w:rFonts w:ascii="Times" w:hAnsi="Times"/>
          <w:i/>
          <w:iCs/>
        </w:rPr>
        <w:t>Neuroscience</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The Official Journal of the Society for Neuroscience</w:t>
      </w:r>
      <w:r w:rsidRPr="00C421E4">
        <w:rPr>
          <w:rFonts w:ascii="Times" w:hAnsi="Times"/>
        </w:rPr>
        <w:t xml:space="preserve">, </w:t>
      </w:r>
      <w:r w:rsidRPr="00C421E4">
        <w:rPr>
          <w:rFonts w:ascii="Times" w:hAnsi="Times"/>
          <w:i/>
          <w:iCs/>
        </w:rPr>
        <w:t>32</w:t>
      </w:r>
      <w:r w:rsidRPr="00C421E4">
        <w:rPr>
          <w:rFonts w:ascii="Times" w:hAnsi="Times"/>
        </w:rPr>
        <w:t>(3), 1035–42. https://doi.org/10.1523/JNEUROSCI.2532-11.2012</w:t>
      </w:r>
    </w:p>
    <w:p w14:paraId="5491131A" w14:textId="77777777" w:rsidR="00F7044C" w:rsidRDefault="00F7044C" w:rsidP="00F7044C">
      <w:pPr>
        <w:pStyle w:val="Bibliography"/>
        <w:rPr>
          <w:rFonts w:ascii="Times" w:hAnsi="Times"/>
        </w:rPr>
      </w:pPr>
      <w:r w:rsidRPr="00C421E4">
        <w:rPr>
          <w:rFonts w:ascii="Times" w:hAnsi="Times"/>
        </w:rPr>
        <w:t xml:space="preserve">Battistone, M., Woltz, D., &amp; Clark, E. (2008). Processing speed deficits associated with traumatic brain injury: processing inefficiency or cautiousness? </w:t>
      </w:r>
      <w:r w:rsidRPr="00C421E4">
        <w:rPr>
          <w:rFonts w:ascii="Times" w:hAnsi="Times"/>
          <w:i/>
          <w:iCs/>
        </w:rPr>
        <w:t>Applied Neuropsychology</w:t>
      </w:r>
      <w:r w:rsidRPr="00C421E4">
        <w:rPr>
          <w:rFonts w:ascii="Times" w:hAnsi="Times"/>
        </w:rPr>
        <w:t xml:space="preserve">, </w:t>
      </w:r>
      <w:r w:rsidRPr="00C421E4">
        <w:rPr>
          <w:rFonts w:ascii="Times" w:hAnsi="Times"/>
          <w:i/>
          <w:iCs/>
        </w:rPr>
        <w:t>15</w:t>
      </w:r>
      <w:r w:rsidRPr="00C421E4">
        <w:rPr>
          <w:rFonts w:ascii="Times" w:hAnsi="Times"/>
        </w:rPr>
        <w:t>(1), 69–78. https://doi.org/10.1080/09084280801917863</w:t>
      </w:r>
    </w:p>
    <w:p w14:paraId="5C96C022" w14:textId="77777777" w:rsidR="00F7044C" w:rsidRPr="004C5148" w:rsidRDefault="00F7044C" w:rsidP="00F7044C"/>
    <w:p w14:paraId="1E55C394" w14:textId="77777777" w:rsidR="00F7044C" w:rsidRDefault="00F7044C" w:rsidP="00F7044C">
      <w:pPr>
        <w:pStyle w:val="Bibliography"/>
        <w:rPr>
          <w:rFonts w:ascii="Times" w:hAnsi="Times"/>
        </w:rPr>
      </w:pPr>
      <w:r w:rsidRPr="00C421E4">
        <w:rPr>
          <w:rFonts w:ascii="Times" w:hAnsi="Times"/>
        </w:rPr>
        <w:lastRenderedPageBreak/>
        <w:t xml:space="preserve">Beck, A. T., Ward, C. H., Mendelson, M., Mock, J., &amp; Erbaugh, J. (1961). An inventory for measuring depression. </w:t>
      </w:r>
      <w:r w:rsidRPr="00C421E4">
        <w:rPr>
          <w:rFonts w:ascii="Times" w:hAnsi="Times"/>
          <w:i/>
          <w:iCs/>
        </w:rPr>
        <w:t>Archives of General Psychiatry</w:t>
      </w:r>
      <w:r w:rsidRPr="00C421E4">
        <w:rPr>
          <w:rFonts w:ascii="Times" w:hAnsi="Times"/>
        </w:rPr>
        <w:t xml:space="preserve">, </w:t>
      </w:r>
      <w:r w:rsidRPr="00C421E4">
        <w:rPr>
          <w:rFonts w:ascii="Times" w:hAnsi="Times"/>
          <w:i/>
          <w:iCs/>
        </w:rPr>
        <w:t>4</w:t>
      </w:r>
      <w:r w:rsidRPr="00C421E4">
        <w:rPr>
          <w:rFonts w:ascii="Times" w:hAnsi="Times"/>
        </w:rPr>
        <w:t>(6), 561–571. https://doi.org/10.1001/archpsyc.1961.01710120031004</w:t>
      </w:r>
    </w:p>
    <w:p w14:paraId="5B3CB578" w14:textId="77777777" w:rsidR="00F7044C" w:rsidRPr="004C5148" w:rsidRDefault="00F7044C" w:rsidP="00F7044C"/>
    <w:p w14:paraId="430A98FB" w14:textId="77777777" w:rsidR="00F7044C" w:rsidRDefault="00F7044C" w:rsidP="00F7044C">
      <w:pPr>
        <w:pStyle w:val="Bibliography"/>
        <w:rPr>
          <w:rFonts w:ascii="Times" w:hAnsi="Times"/>
        </w:rPr>
      </w:pPr>
      <w:r>
        <w:rPr>
          <w:rFonts w:ascii="Times" w:hAnsi="Times"/>
        </w:rPr>
        <w:t>Belanger, H. G., Curtiss, G., Demery, J. A., Lebowitz, B. K., &amp; Vanderploeg</w:t>
      </w:r>
      <w:r w:rsidRPr="00C421E4">
        <w:rPr>
          <w:rFonts w:ascii="Times" w:hAnsi="Times"/>
        </w:rPr>
        <w:t xml:space="preserve">, R. D. (2005). Factors moderating neuropsychological outcomes following mild traumatic brain injury: A meta-analysis. </w:t>
      </w:r>
      <w:r w:rsidRPr="00C421E4">
        <w:rPr>
          <w:rFonts w:ascii="Times" w:hAnsi="Times"/>
          <w:i/>
          <w:iCs/>
        </w:rPr>
        <w:t>Journal of the International Neuropsychological Society</w:t>
      </w:r>
      <w:r w:rsidRPr="00C421E4">
        <w:rPr>
          <w:rFonts w:ascii="Times" w:hAnsi="Times"/>
        </w:rPr>
        <w:t xml:space="preserve">, </w:t>
      </w:r>
      <w:r w:rsidRPr="00C421E4">
        <w:rPr>
          <w:rFonts w:ascii="Times" w:hAnsi="Times"/>
          <w:i/>
          <w:iCs/>
        </w:rPr>
        <w:t>11</w:t>
      </w:r>
      <w:r w:rsidRPr="00C421E4">
        <w:rPr>
          <w:rFonts w:ascii="Times" w:hAnsi="Times"/>
        </w:rPr>
        <w:t>(3), 215–227.</w:t>
      </w:r>
    </w:p>
    <w:p w14:paraId="089BAD9A" w14:textId="77777777" w:rsidR="00F7044C" w:rsidRPr="004C5148" w:rsidRDefault="00F7044C" w:rsidP="00F7044C"/>
    <w:p w14:paraId="575FAD4F" w14:textId="77777777" w:rsidR="00F7044C" w:rsidRDefault="00F7044C" w:rsidP="00F7044C">
      <w:pPr>
        <w:pStyle w:val="Bibliography"/>
        <w:rPr>
          <w:rFonts w:ascii="Times" w:hAnsi="Times"/>
        </w:rPr>
      </w:pPr>
      <w:r w:rsidRPr="00C421E4">
        <w:rPr>
          <w:rFonts w:ascii="Times" w:hAnsi="Times"/>
        </w:rPr>
        <w:t xml:space="preserve">Belanger, H. G., &amp; Vanderploeg, R. D. (2005a). The neuropsychological impact of sports-related concussion: A meta-analysis. </w:t>
      </w:r>
      <w:r w:rsidRPr="00C421E4">
        <w:rPr>
          <w:rFonts w:ascii="Times" w:hAnsi="Times"/>
          <w:i/>
          <w:iCs/>
        </w:rPr>
        <w:t>Journal of the International Neuropsychological Society</w:t>
      </w:r>
      <w:r w:rsidRPr="00C421E4">
        <w:rPr>
          <w:rFonts w:ascii="Times" w:hAnsi="Times"/>
        </w:rPr>
        <w:t xml:space="preserve">, </w:t>
      </w:r>
      <w:r w:rsidRPr="00C421E4">
        <w:rPr>
          <w:rFonts w:ascii="Times" w:hAnsi="Times"/>
          <w:i/>
          <w:iCs/>
        </w:rPr>
        <w:t>11</w:t>
      </w:r>
      <w:r w:rsidRPr="00C421E4">
        <w:rPr>
          <w:rFonts w:ascii="Times" w:hAnsi="Times"/>
        </w:rPr>
        <w:t>(4), 345–357. https://doi.org/10.1017/S1355617705050411</w:t>
      </w:r>
    </w:p>
    <w:p w14:paraId="0C888AAA" w14:textId="77777777" w:rsidR="00F7044C" w:rsidRPr="0073157C" w:rsidRDefault="00F7044C" w:rsidP="00F7044C"/>
    <w:p w14:paraId="6D3C62DD" w14:textId="77777777" w:rsidR="00F7044C" w:rsidRDefault="00F7044C" w:rsidP="00F7044C">
      <w:pPr>
        <w:pStyle w:val="Bibliography"/>
        <w:rPr>
          <w:rFonts w:ascii="Times" w:hAnsi="Times"/>
        </w:rPr>
      </w:pPr>
      <w:r w:rsidRPr="00C421E4">
        <w:rPr>
          <w:rFonts w:ascii="Times" w:hAnsi="Times"/>
        </w:rPr>
        <w:t xml:space="preserve">Belanger, H. G., &amp; Vanderploeg, R. D. (2005b). The neuropsychological impact of sports-related concussion: A meta-analysis. </w:t>
      </w:r>
      <w:r w:rsidRPr="00C421E4">
        <w:rPr>
          <w:rFonts w:ascii="Times" w:hAnsi="Times"/>
          <w:i/>
          <w:iCs/>
        </w:rPr>
        <w:t>Journal of the International Neuropsychological Society</w:t>
      </w:r>
      <w:r w:rsidRPr="00C421E4">
        <w:rPr>
          <w:rFonts w:ascii="Times" w:hAnsi="Times"/>
        </w:rPr>
        <w:t xml:space="preserve">, </w:t>
      </w:r>
      <w:r w:rsidRPr="00C421E4">
        <w:rPr>
          <w:rFonts w:ascii="Times" w:hAnsi="Times"/>
          <w:i/>
          <w:iCs/>
        </w:rPr>
        <w:t>11</w:t>
      </w:r>
      <w:r w:rsidRPr="00C421E4">
        <w:rPr>
          <w:rFonts w:ascii="Times" w:hAnsi="Times"/>
        </w:rPr>
        <w:t>(4), 345–357. https://doi.org/10.1017/S1355617705050411</w:t>
      </w:r>
    </w:p>
    <w:p w14:paraId="40A9A096" w14:textId="77777777" w:rsidR="00F7044C" w:rsidRPr="0073157C" w:rsidRDefault="00F7044C" w:rsidP="00F7044C"/>
    <w:p w14:paraId="46826E56" w14:textId="77777777" w:rsidR="00F7044C" w:rsidRDefault="00F7044C" w:rsidP="00F7044C">
      <w:pPr>
        <w:pStyle w:val="Bibliography"/>
        <w:rPr>
          <w:rFonts w:ascii="Times" w:hAnsi="Times"/>
        </w:rPr>
      </w:pPr>
      <w:r w:rsidRPr="00C421E4">
        <w:rPr>
          <w:rFonts w:ascii="Times" w:hAnsi="Times"/>
        </w:rPr>
        <w:t xml:space="preserve">Benca, R. M., Obermeyer, W. H., Thisted, R. A., &amp; Gillin, J. C. (1992). Sleep and psychiatric disorders. A meta-analysis. </w:t>
      </w:r>
      <w:r w:rsidRPr="00C421E4">
        <w:rPr>
          <w:rFonts w:ascii="Times" w:hAnsi="Times"/>
          <w:i/>
          <w:iCs/>
        </w:rPr>
        <w:t>Archives of General Psychiatry</w:t>
      </w:r>
      <w:r w:rsidRPr="00C421E4">
        <w:rPr>
          <w:rFonts w:ascii="Times" w:hAnsi="Times"/>
        </w:rPr>
        <w:t xml:space="preserve">, </w:t>
      </w:r>
      <w:r w:rsidRPr="00C421E4">
        <w:rPr>
          <w:rFonts w:ascii="Times" w:hAnsi="Times"/>
          <w:i/>
          <w:iCs/>
        </w:rPr>
        <w:t>49</w:t>
      </w:r>
      <w:r w:rsidRPr="00C421E4">
        <w:rPr>
          <w:rFonts w:ascii="Times" w:hAnsi="Times"/>
        </w:rPr>
        <w:t>(8), 651-68-70. https://doi.org/10.1001/archpsyc.1992.01820080077011</w:t>
      </w:r>
    </w:p>
    <w:p w14:paraId="14CFBCE6" w14:textId="77777777" w:rsidR="00F7044C" w:rsidRPr="0073157C" w:rsidRDefault="00F7044C" w:rsidP="00F7044C"/>
    <w:p w14:paraId="008E8D5D" w14:textId="77777777" w:rsidR="00F7044C" w:rsidRDefault="00F7044C" w:rsidP="00F7044C">
      <w:pPr>
        <w:pStyle w:val="Bibliography"/>
        <w:rPr>
          <w:rFonts w:ascii="Times" w:hAnsi="Times"/>
        </w:rPr>
      </w:pPr>
      <w:r w:rsidRPr="00C421E4">
        <w:rPr>
          <w:rFonts w:ascii="Times" w:hAnsi="Times"/>
        </w:rPr>
        <w:t xml:space="preserve">Benedict, C., Scheller, J., Rose-John, S., Born, J., &amp; Marshall, L. (2009). Enhancing influence of intranasal interleukin-6 on slow-wave activity and memory consolidation during sleep. </w:t>
      </w:r>
      <w:r w:rsidRPr="00C421E4">
        <w:rPr>
          <w:rFonts w:ascii="Times" w:hAnsi="Times"/>
          <w:i/>
          <w:iCs/>
        </w:rPr>
        <w:t xml:space="preserve">The FASEB </w:t>
      </w:r>
      <w:proofErr w:type="gramStart"/>
      <w:r w:rsidRPr="00C421E4">
        <w:rPr>
          <w:rFonts w:ascii="Times" w:hAnsi="Times"/>
          <w:i/>
          <w:iCs/>
        </w:rPr>
        <w:t>Journal</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Official Publication of the Federation of American Societies for Experimental Biology</w:t>
      </w:r>
      <w:r w:rsidRPr="00C421E4">
        <w:rPr>
          <w:rFonts w:ascii="Times" w:hAnsi="Times"/>
        </w:rPr>
        <w:t xml:space="preserve">, </w:t>
      </w:r>
      <w:r w:rsidRPr="00C421E4">
        <w:rPr>
          <w:rFonts w:ascii="Times" w:hAnsi="Times"/>
          <w:i/>
          <w:iCs/>
        </w:rPr>
        <w:t>23</w:t>
      </w:r>
      <w:r w:rsidRPr="00C421E4">
        <w:rPr>
          <w:rFonts w:ascii="Times" w:hAnsi="Times"/>
        </w:rPr>
        <w:t>(10), 3629–3636. https://doi.org/10.1096/fj.08-122853</w:t>
      </w:r>
    </w:p>
    <w:p w14:paraId="77D1D909" w14:textId="77777777" w:rsidR="00F7044C" w:rsidRPr="0073157C" w:rsidRDefault="00F7044C" w:rsidP="00F7044C"/>
    <w:p w14:paraId="48802D93" w14:textId="77777777" w:rsidR="00F7044C" w:rsidRDefault="00F7044C" w:rsidP="00F7044C">
      <w:pPr>
        <w:pStyle w:val="Bibliography"/>
        <w:rPr>
          <w:rFonts w:ascii="Times" w:hAnsi="Times"/>
        </w:rPr>
      </w:pPr>
      <w:r w:rsidRPr="00C421E4">
        <w:rPr>
          <w:rFonts w:ascii="Times" w:hAnsi="Times"/>
        </w:rPr>
        <w:t xml:space="preserve">Bernstein, D. M. (2002a). Information processing difficulty long after self-reported concussion. </w:t>
      </w:r>
      <w:r w:rsidRPr="00C421E4">
        <w:rPr>
          <w:rFonts w:ascii="Times" w:hAnsi="Times"/>
          <w:i/>
          <w:iCs/>
        </w:rPr>
        <w:t xml:space="preserve">Journal of the International Neuropsychological </w:t>
      </w:r>
      <w:proofErr w:type="gramStart"/>
      <w:r w:rsidRPr="00C421E4">
        <w:rPr>
          <w:rFonts w:ascii="Times" w:hAnsi="Times"/>
          <w:i/>
          <w:iCs/>
        </w:rPr>
        <w:t>Society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JINS</w:t>
      </w:r>
      <w:r w:rsidRPr="00C421E4">
        <w:rPr>
          <w:rFonts w:ascii="Times" w:hAnsi="Times"/>
        </w:rPr>
        <w:t xml:space="preserve">, </w:t>
      </w:r>
      <w:r w:rsidRPr="00C421E4">
        <w:rPr>
          <w:rFonts w:ascii="Times" w:hAnsi="Times"/>
          <w:i/>
          <w:iCs/>
        </w:rPr>
        <w:t>8</w:t>
      </w:r>
      <w:r w:rsidRPr="00C421E4">
        <w:rPr>
          <w:rFonts w:ascii="Times" w:hAnsi="Times"/>
        </w:rPr>
        <w:t>(5), 673–682. https://doi.org/10.1017/S1355617702801400</w:t>
      </w:r>
    </w:p>
    <w:p w14:paraId="786136CB" w14:textId="77777777" w:rsidR="00F7044C" w:rsidRPr="0073157C" w:rsidRDefault="00F7044C" w:rsidP="00F7044C"/>
    <w:p w14:paraId="447FF425" w14:textId="77777777" w:rsidR="00F7044C" w:rsidRDefault="00F7044C" w:rsidP="00F7044C">
      <w:pPr>
        <w:pStyle w:val="Bibliography"/>
        <w:rPr>
          <w:rFonts w:ascii="Times" w:hAnsi="Times"/>
        </w:rPr>
      </w:pPr>
      <w:r w:rsidRPr="00C421E4">
        <w:rPr>
          <w:rFonts w:ascii="Times" w:hAnsi="Times"/>
        </w:rPr>
        <w:t xml:space="preserve">Bernstein, D. M. (2002b). Information processing difficulty long after self-reported concussion. </w:t>
      </w:r>
      <w:r w:rsidRPr="00C421E4">
        <w:rPr>
          <w:rFonts w:ascii="Times" w:hAnsi="Times"/>
          <w:i/>
          <w:iCs/>
        </w:rPr>
        <w:t xml:space="preserve">Journal of the International Neuropsychological </w:t>
      </w:r>
      <w:proofErr w:type="gramStart"/>
      <w:r w:rsidRPr="00C421E4">
        <w:rPr>
          <w:rFonts w:ascii="Times" w:hAnsi="Times"/>
          <w:i/>
          <w:iCs/>
        </w:rPr>
        <w:t>Society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JINS</w:t>
      </w:r>
      <w:r w:rsidRPr="00C421E4">
        <w:rPr>
          <w:rFonts w:ascii="Times" w:hAnsi="Times"/>
        </w:rPr>
        <w:t xml:space="preserve">, </w:t>
      </w:r>
      <w:r w:rsidRPr="00C421E4">
        <w:rPr>
          <w:rFonts w:ascii="Times" w:hAnsi="Times"/>
          <w:i/>
          <w:iCs/>
        </w:rPr>
        <w:t>8</w:t>
      </w:r>
      <w:r w:rsidRPr="00C421E4">
        <w:rPr>
          <w:rFonts w:ascii="Times" w:hAnsi="Times"/>
        </w:rPr>
        <w:t>(5), 673–682. https://doi.org/10.1017/S1355617702801400</w:t>
      </w:r>
    </w:p>
    <w:p w14:paraId="7BC60694" w14:textId="77777777" w:rsidR="00F7044C" w:rsidRPr="0073157C" w:rsidRDefault="00F7044C" w:rsidP="00F7044C"/>
    <w:p w14:paraId="76F7657B" w14:textId="77777777" w:rsidR="00F7044C" w:rsidRDefault="00F7044C" w:rsidP="00F7044C">
      <w:pPr>
        <w:pStyle w:val="Bibliography"/>
        <w:rPr>
          <w:rFonts w:ascii="Times" w:hAnsi="Times"/>
        </w:rPr>
      </w:pPr>
      <w:r w:rsidRPr="00C421E4">
        <w:rPr>
          <w:rFonts w:ascii="Times" w:hAnsi="Times"/>
        </w:rPr>
        <w:t xml:space="preserve">Blanchard, E. B., Jones-Alexander, J., Buckley, T. C., &amp; Forneris, C. A. (1996). Psychometric properties of the PTSD checklist (PCL). </w:t>
      </w:r>
      <w:r w:rsidRPr="00C421E4">
        <w:rPr>
          <w:rFonts w:ascii="Times" w:hAnsi="Times"/>
          <w:i/>
          <w:iCs/>
        </w:rPr>
        <w:t>Behaviour Research and Therapy</w:t>
      </w:r>
      <w:r w:rsidRPr="00C421E4">
        <w:rPr>
          <w:rFonts w:ascii="Times" w:hAnsi="Times"/>
        </w:rPr>
        <w:t xml:space="preserve">, </w:t>
      </w:r>
      <w:r w:rsidRPr="00C421E4">
        <w:rPr>
          <w:rFonts w:ascii="Times" w:hAnsi="Times"/>
          <w:i/>
          <w:iCs/>
        </w:rPr>
        <w:t>34</w:t>
      </w:r>
      <w:r w:rsidRPr="00C421E4">
        <w:rPr>
          <w:rFonts w:ascii="Times" w:hAnsi="Times"/>
        </w:rPr>
        <w:t>(8), 669–673. https://doi.org/10.1016/0005-7967(96)00033-2</w:t>
      </w:r>
    </w:p>
    <w:p w14:paraId="0BFD1A7F" w14:textId="77777777" w:rsidR="00F7044C" w:rsidRPr="0073157C" w:rsidRDefault="00F7044C" w:rsidP="00F7044C"/>
    <w:p w14:paraId="07EE2287" w14:textId="77777777" w:rsidR="00F7044C" w:rsidRPr="00C421E4" w:rsidRDefault="00F7044C" w:rsidP="00F7044C">
      <w:pPr>
        <w:pStyle w:val="Bibliography"/>
        <w:rPr>
          <w:rFonts w:ascii="Times" w:hAnsi="Times"/>
        </w:rPr>
      </w:pPr>
      <w:r w:rsidRPr="00C421E4">
        <w:rPr>
          <w:rFonts w:ascii="Times" w:hAnsi="Times"/>
        </w:rPr>
        <w:t xml:space="preserve">Blennow, K., Hardy, J., &amp; Zetterberg, H. (2012). The Neuropathology and Neurobiology of Traumatic Brain Injury. </w:t>
      </w:r>
      <w:r w:rsidRPr="00C421E4">
        <w:rPr>
          <w:rFonts w:ascii="Times" w:hAnsi="Times"/>
          <w:i/>
          <w:iCs/>
        </w:rPr>
        <w:t>Neuron</w:t>
      </w:r>
      <w:r w:rsidRPr="00C421E4">
        <w:rPr>
          <w:rFonts w:ascii="Times" w:hAnsi="Times"/>
        </w:rPr>
        <w:t xml:space="preserve">, </w:t>
      </w:r>
      <w:r w:rsidRPr="00C421E4">
        <w:rPr>
          <w:rFonts w:ascii="Times" w:hAnsi="Times"/>
          <w:i/>
          <w:iCs/>
        </w:rPr>
        <w:t>76</w:t>
      </w:r>
      <w:r w:rsidRPr="00C421E4">
        <w:rPr>
          <w:rFonts w:ascii="Times" w:hAnsi="Times"/>
        </w:rPr>
        <w:t>(5), 886–899. https://doi.org/10.1016/j.neuron.2012.11.021</w:t>
      </w:r>
    </w:p>
    <w:p w14:paraId="55AF44D9" w14:textId="77777777" w:rsidR="00F7044C" w:rsidRDefault="00F7044C" w:rsidP="00F7044C">
      <w:pPr>
        <w:pStyle w:val="Bibliography"/>
        <w:rPr>
          <w:rFonts w:ascii="Times" w:hAnsi="Times"/>
        </w:rPr>
      </w:pPr>
      <w:r w:rsidRPr="00C421E4">
        <w:rPr>
          <w:rFonts w:ascii="Times" w:hAnsi="Times"/>
        </w:rPr>
        <w:lastRenderedPageBreak/>
        <w:t xml:space="preserve">Bonne, O., Gilboa, A., Louzoun, Y., Kempf-Sherf, O., Katz, M., Fishman, Y., … Lester, H. (2003). Cerebral blood flow in chronic symptomatic mild traumatic brain injury. </w:t>
      </w:r>
      <w:r w:rsidRPr="00C421E4">
        <w:rPr>
          <w:rFonts w:ascii="Times" w:hAnsi="Times"/>
          <w:i/>
          <w:iCs/>
        </w:rPr>
        <w:t>Psychiatry Research: Neuroimaging</w:t>
      </w:r>
      <w:r w:rsidRPr="00C421E4">
        <w:rPr>
          <w:rFonts w:ascii="Times" w:hAnsi="Times"/>
        </w:rPr>
        <w:t xml:space="preserve">, </w:t>
      </w:r>
      <w:r w:rsidRPr="00C421E4">
        <w:rPr>
          <w:rFonts w:ascii="Times" w:hAnsi="Times"/>
          <w:i/>
          <w:iCs/>
        </w:rPr>
        <w:t>124</w:t>
      </w:r>
      <w:r w:rsidRPr="00C421E4">
        <w:rPr>
          <w:rFonts w:ascii="Times" w:hAnsi="Times"/>
        </w:rPr>
        <w:t>(3), 141–152.</w:t>
      </w:r>
    </w:p>
    <w:p w14:paraId="3FF10E53" w14:textId="77777777" w:rsidR="00F7044C" w:rsidRPr="0073157C" w:rsidRDefault="00F7044C" w:rsidP="00F7044C"/>
    <w:p w14:paraId="1DBF69A9" w14:textId="77777777" w:rsidR="00F7044C" w:rsidRDefault="00F7044C" w:rsidP="00F7044C">
      <w:pPr>
        <w:pStyle w:val="Bibliography"/>
        <w:rPr>
          <w:rFonts w:ascii="Times" w:hAnsi="Times"/>
        </w:rPr>
      </w:pPr>
      <w:r w:rsidRPr="00C421E4">
        <w:rPr>
          <w:rFonts w:ascii="Times" w:hAnsi="Times"/>
        </w:rPr>
        <w:t xml:space="preserve">Boyle, J., Eriksson, M., Stanley, N., Fujita, T., &amp; Kumagi, Y. (2006). Allergy medication in Japanese volunteers: treatment effect of single doses on nocturnal sleep architecture and next day residual effects. </w:t>
      </w:r>
      <w:r w:rsidRPr="00C421E4">
        <w:rPr>
          <w:rFonts w:ascii="Times" w:hAnsi="Times"/>
          <w:i/>
          <w:iCs/>
        </w:rPr>
        <w:t>Current Medical Research and Opinion</w:t>
      </w:r>
      <w:r w:rsidRPr="00C421E4">
        <w:rPr>
          <w:rFonts w:ascii="Times" w:hAnsi="Times"/>
        </w:rPr>
        <w:t xml:space="preserve">, </w:t>
      </w:r>
      <w:r w:rsidRPr="00C421E4">
        <w:rPr>
          <w:rFonts w:ascii="Times" w:hAnsi="Times"/>
          <w:i/>
          <w:iCs/>
        </w:rPr>
        <w:t>22</w:t>
      </w:r>
      <w:r w:rsidRPr="00C421E4">
        <w:rPr>
          <w:rFonts w:ascii="Times" w:hAnsi="Times"/>
        </w:rPr>
        <w:t>(7), 1343–51. https://doi.org/10.1185/030079906X112660</w:t>
      </w:r>
    </w:p>
    <w:p w14:paraId="53453443" w14:textId="77777777" w:rsidR="00F7044C" w:rsidRPr="0073157C" w:rsidRDefault="00F7044C" w:rsidP="00F7044C"/>
    <w:p w14:paraId="20F2CD34" w14:textId="77777777" w:rsidR="00F7044C" w:rsidRDefault="00F7044C" w:rsidP="00F7044C">
      <w:pPr>
        <w:pStyle w:val="Bibliography"/>
        <w:rPr>
          <w:rFonts w:ascii="Times" w:hAnsi="Times"/>
        </w:rPr>
      </w:pPr>
      <w:r w:rsidRPr="00C421E4">
        <w:rPr>
          <w:rFonts w:ascii="Times" w:hAnsi="Times"/>
        </w:rPr>
        <w:t xml:space="preserve">Bradley, B. P., Mogg, K., Falla, S. J., &amp; Hamilton, L. R. (1998). Attentional Bias for Threatening Facial Expressions in Anxiety: Manipulation of Stimulus Duration. </w:t>
      </w:r>
      <w:r w:rsidRPr="00C421E4">
        <w:rPr>
          <w:rFonts w:ascii="Times" w:hAnsi="Times"/>
          <w:i/>
          <w:iCs/>
        </w:rPr>
        <w:t>Cognition &amp; Emotion</w:t>
      </w:r>
      <w:r w:rsidRPr="00C421E4">
        <w:rPr>
          <w:rFonts w:ascii="Times" w:hAnsi="Times"/>
        </w:rPr>
        <w:t xml:space="preserve">, </w:t>
      </w:r>
      <w:r w:rsidRPr="00C421E4">
        <w:rPr>
          <w:rFonts w:ascii="Times" w:hAnsi="Times"/>
          <w:i/>
          <w:iCs/>
        </w:rPr>
        <w:t>12</w:t>
      </w:r>
      <w:r w:rsidRPr="00C421E4">
        <w:rPr>
          <w:rFonts w:ascii="Times" w:hAnsi="Times"/>
        </w:rPr>
        <w:t>(6), 737–753. https://doi.org/10.1080/026999398379411</w:t>
      </w:r>
    </w:p>
    <w:p w14:paraId="1DB6F5B8" w14:textId="77777777" w:rsidR="00F7044C" w:rsidRPr="0073157C" w:rsidRDefault="00F7044C" w:rsidP="00F7044C"/>
    <w:p w14:paraId="0EFD65AB" w14:textId="77777777" w:rsidR="00F7044C" w:rsidRDefault="00F7044C" w:rsidP="00F7044C">
      <w:pPr>
        <w:pStyle w:val="Bibliography"/>
        <w:rPr>
          <w:rFonts w:ascii="Times" w:hAnsi="Times"/>
        </w:rPr>
      </w:pPr>
      <w:r w:rsidRPr="00C421E4">
        <w:rPr>
          <w:rFonts w:ascii="Times" w:hAnsi="Times"/>
        </w:rPr>
        <w:t xml:space="preserve">Bradley, M. M., &amp; Lang, P. J. (1994). Measuring emotion: The self-assessment manikin and the semantic differential. </w:t>
      </w:r>
      <w:r w:rsidRPr="00C421E4">
        <w:rPr>
          <w:rFonts w:ascii="Times" w:hAnsi="Times"/>
          <w:i/>
          <w:iCs/>
        </w:rPr>
        <w:t>Journal of Behavior Therapy and Experimental Psychiatry</w:t>
      </w:r>
      <w:r w:rsidRPr="00C421E4">
        <w:rPr>
          <w:rFonts w:ascii="Times" w:hAnsi="Times"/>
        </w:rPr>
        <w:t xml:space="preserve">, </w:t>
      </w:r>
      <w:r w:rsidRPr="00C421E4">
        <w:rPr>
          <w:rFonts w:ascii="Times" w:hAnsi="Times"/>
          <w:i/>
          <w:iCs/>
        </w:rPr>
        <w:t>25</w:t>
      </w:r>
      <w:r w:rsidRPr="00C421E4">
        <w:rPr>
          <w:rFonts w:ascii="Times" w:hAnsi="Times"/>
        </w:rPr>
        <w:t>(1), 49–59. https://doi.org/10.1016/0005-7916(94)90063-9</w:t>
      </w:r>
    </w:p>
    <w:p w14:paraId="2A321216" w14:textId="77777777" w:rsidR="00F7044C" w:rsidRPr="0073157C" w:rsidRDefault="00F7044C" w:rsidP="00F7044C"/>
    <w:p w14:paraId="5DEC9BF9" w14:textId="77777777" w:rsidR="00F7044C" w:rsidRDefault="00F7044C" w:rsidP="00F7044C">
      <w:pPr>
        <w:pStyle w:val="Bibliography"/>
        <w:rPr>
          <w:rFonts w:ascii="Times" w:hAnsi="Times"/>
        </w:rPr>
      </w:pPr>
      <w:r w:rsidRPr="00C421E4">
        <w:rPr>
          <w:rFonts w:ascii="Times" w:hAnsi="Times"/>
        </w:rPr>
        <w:t xml:space="preserve">Bramley, H., Henson, A., Lewis, M. M., Kong, L., Stetter, C., &amp; Silvis, M. (2016). Sleep Disturbance Following Concussion Is a Risk Factor for a Prolonged Recovery. </w:t>
      </w:r>
      <w:r w:rsidRPr="00C421E4">
        <w:rPr>
          <w:rFonts w:ascii="Times" w:hAnsi="Times"/>
          <w:i/>
          <w:iCs/>
        </w:rPr>
        <w:t>Clinical Pediatrics</w:t>
      </w:r>
      <w:r w:rsidRPr="00C421E4">
        <w:rPr>
          <w:rFonts w:ascii="Times" w:hAnsi="Times"/>
        </w:rPr>
        <w:t>, 9922816681603.</w:t>
      </w:r>
    </w:p>
    <w:p w14:paraId="59289252" w14:textId="77777777" w:rsidR="00F7044C" w:rsidRPr="0073157C" w:rsidRDefault="00F7044C" w:rsidP="00F7044C"/>
    <w:p w14:paraId="04823F17" w14:textId="77777777" w:rsidR="00F7044C" w:rsidRDefault="00F7044C" w:rsidP="00F7044C">
      <w:pPr>
        <w:pStyle w:val="Bibliography"/>
        <w:rPr>
          <w:rFonts w:ascii="Times" w:hAnsi="Times"/>
        </w:rPr>
      </w:pPr>
      <w:r w:rsidRPr="00C421E4">
        <w:rPr>
          <w:rFonts w:ascii="Times" w:hAnsi="Times"/>
        </w:rPr>
        <w:t xml:space="preserve">Broglio, S. P., Cantu, R. C., Gioia, G. A., Guskiewicz, K. M., Kutcher, J., Palm, M., &amp; McLeod, T. C. V. (2014). National athletic trainers’ association position statement: Management of sport concussion. </w:t>
      </w:r>
      <w:r w:rsidRPr="00C421E4">
        <w:rPr>
          <w:rFonts w:ascii="Times" w:hAnsi="Times"/>
          <w:i/>
          <w:iCs/>
        </w:rPr>
        <w:t>Journal of Athletic Training</w:t>
      </w:r>
      <w:r w:rsidRPr="00C421E4">
        <w:rPr>
          <w:rFonts w:ascii="Times" w:hAnsi="Times"/>
        </w:rPr>
        <w:t xml:space="preserve">, </w:t>
      </w:r>
      <w:r w:rsidRPr="00C421E4">
        <w:rPr>
          <w:rFonts w:ascii="Times" w:hAnsi="Times"/>
          <w:i/>
          <w:iCs/>
        </w:rPr>
        <w:t>49</w:t>
      </w:r>
      <w:r w:rsidRPr="00C421E4">
        <w:rPr>
          <w:rFonts w:ascii="Times" w:hAnsi="Times"/>
        </w:rPr>
        <w:t>(2), 245–265. https://doi.org/10.4085/1062-6050-49.1.07</w:t>
      </w:r>
    </w:p>
    <w:p w14:paraId="13BB0D08" w14:textId="77777777" w:rsidR="00F7044C" w:rsidRPr="0073157C" w:rsidRDefault="00F7044C" w:rsidP="00F7044C"/>
    <w:p w14:paraId="09EF9DD0" w14:textId="77777777" w:rsidR="00F7044C" w:rsidRDefault="00F7044C" w:rsidP="00F7044C">
      <w:pPr>
        <w:pStyle w:val="Bibliography"/>
        <w:rPr>
          <w:rFonts w:ascii="Times" w:hAnsi="Times"/>
        </w:rPr>
      </w:pPr>
      <w:r w:rsidRPr="00C421E4">
        <w:rPr>
          <w:rFonts w:ascii="Times" w:hAnsi="Times"/>
        </w:rPr>
        <w:t xml:space="preserve">Brooks, D. (1974). Recognition Memory After Head Injury: A Signal Detection Analysis. </w:t>
      </w:r>
      <w:r w:rsidRPr="00C421E4">
        <w:rPr>
          <w:rFonts w:ascii="Times" w:hAnsi="Times"/>
          <w:i/>
          <w:iCs/>
        </w:rPr>
        <w:t>Cortex</w:t>
      </w:r>
      <w:r w:rsidRPr="00C421E4">
        <w:rPr>
          <w:rFonts w:ascii="Times" w:hAnsi="Times"/>
        </w:rPr>
        <w:t xml:space="preserve">, </w:t>
      </w:r>
      <w:r w:rsidRPr="00C421E4">
        <w:rPr>
          <w:rFonts w:ascii="Times" w:hAnsi="Times"/>
          <w:i/>
          <w:iCs/>
        </w:rPr>
        <w:t>10</w:t>
      </w:r>
      <w:r w:rsidRPr="00C421E4">
        <w:rPr>
          <w:rFonts w:ascii="Times" w:hAnsi="Times"/>
        </w:rPr>
        <w:t>(3), 224–230.</w:t>
      </w:r>
    </w:p>
    <w:p w14:paraId="4885E6FD" w14:textId="77777777" w:rsidR="00F7044C" w:rsidRPr="0073157C" w:rsidRDefault="00F7044C" w:rsidP="00F7044C"/>
    <w:p w14:paraId="53FB5B1D" w14:textId="77777777" w:rsidR="00F7044C" w:rsidRDefault="00F7044C" w:rsidP="00F7044C">
      <w:pPr>
        <w:pStyle w:val="Bibliography"/>
        <w:rPr>
          <w:rFonts w:ascii="Times" w:hAnsi="Times"/>
        </w:rPr>
      </w:pPr>
      <w:r w:rsidRPr="00C421E4">
        <w:rPr>
          <w:rFonts w:ascii="Times" w:hAnsi="Times"/>
        </w:rPr>
        <w:t xml:space="preserve">Brooks, D. (1975). Long and </w:t>
      </w:r>
      <w:proofErr w:type="gramStart"/>
      <w:r w:rsidRPr="00C421E4">
        <w:rPr>
          <w:rFonts w:ascii="Times" w:hAnsi="Times"/>
        </w:rPr>
        <w:t>Short Term</w:t>
      </w:r>
      <w:proofErr w:type="gramEnd"/>
      <w:r w:rsidRPr="00C421E4">
        <w:rPr>
          <w:rFonts w:ascii="Times" w:hAnsi="Times"/>
        </w:rPr>
        <w:t xml:space="preserve"> Memory in Head Injured Patients. </w:t>
      </w:r>
      <w:r w:rsidRPr="00C421E4">
        <w:rPr>
          <w:rFonts w:ascii="Times" w:hAnsi="Times"/>
          <w:i/>
          <w:iCs/>
        </w:rPr>
        <w:t>Cortex</w:t>
      </w:r>
      <w:r w:rsidRPr="00C421E4">
        <w:rPr>
          <w:rFonts w:ascii="Times" w:hAnsi="Times"/>
        </w:rPr>
        <w:t xml:space="preserve">, </w:t>
      </w:r>
      <w:r w:rsidRPr="00C421E4">
        <w:rPr>
          <w:rFonts w:ascii="Times" w:hAnsi="Times"/>
          <w:i/>
          <w:iCs/>
        </w:rPr>
        <w:t>11</w:t>
      </w:r>
      <w:r w:rsidRPr="00C421E4">
        <w:rPr>
          <w:rFonts w:ascii="Times" w:hAnsi="Times"/>
        </w:rPr>
        <w:t>(4), 329–340.</w:t>
      </w:r>
    </w:p>
    <w:p w14:paraId="6CE35441" w14:textId="77777777" w:rsidR="00F7044C" w:rsidRPr="0073157C" w:rsidRDefault="00F7044C" w:rsidP="00F7044C"/>
    <w:p w14:paraId="682430F4" w14:textId="77777777" w:rsidR="00F7044C" w:rsidRDefault="00F7044C" w:rsidP="00F7044C">
      <w:pPr>
        <w:pStyle w:val="Bibliography"/>
        <w:rPr>
          <w:rFonts w:ascii="Times" w:hAnsi="Times"/>
        </w:rPr>
      </w:pPr>
      <w:r w:rsidRPr="00C421E4">
        <w:rPr>
          <w:rFonts w:ascii="Times" w:hAnsi="Times"/>
        </w:rPr>
        <w:t xml:space="preserve">Broughton, R. J., &amp; Dinges, D. F. (1989). </w:t>
      </w:r>
      <w:r w:rsidRPr="00C421E4">
        <w:rPr>
          <w:rFonts w:ascii="Times" w:hAnsi="Times"/>
          <w:i/>
          <w:iCs/>
        </w:rPr>
        <w:t>Sleep and Alertness: Chronobiological, Behavioural, and Medical Aspects of Napping</w:t>
      </w:r>
      <w:r w:rsidRPr="00C421E4">
        <w:rPr>
          <w:rFonts w:ascii="Times" w:hAnsi="Times"/>
        </w:rPr>
        <w:t>. New York, NY.</w:t>
      </w:r>
    </w:p>
    <w:p w14:paraId="4F76FDD8" w14:textId="77777777" w:rsidR="00F7044C" w:rsidRPr="0073157C" w:rsidRDefault="00F7044C" w:rsidP="00F7044C"/>
    <w:p w14:paraId="22F53551" w14:textId="77777777" w:rsidR="00F7044C" w:rsidRDefault="00F7044C" w:rsidP="00F7044C">
      <w:pPr>
        <w:pStyle w:val="Bibliography"/>
        <w:rPr>
          <w:rFonts w:ascii="Times" w:hAnsi="Times"/>
        </w:rPr>
      </w:pPr>
      <w:r w:rsidRPr="00C421E4">
        <w:rPr>
          <w:rFonts w:ascii="Times" w:hAnsi="Times"/>
        </w:rPr>
        <w:t xml:space="preserve">Brunoni, A. R., &amp; Vanderhasselt, M.-A. (2014). Working memory improvement with non-invasive brain stimulation of the dorsolateral prefrontal cortex: a systematic review and meta-analysis. </w:t>
      </w:r>
      <w:r w:rsidRPr="00C421E4">
        <w:rPr>
          <w:rFonts w:ascii="Times" w:hAnsi="Times"/>
          <w:i/>
          <w:iCs/>
        </w:rPr>
        <w:t>Brain and Cognition</w:t>
      </w:r>
      <w:r w:rsidRPr="00C421E4">
        <w:rPr>
          <w:rFonts w:ascii="Times" w:hAnsi="Times"/>
        </w:rPr>
        <w:t xml:space="preserve">, </w:t>
      </w:r>
      <w:r w:rsidRPr="00C421E4">
        <w:rPr>
          <w:rFonts w:ascii="Times" w:hAnsi="Times"/>
          <w:i/>
          <w:iCs/>
        </w:rPr>
        <w:t>86</w:t>
      </w:r>
      <w:r w:rsidRPr="00C421E4">
        <w:rPr>
          <w:rFonts w:ascii="Times" w:hAnsi="Times"/>
        </w:rPr>
        <w:t>, 1–9.</w:t>
      </w:r>
    </w:p>
    <w:p w14:paraId="340B22D8" w14:textId="77777777" w:rsidR="00F7044C" w:rsidRPr="0073157C" w:rsidRDefault="00F7044C" w:rsidP="00F7044C"/>
    <w:p w14:paraId="2A4477B6" w14:textId="77777777" w:rsidR="00F7044C" w:rsidRDefault="00F7044C" w:rsidP="00F7044C">
      <w:pPr>
        <w:pStyle w:val="Bibliography"/>
        <w:rPr>
          <w:rFonts w:ascii="Times" w:hAnsi="Times"/>
        </w:rPr>
      </w:pPr>
      <w:r w:rsidRPr="00C421E4">
        <w:rPr>
          <w:rFonts w:ascii="Times" w:hAnsi="Times"/>
        </w:rPr>
        <w:t xml:space="preserve">Bruns, J., &amp; Hauser, W. A. (2003). The epidemiology of traumatic brain injury: a review. </w:t>
      </w:r>
      <w:r w:rsidRPr="00C421E4">
        <w:rPr>
          <w:rFonts w:ascii="Times" w:hAnsi="Times"/>
          <w:i/>
          <w:iCs/>
        </w:rPr>
        <w:t>Epilepsia</w:t>
      </w:r>
      <w:r w:rsidRPr="00C421E4">
        <w:rPr>
          <w:rFonts w:ascii="Times" w:hAnsi="Times"/>
        </w:rPr>
        <w:t xml:space="preserve">, </w:t>
      </w:r>
      <w:r w:rsidRPr="00C421E4">
        <w:rPr>
          <w:rFonts w:ascii="Times" w:hAnsi="Times"/>
          <w:i/>
          <w:iCs/>
        </w:rPr>
        <w:t>44 Suppl 1</w:t>
      </w:r>
      <w:r w:rsidRPr="00C421E4">
        <w:rPr>
          <w:rFonts w:ascii="Times" w:hAnsi="Times"/>
        </w:rPr>
        <w:t>(2), 2–10. https://doi.org/10.1046/j.1528-1157.44.s10.3.x</w:t>
      </w:r>
    </w:p>
    <w:p w14:paraId="1FB14049" w14:textId="77777777" w:rsidR="00F7044C" w:rsidRPr="0073157C" w:rsidRDefault="00F7044C" w:rsidP="00F7044C"/>
    <w:p w14:paraId="6DFBE8B7" w14:textId="77777777" w:rsidR="00F7044C" w:rsidRPr="00C421E4" w:rsidRDefault="00F7044C" w:rsidP="00F7044C">
      <w:pPr>
        <w:pStyle w:val="Bibliography"/>
        <w:rPr>
          <w:rFonts w:ascii="Times" w:hAnsi="Times"/>
        </w:rPr>
      </w:pPr>
      <w:r w:rsidRPr="00C421E4">
        <w:rPr>
          <w:rFonts w:ascii="Times" w:hAnsi="Times"/>
        </w:rPr>
        <w:lastRenderedPageBreak/>
        <w:t xml:space="preserve">Buysse, D. J., Reynolds, C. F., Monk, T. H., Berman, S. R., &amp; Kupfer, D. J. (1989). The Pittsburgh Sleep Quality Index: a new instrument for psychiatric practice and research. </w:t>
      </w:r>
      <w:r w:rsidRPr="00C421E4">
        <w:rPr>
          <w:rFonts w:ascii="Times" w:hAnsi="Times"/>
          <w:i/>
          <w:iCs/>
        </w:rPr>
        <w:t>Psychiatry Research</w:t>
      </w:r>
      <w:r w:rsidRPr="00C421E4">
        <w:rPr>
          <w:rFonts w:ascii="Times" w:hAnsi="Times"/>
        </w:rPr>
        <w:t xml:space="preserve">, </w:t>
      </w:r>
      <w:r w:rsidRPr="00C421E4">
        <w:rPr>
          <w:rFonts w:ascii="Times" w:hAnsi="Times"/>
          <w:i/>
          <w:iCs/>
        </w:rPr>
        <w:t>28</w:t>
      </w:r>
      <w:r w:rsidRPr="00C421E4">
        <w:rPr>
          <w:rFonts w:ascii="Times" w:hAnsi="Times"/>
        </w:rPr>
        <w:t>(2), 193–213. https://doi.org/10.1016/0165-1781(89)90047-4</w:t>
      </w:r>
    </w:p>
    <w:p w14:paraId="741B9728" w14:textId="77777777" w:rsidR="00F7044C" w:rsidRDefault="00F7044C" w:rsidP="00F7044C">
      <w:pPr>
        <w:pStyle w:val="Bibliography"/>
        <w:rPr>
          <w:rFonts w:ascii="Times" w:hAnsi="Times"/>
        </w:rPr>
      </w:pPr>
      <w:r w:rsidRPr="00C421E4">
        <w:rPr>
          <w:rFonts w:ascii="Times" w:hAnsi="Times"/>
        </w:rPr>
        <w:t xml:space="preserve">Bylsma, L. M., Morris, B. H., &amp; Rottenberg, J. (2008). A meta-analysis of emotional reactivity in major depressive disorder. </w:t>
      </w:r>
      <w:r w:rsidRPr="00C421E4">
        <w:rPr>
          <w:rFonts w:ascii="Times" w:hAnsi="Times"/>
          <w:i/>
          <w:iCs/>
        </w:rPr>
        <w:t>Clinical Psychology Review</w:t>
      </w:r>
      <w:r w:rsidRPr="00C421E4">
        <w:rPr>
          <w:rFonts w:ascii="Times" w:hAnsi="Times"/>
        </w:rPr>
        <w:t>. https://doi.org/10.1016/j.cpr.2007.10.001</w:t>
      </w:r>
    </w:p>
    <w:p w14:paraId="6182E246" w14:textId="77777777" w:rsidR="00F7044C" w:rsidRPr="0073157C" w:rsidRDefault="00F7044C" w:rsidP="00F7044C"/>
    <w:p w14:paraId="752F844C" w14:textId="77777777" w:rsidR="00F7044C" w:rsidRDefault="00F7044C" w:rsidP="00F7044C">
      <w:pPr>
        <w:pStyle w:val="Bibliography"/>
        <w:rPr>
          <w:rFonts w:ascii="Times" w:hAnsi="Times"/>
        </w:rPr>
      </w:pPr>
      <w:r w:rsidRPr="00C421E4">
        <w:rPr>
          <w:rFonts w:ascii="Times" w:hAnsi="Times"/>
        </w:rPr>
        <w:t xml:space="preserve">Cairney, S. a, Durrant, S. J., Hulleman, J., &amp; Lewis, P. a. (2014a). Targeted Memory Reactivation During Slow Wave Sleep Facilitates Emotional Memory Consolidation. </w:t>
      </w:r>
      <w:r w:rsidRPr="00C421E4">
        <w:rPr>
          <w:rFonts w:ascii="Times" w:hAnsi="Times"/>
          <w:i/>
          <w:iCs/>
        </w:rPr>
        <w:t>Sleep</w:t>
      </w:r>
      <w:r w:rsidRPr="00C421E4">
        <w:rPr>
          <w:rFonts w:ascii="Times" w:hAnsi="Times"/>
        </w:rPr>
        <w:t xml:space="preserve">, </w:t>
      </w:r>
      <w:r w:rsidRPr="00C421E4">
        <w:rPr>
          <w:rFonts w:ascii="Times" w:hAnsi="Times"/>
          <w:i/>
          <w:iCs/>
        </w:rPr>
        <w:t>37</w:t>
      </w:r>
      <w:r w:rsidRPr="00C421E4">
        <w:rPr>
          <w:rFonts w:ascii="Times" w:hAnsi="Times"/>
        </w:rPr>
        <w:t>(4), 701–7. https://doi.org/10.5665/sleep.3572</w:t>
      </w:r>
    </w:p>
    <w:p w14:paraId="3AF354E4" w14:textId="77777777" w:rsidR="00F7044C" w:rsidRPr="0073157C" w:rsidRDefault="00F7044C" w:rsidP="00F7044C"/>
    <w:p w14:paraId="240C7D48" w14:textId="77777777" w:rsidR="00F7044C" w:rsidRDefault="00F7044C" w:rsidP="00F7044C">
      <w:pPr>
        <w:pStyle w:val="Bibliography"/>
        <w:rPr>
          <w:rFonts w:ascii="Times" w:hAnsi="Times"/>
        </w:rPr>
      </w:pPr>
      <w:r w:rsidRPr="00C421E4">
        <w:rPr>
          <w:rFonts w:ascii="Times" w:hAnsi="Times"/>
        </w:rPr>
        <w:t xml:space="preserve">Cairney, S. a, Durrant, S. J., Hulleman, J., &amp; Lewis, P. a. (2014b). Targeted Memory Reactivation During Slow Wave Sleep Facilitates Emotional Memory Consolidation. </w:t>
      </w:r>
      <w:r w:rsidRPr="00C421E4">
        <w:rPr>
          <w:rFonts w:ascii="Times" w:hAnsi="Times"/>
          <w:i/>
          <w:iCs/>
        </w:rPr>
        <w:t>Sleep</w:t>
      </w:r>
      <w:r w:rsidRPr="00C421E4">
        <w:rPr>
          <w:rFonts w:ascii="Times" w:hAnsi="Times"/>
        </w:rPr>
        <w:t xml:space="preserve">, </w:t>
      </w:r>
      <w:r w:rsidRPr="00C421E4">
        <w:rPr>
          <w:rFonts w:ascii="Times" w:hAnsi="Times"/>
          <w:i/>
          <w:iCs/>
        </w:rPr>
        <w:t>37</w:t>
      </w:r>
      <w:r w:rsidRPr="00C421E4">
        <w:rPr>
          <w:rFonts w:ascii="Times" w:hAnsi="Times"/>
        </w:rPr>
        <w:t>(4), 701–7. https://doi.org/10.5665/sleep.3572</w:t>
      </w:r>
    </w:p>
    <w:p w14:paraId="0E2EED74" w14:textId="77777777" w:rsidR="00F7044C" w:rsidRPr="0073157C" w:rsidRDefault="00F7044C" w:rsidP="00F7044C"/>
    <w:p w14:paraId="39583AC1" w14:textId="77777777" w:rsidR="00F7044C" w:rsidRDefault="00F7044C" w:rsidP="00F7044C">
      <w:pPr>
        <w:pStyle w:val="Bibliography"/>
        <w:rPr>
          <w:rFonts w:ascii="Times" w:hAnsi="Times"/>
        </w:rPr>
      </w:pPr>
      <w:r w:rsidRPr="00C421E4">
        <w:rPr>
          <w:rFonts w:ascii="Times" w:hAnsi="Times"/>
        </w:rPr>
        <w:t xml:space="preserve">Canli, T., Cooney, R. E., Goldin, P. R., Shah, M. P., Sivers, H., Thomason, M. E., … Gotlib, I. H. (2005). Amygdala reactivity to emotional faces predicts improvement in major depression. </w:t>
      </w:r>
      <w:r w:rsidRPr="00C421E4">
        <w:rPr>
          <w:rFonts w:ascii="Times" w:hAnsi="Times"/>
          <w:i/>
          <w:iCs/>
        </w:rPr>
        <w:t>Neuroreport</w:t>
      </w:r>
      <w:r w:rsidRPr="00C421E4">
        <w:rPr>
          <w:rFonts w:ascii="Times" w:hAnsi="Times"/>
        </w:rPr>
        <w:t xml:space="preserve">, </w:t>
      </w:r>
      <w:r w:rsidRPr="00C421E4">
        <w:rPr>
          <w:rFonts w:ascii="Times" w:hAnsi="Times"/>
          <w:i/>
          <w:iCs/>
        </w:rPr>
        <w:t>16</w:t>
      </w:r>
      <w:r w:rsidRPr="00C421E4">
        <w:rPr>
          <w:rFonts w:ascii="Times" w:hAnsi="Times"/>
        </w:rPr>
        <w:t>(12), 1267–70. https://doi.org/10.1097/01.wnr.0000174407.09515.cc</w:t>
      </w:r>
    </w:p>
    <w:p w14:paraId="08D2E020" w14:textId="77777777" w:rsidR="00F7044C" w:rsidRPr="0073157C" w:rsidRDefault="00F7044C" w:rsidP="00F7044C"/>
    <w:p w14:paraId="1CECCF38" w14:textId="77777777" w:rsidR="00F7044C" w:rsidRDefault="00F7044C" w:rsidP="00F7044C">
      <w:pPr>
        <w:pStyle w:val="Bibliography"/>
        <w:rPr>
          <w:rFonts w:ascii="Times" w:hAnsi="Times"/>
        </w:rPr>
      </w:pPr>
      <w:r w:rsidRPr="00C421E4">
        <w:rPr>
          <w:rFonts w:ascii="Times" w:hAnsi="Times"/>
        </w:rPr>
        <w:t>Centers for Disease control and Prevention. What are the signs and symptoms of concussion? (n.d.).</w:t>
      </w:r>
    </w:p>
    <w:p w14:paraId="43D65589" w14:textId="77777777" w:rsidR="00F7044C" w:rsidRPr="0073157C" w:rsidRDefault="00F7044C" w:rsidP="00F7044C"/>
    <w:p w14:paraId="109C3978" w14:textId="77777777" w:rsidR="00F7044C" w:rsidRDefault="00F7044C" w:rsidP="00F7044C">
      <w:pPr>
        <w:pStyle w:val="Bibliography"/>
        <w:rPr>
          <w:rFonts w:ascii="Times" w:hAnsi="Times"/>
        </w:rPr>
      </w:pPr>
      <w:r w:rsidRPr="00C421E4">
        <w:rPr>
          <w:rFonts w:ascii="Times" w:hAnsi="Times"/>
        </w:rPr>
        <w:t xml:space="preserve">Cernak, I., Merkle, A. C., Koliatsos, V. E., Bilik, J. M., Luong, Q., Mahota, T. M., … Ahmed, F. A. (2011). The pathobiology of blast injuries and blast-induced neurotrauma as identified using a new experimental model of injury in mice. </w:t>
      </w:r>
      <w:r w:rsidRPr="00C421E4">
        <w:rPr>
          <w:rFonts w:ascii="Times" w:hAnsi="Times"/>
          <w:i/>
          <w:iCs/>
        </w:rPr>
        <w:t>Neurobiology of Disease</w:t>
      </w:r>
      <w:r w:rsidRPr="00C421E4">
        <w:rPr>
          <w:rFonts w:ascii="Times" w:hAnsi="Times"/>
        </w:rPr>
        <w:t xml:space="preserve">, </w:t>
      </w:r>
      <w:r w:rsidRPr="00C421E4">
        <w:rPr>
          <w:rFonts w:ascii="Times" w:hAnsi="Times"/>
          <w:i/>
          <w:iCs/>
        </w:rPr>
        <w:t>41</w:t>
      </w:r>
      <w:r w:rsidRPr="00C421E4">
        <w:rPr>
          <w:rFonts w:ascii="Times" w:hAnsi="Times"/>
        </w:rPr>
        <w:t>, 538–551.</w:t>
      </w:r>
    </w:p>
    <w:p w14:paraId="54557C1F" w14:textId="77777777" w:rsidR="00F7044C" w:rsidRPr="0073157C" w:rsidRDefault="00F7044C" w:rsidP="00F7044C"/>
    <w:p w14:paraId="6E878EB2" w14:textId="77777777" w:rsidR="00F7044C" w:rsidRDefault="00F7044C" w:rsidP="00F7044C">
      <w:pPr>
        <w:pStyle w:val="Bibliography"/>
        <w:rPr>
          <w:rFonts w:ascii="Times" w:hAnsi="Times"/>
        </w:rPr>
      </w:pPr>
      <w:r w:rsidRPr="00C421E4">
        <w:rPr>
          <w:rFonts w:ascii="Times" w:hAnsi="Times"/>
        </w:rPr>
        <w:t xml:space="preserve">Chi, Y.-C., Wu, H.-L., Chu, C.-P., Huang, M.-C., Lee, P.-C., &amp; Chen, Y.-Y. (2016). Traumatic brain injury and affective disorder: A nationwide cohort study in Taiwan, 2000–2010. </w:t>
      </w:r>
      <w:r w:rsidRPr="00C421E4">
        <w:rPr>
          <w:rFonts w:ascii="Times" w:hAnsi="Times"/>
          <w:i/>
          <w:iCs/>
        </w:rPr>
        <w:t>Journal of Affective Disorders</w:t>
      </w:r>
      <w:r w:rsidRPr="00C421E4">
        <w:rPr>
          <w:rFonts w:ascii="Times" w:hAnsi="Times"/>
        </w:rPr>
        <w:t xml:space="preserve">, </w:t>
      </w:r>
      <w:r w:rsidRPr="00C421E4">
        <w:rPr>
          <w:rFonts w:ascii="Times" w:hAnsi="Times"/>
          <w:i/>
          <w:iCs/>
        </w:rPr>
        <w:t>191</w:t>
      </w:r>
      <w:r w:rsidRPr="00C421E4">
        <w:rPr>
          <w:rFonts w:ascii="Times" w:hAnsi="Times"/>
        </w:rPr>
        <w:t>, 56–61. https://doi.org/10.1016/j.jad.2015.11.035</w:t>
      </w:r>
    </w:p>
    <w:p w14:paraId="617A2FE8" w14:textId="77777777" w:rsidR="00F7044C" w:rsidRPr="0073157C" w:rsidRDefault="00F7044C" w:rsidP="00F7044C"/>
    <w:p w14:paraId="278CD131" w14:textId="77777777" w:rsidR="00F7044C" w:rsidRDefault="00F7044C" w:rsidP="00F7044C">
      <w:pPr>
        <w:pStyle w:val="Bibliography"/>
        <w:rPr>
          <w:rFonts w:ascii="Times" w:hAnsi="Times"/>
        </w:rPr>
      </w:pPr>
      <w:r w:rsidRPr="00C421E4">
        <w:rPr>
          <w:rFonts w:ascii="Times" w:hAnsi="Times"/>
        </w:rPr>
        <w:t xml:space="preserve">Choe, M. C., Babikian, T., DiFiori, J., Hovda, D. A., &amp; Giza, C. C. (2012). A pediatric perspective on concussion pathophysiology. </w:t>
      </w:r>
      <w:r w:rsidRPr="00C421E4">
        <w:rPr>
          <w:rFonts w:ascii="Times" w:hAnsi="Times"/>
          <w:i/>
          <w:iCs/>
        </w:rPr>
        <w:t>Current Opinion in Pediatrics</w:t>
      </w:r>
      <w:r w:rsidRPr="00C421E4">
        <w:rPr>
          <w:rFonts w:ascii="Times" w:hAnsi="Times"/>
        </w:rPr>
        <w:t xml:space="preserve">, </w:t>
      </w:r>
      <w:r w:rsidRPr="00C421E4">
        <w:rPr>
          <w:rFonts w:ascii="Times" w:hAnsi="Times"/>
          <w:i/>
          <w:iCs/>
        </w:rPr>
        <w:t>24</w:t>
      </w:r>
      <w:r w:rsidRPr="00C421E4">
        <w:rPr>
          <w:rFonts w:ascii="Times" w:hAnsi="Times"/>
        </w:rPr>
        <w:t>(6), 689–695.</w:t>
      </w:r>
    </w:p>
    <w:p w14:paraId="60420C95" w14:textId="77777777" w:rsidR="00F7044C" w:rsidRPr="0073157C" w:rsidRDefault="00F7044C" w:rsidP="00F7044C"/>
    <w:p w14:paraId="60E98A6A" w14:textId="77777777" w:rsidR="00F7044C" w:rsidRDefault="00F7044C" w:rsidP="00F7044C">
      <w:pPr>
        <w:pStyle w:val="Bibliography"/>
        <w:rPr>
          <w:rFonts w:ascii="Times" w:hAnsi="Times"/>
        </w:rPr>
      </w:pPr>
      <w:r w:rsidRPr="00C421E4">
        <w:rPr>
          <w:rFonts w:ascii="Times" w:hAnsi="Times"/>
        </w:rPr>
        <w:t xml:space="preserve">Clark, L. A., &amp; Watson, D. (1991). Tripartite model of anxiety and depression: Psychometric evidence and taxonomic implications. </w:t>
      </w:r>
      <w:r w:rsidRPr="00C421E4">
        <w:rPr>
          <w:rFonts w:ascii="Times" w:hAnsi="Times"/>
          <w:i/>
          <w:iCs/>
        </w:rPr>
        <w:t>Journal of Abnormal Psychology</w:t>
      </w:r>
      <w:r w:rsidRPr="00C421E4">
        <w:rPr>
          <w:rFonts w:ascii="Times" w:hAnsi="Times"/>
        </w:rPr>
        <w:t xml:space="preserve">, </w:t>
      </w:r>
      <w:r w:rsidRPr="00C421E4">
        <w:rPr>
          <w:rFonts w:ascii="Times" w:hAnsi="Times"/>
          <w:i/>
          <w:iCs/>
        </w:rPr>
        <w:t>100</w:t>
      </w:r>
      <w:r w:rsidRPr="00C421E4">
        <w:rPr>
          <w:rFonts w:ascii="Times" w:hAnsi="Times"/>
        </w:rPr>
        <w:t>(3), 316–336. https://doi.org/10.1037/0021-843X.100.3.316</w:t>
      </w:r>
    </w:p>
    <w:p w14:paraId="7A6FFFFD" w14:textId="77777777" w:rsidR="00F7044C" w:rsidRPr="0073157C" w:rsidRDefault="00F7044C" w:rsidP="00F7044C"/>
    <w:p w14:paraId="35BC73F0" w14:textId="77777777" w:rsidR="00F7044C" w:rsidRDefault="00F7044C" w:rsidP="00F7044C">
      <w:pPr>
        <w:pStyle w:val="Bibliography"/>
        <w:rPr>
          <w:rFonts w:ascii="Times" w:hAnsi="Times"/>
        </w:rPr>
      </w:pPr>
      <w:r w:rsidRPr="00C421E4">
        <w:rPr>
          <w:rFonts w:ascii="Times" w:hAnsi="Times"/>
        </w:rPr>
        <w:t xml:space="preserve">Comstock, G. W., &amp; Helsing, K. J. (1976). Symptoms of depression in two communities. </w:t>
      </w:r>
      <w:r w:rsidRPr="00C421E4">
        <w:rPr>
          <w:rFonts w:ascii="Times" w:hAnsi="Times"/>
          <w:i/>
          <w:iCs/>
        </w:rPr>
        <w:t>Psychol Med</w:t>
      </w:r>
      <w:r w:rsidRPr="00C421E4">
        <w:rPr>
          <w:rFonts w:ascii="Times" w:hAnsi="Times"/>
        </w:rPr>
        <w:t xml:space="preserve">, </w:t>
      </w:r>
      <w:r w:rsidRPr="00C421E4">
        <w:rPr>
          <w:rFonts w:ascii="Times" w:hAnsi="Times"/>
          <w:i/>
          <w:iCs/>
        </w:rPr>
        <w:t>6</w:t>
      </w:r>
      <w:r w:rsidRPr="00C421E4">
        <w:rPr>
          <w:rFonts w:ascii="Times" w:hAnsi="Times"/>
        </w:rPr>
        <w:t>(4), 551–63. https://doi.org/10.1017/S0033291700018171</w:t>
      </w:r>
    </w:p>
    <w:p w14:paraId="19B88EBD" w14:textId="77777777" w:rsidR="00F7044C" w:rsidRPr="0073157C" w:rsidRDefault="00F7044C" w:rsidP="00F7044C"/>
    <w:p w14:paraId="5848A640" w14:textId="77777777" w:rsidR="00F7044C" w:rsidRDefault="00F7044C" w:rsidP="00F7044C">
      <w:pPr>
        <w:pStyle w:val="Bibliography"/>
        <w:rPr>
          <w:rFonts w:ascii="Times" w:hAnsi="Times"/>
        </w:rPr>
      </w:pPr>
      <w:r w:rsidRPr="00C421E4">
        <w:rPr>
          <w:rFonts w:ascii="Times" w:hAnsi="Times"/>
        </w:rPr>
        <w:lastRenderedPageBreak/>
        <w:t xml:space="preserve">Corsi-Cabrera, M., Velasco, F., Del Río-Portilla, Y., Armony, J. L., Trejo-Martínez, D., Guevara, M. A., &amp; Velasco, A. L. (2016). Human amygdala activation during rapid eye movements of rapid eye movement sleep: an intracranial study. </w:t>
      </w:r>
      <w:r w:rsidRPr="00C421E4">
        <w:rPr>
          <w:rFonts w:ascii="Times" w:hAnsi="Times"/>
          <w:i/>
          <w:iCs/>
        </w:rPr>
        <w:t>Journal of Sleep Research</w:t>
      </w:r>
      <w:r w:rsidRPr="00C421E4">
        <w:rPr>
          <w:rFonts w:ascii="Times" w:hAnsi="Times"/>
        </w:rPr>
        <w:t>. https://doi.org/10.1111/jsr.12415</w:t>
      </w:r>
    </w:p>
    <w:p w14:paraId="761ECAED" w14:textId="77777777" w:rsidR="00F7044C" w:rsidRPr="0073157C" w:rsidRDefault="00F7044C" w:rsidP="00F7044C"/>
    <w:p w14:paraId="165BD299" w14:textId="77777777" w:rsidR="00F7044C" w:rsidRDefault="00F7044C" w:rsidP="00F7044C">
      <w:pPr>
        <w:pStyle w:val="Bibliography"/>
        <w:rPr>
          <w:rFonts w:ascii="Times" w:hAnsi="Times"/>
        </w:rPr>
      </w:pPr>
      <w:r w:rsidRPr="00C421E4">
        <w:rPr>
          <w:rFonts w:ascii="Times" w:hAnsi="Times"/>
        </w:rPr>
        <w:t xml:space="preserve">Cowdin, N., Kobayashi, I., &amp; Mellman, T. A. (2014). Theta frequency activity during rapid eye movement (REM) sleep is greater in people with resilience versus PTSD. </w:t>
      </w:r>
      <w:r w:rsidRPr="00C421E4">
        <w:rPr>
          <w:rFonts w:ascii="Times" w:hAnsi="Times"/>
          <w:i/>
          <w:iCs/>
        </w:rPr>
        <w:t>Experimental Brain Research</w:t>
      </w:r>
      <w:r w:rsidRPr="00C421E4">
        <w:rPr>
          <w:rFonts w:ascii="Times" w:hAnsi="Times"/>
        </w:rPr>
        <w:t xml:space="preserve">, </w:t>
      </w:r>
      <w:r w:rsidRPr="00C421E4">
        <w:rPr>
          <w:rFonts w:ascii="Times" w:hAnsi="Times"/>
          <w:i/>
          <w:iCs/>
        </w:rPr>
        <w:t>232</w:t>
      </w:r>
      <w:r w:rsidRPr="00C421E4">
        <w:rPr>
          <w:rFonts w:ascii="Times" w:hAnsi="Times"/>
        </w:rPr>
        <w:t>(5), 1479–1485. https://doi.org/10.1007/s00221-014-3857-5</w:t>
      </w:r>
    </w:p>
    <w:p w14:paraId="5BAAEBA8" w14:textId="77777777" w:rsidR="00F7044C" w:rsidRPr="0073157C" w:rsidRDefault="00F7044C" w:rsidP="00F7044C"/>
    <w:p w14:paraId="471F6F16" w14:textId="77777777" w:rsidR="00F7044C" w:rsidRDefault="00F7044C" w:rsidP="00F7044C">
      <w:pPr>
        <w:pStyle w:val="Bibliography"/>
        <w:rPr>
          <w:rFonts w:ascii="Times" w:hAnsi="Times"/>
        </w:rPr>
      </w:pPr>
      <w:r w:rsidRPr="00C421E4">
        <w:rPr>
          <w:rFonts w:ascii="Times" w:hAnsi="Times"/>
        </w:rPr>
        <w:t xml:space="preserve">Critchley, H. D., Rotshtein, P., Nagai, Y., O’doherty, J., Mathias, C. J., &amp; Dolan, R. J. (2005). Activity in the human brain predicting differential heart rate responses to emotional facial expressions. </w:t>
      </w:r>
      <w:r w:rsidRPr="00C421E4">
        <w:rPr>
          <w:rFonts w:ascii="Times" w:hAnsi="Times"/>
          <w:i/>
          <w:iCs/>
        </w:rPr>
        <w:t>Neuroimage</w:t>
      </w:r>
      <w:r w:rsidRPr="00C421E4">
        <w:rPr>
          <w:rFonts w:ascii="Times" w:hAnsi="Times"/>
        </w:rPr>
        <w:t xml:space="preserve">, </w:t>
      </w:r>
      <w:r w:rsidRPr="00C421E4">
        <w:rPr>
          <w:rFonts w:ascii="Times" w:hAnsi="Times"/>
          <w:i/>
          <w:iCs/>
        </w:rPr>
        <w:t>24</w:t>
      </w:r>
      <w:r w:rsidRPr="00C421E4">
        <w:rPr>
          <w:rFonts w:ascii="Times" w:hAnsi="Times"/>
        </w:rPr>
        <w:t>(3), 751–762.</w:t>
      </w:r>
    </w:p>
    <w:p w14:paraId="1BF57DC7" w14:textId="77777777" w:rsidR="00F7044C" w:rsidRPr="0073157C" w:rsidRDefault="00F7044C" w:rsidP="00F7044C"/>
    <w:p w14:paraId="33E70C84" w14:textId="77777777" w:rsidR="00F7044C" w:rsidRDefault="00F7044C" w:rsidP="00F7044C">
      <w:pPr>
        <w:pStyle w:val="Bibliography"/>
        <w:rPr>
          <w:rFonts w:ascii="Times" w:hAnsi="Times"/>
        </w:rPr>
      </w:pPr>
      <w:r w:rsidRPr="00C421E4">
        <w:rPr>
          <w:rFonts w:ascii="Times" w:hAnsi="Times"/>
        </w:rPr>
        <w:t xml:space="preserve">Crone, E. A., Somsen, R. J., Beek, B. V., &amp; Van Der Molen, M. W. (2004). Heart rate and skin conductance analysis of antecendents and consequences of decision making. </w:t>
      </w:r>
      <w:r w:rsidRPr="00C421E4">
        <w:rPr>
          <w:rFonts w:ascii="Times" w:hAnsi="Times"/>
          <w:i/>
          <w:iCs/>
        </w:rPr>
        <w:t>Psychophysiology</w:t>
      </w:r>
      <w:r w:rsidRPr="00C421E4">
        <w:rPr>
          <w:rFonts w:ascii="Times" w:hAnsi="Times"/>
        </w:rPr>
        <w:t xml:space="preserve">, </w:t>
      </w:r>
      <w:r w:rsidRPr="00C421E4">
        <w:rPr>
          <w:rFonts w:ascii="Times" w:hAnsi="Times"/>
          <w:i/>
          <w:iCs/>
        </w:rPr>
        <w:t>41</w:t>
      </w:r>
      <w:r w:rsidRPr="00C421E4">
        <w:rPr>
          <w:rFonts w:ascii="Times" w:hAnsi="Times"/>
        </w:rPr>
        <w:t>(4), 531–540.</w:t>
      </w:r>
    </w:p>
    <w:p w14:paraId="41D7F9E5" w14:textId="77777777" w:rsidR="00F7044C" w:rsidRPr="0073157C" w:rsidRDefault="00F7044C" w:rsidP="00F7044C"/>
    <w:p w14:paraId="159AAD25" w14:textId="77777777" w:rsidR="00F7044C" w:rsidRDefault="00F7044C" w:rsidP="00F7044C">
      <w:pPr>
        <w:pStyle w:val="Bibliography"/>
        <w:rPr>
          <w:rFonts w:ascii="Times" w:hAnsi="Times"/>
        </w:rPr>
      </w:pPr>
      <w:r w:rsidRPr="00C421E4">
        <w:rPr>
          <w:rFonts w:ascii="Times" w:hAnsi="Times"/>
        </w:rPr>
        <w:t xml:space="preserve">Cuijpers, P., Van Straten, A., &amp; Warmerdam, L. (2007). Behavioral activation treatments of depression: A meta-analysis. </w:t>
      </w:r>
      <w:r w:rsidRPr="00C421E4">
        <w:rPr>
          <w:rFonts w:ascii="Times" w:hAnsi="Times"/>
          <w:i/>
          <w:iCs/>
        </w:rPr>
        <w:t>Clinical Psychology Review</w:t>
      </w:r>
      <w:r w:rsidRPr="00C421E4">
        <w:rPr>
          <w:rFonts w:ascii="Times" w:hAnsi="Times"/>
        </w:rPr>
        <w:t xml:space="preserve">, </w:t>
      </w:r>
      <w:r w:rsidRPr="00C421E4">
        <w:rPr>
          <w:rFonts w:ascii="Times" w:hAnsi="Times"/>
          <w:i/>
          <w:iCs/>
        </w:rPr>
        <w:t>27</w:t>
      </w:r>
      <w:r w:rsidRPr="00C421E4">
        <w:rPr>
          <w:rFonts w:ascii="Times" w:hAnsi="Times"/>
        </w:rPr>
        <w:t>(3), 318–326.</w:t>
      </w:r>
    </w:p>
    <w:p w14:paraId="69F12DF2" w14:textId="77777777" w:rsidR="00F7044C" w:rsidRPr="0073157C" w:rsidRDefault="00F7044C" w:rsidP="00F7044C"/>
    <w:p w14:paraId="647C7E05" w14:textId="77777777" w:rsidR="00F7044C" w:rsidRDefault="00F7044C" w:rsidP="00F7044C">
      <w:pPr>
        <w:pStyle w:val="Bibliography"/>
        <w:rPr>
          <w:rFonts w:ascii="Times" w:hAnsi="Times"/>
        </w:rPr>
      </w:pPr>
      <w:r w:rsidRPr="00C421E4">
        <w:rPr>
          <w:rFonts w:ascii="Times" w:hAnsi="Times"/>
        </w:rPr>
        <w:t xml:space="preserve">Cunningham, T. J., Crowell, C. R., Alger, S. E., Kensinger, E. A., Villano, M. A., Mattingly, S. M., &amp; Payne, J. D. (2014). Psychophysiological arousal at encoding leads to reduced reactivity but enhanced emotional memory following sleep. </w:t>
      </w:r>
      <w:r w:rsidRPr="00C421E4">
        <w:rPr>
          <w:rFonts w:ascii="Times" w:hAnsi="Times"/>
          <w:i/>
          <w:iCs/>
        </w:rPr>
        <w:t>Neurobiology of Learning and Memory</w:t>
      </w:r>
      <w:r w:rsidRPr="00C421E4">
        <w:rPr>
          <w:rFonts w:ascii="Times" w:hAnsi="Times"/>
        </w:rPr>
        <w:t xml:space="preserve">, </w:t>
      </w:r>
      <w:r w:rsidRPr="00C421E4">
        <w:rPr>
          <w:rFonts w:ascii="Times" w:hAnsi="Times"/>
          <w:i/>
          <w:iCs/>
        </w:rPr>
        <w:t>114</w:t>
      </w:r>
      <w:r w:rsidRPr="00C421E4">
        <w:rPr>
          <w:rFonts w:ascii="Times" w:hAnsi="Times"/>
        </w:rPr>
        <w:t>, 155–164. https://doi.org/10.1016/j.nlm.2014.06.002</w:t>
      </w:r>
    </w:p>
    <w:p w14:paraId="16FB6F3E" w14:textId="77777777" w:rsidR="00F7044C" w:rsidRPr="0073157C" w:rsidRDefault="00F7044C" w:rsidP="00F7044C"/>
    <w:p w14:paraId="46E766CE" w14:textId="77777777" w:rsidR="00F7044C" w:rsidRDefault="00F7044C" w:rsidP="00F7044C">
      <w:pPr>
        <w:pStyle w:val="Bibliography"/>
        <w:rPr>
          <w:rFonts w:ascii="Times" w:hAnsi="Times"/>
        </w:rPr>
      </w:pPr>
      <w:r w:rsidRPr="00C421E4">
        <w:rPr>
          <w:rFonts w:ascii="Times" w:hAnsi="Times"/>
        </w:rPr>
        <w:t xml:space="preserve">Daan, S., &amp; Beersma, D. G. M. (2002). Circadian frequency and its variability. </w:t>
      </w:r>
      <w:r w:rsidRPr="00C421E4">
        <w:rPr>
          <w:rFonts w:ascii="Times" w:hAnsi="Times"/>
          <w:i/>
          <w:iCs/>
        </w:rPr>
        <w:t>Biological Rhythms</w:t>
      </w:r>
      <w:r w:rsidRPr="00C421E4">
        <w:rPr>
          <w:rFonts w:ascii="Times" w:hAnsi="Times"/>
        </w:rPr>
        <w:t xml:space="preserve">, </w:t>
      </w:r>
      <w:r w:rsidRPr="00C421E4">
        <w:rPr>
          <w:rFonts w:ascii="Times" w:hAnsi="Times"/>
          <w:i/>
          <w:iCs/>
        </w:rPr>
        <w:t>3</w:t>
      </w:r>
      <w:r w:rsidRPr="00C421E4">
        <w:rPr>
          <w:rFonts w:ascii="Times" w:hAnsi="Times"/>
        </w:rPr>
        <w:t>.</w:t>
      </w:r>
    </w:p>
    <w:p w14:paraId="365FB90A" w14:textId="77777777" w:rsidR="00F7044C" w:rsidRPr="0073157C" w:rsidRDefault="00F7044C" w:rsidP="00F7044C"/>
    <w:p w14:paraId="114A840F" w14:textId="77777777" w:rsidR="00F7044C" w:rsidRDefault="00F7044C" w:rsidP="00F7044C">
      <w:pPr>
        <w:pStyle w:val="Bibliography"/>
        <w:rPr>
          <w:rFonts w:ascii="Times" w:hAnsi="Times"/>
        </w:rPr>
      </w:pPr>
      <w:r w:rsidRPr="00C421E4">
        <w:rPr>
          <w:rFonts w:ascii="Times" w:hAnsi="Times"/>
        </w:rPr>
        <w:t xml:space="preserve">Davis, J. J., Walter, K. H., Chard, K. M., Parkinson, R. B., &amp; Houston, W. S. (2013). Treatment adherence in cognitive processing therapy for combat-related PTSD with history of mild TBI. </w:t>
      </w:r>
      <w:r w:rsidRPr="00C421E4">
        <w:rPr>
          <w:rFonts w:ascii="Times" w:hAnsi="Times"/>
          <w:i/>
          <w:iCs/>
        </w:rPr>
        <w:t>Rehabilitation Psychology</w:t>
      </w:r>
      <w:r w:rsidRPr="00C421E4">
        <w:rPr>
          <w:rFonts w:ascii="Times" w:hAnsi="Times"/>
        </w:rPr>
        <w:t xml:space="preserve">, </w:t>
      </w:r>
      <w:r w:rsidRPr="00C421E4">
        <w:rPr>
          <w:rFonts w:ascii="Times" w:hAnsi="Times"/>
          <w:i/>
          <w:iCs/>
        </w:rPr>
        <w:t>58</w:t>
      </w:r>
      <w:r w:rsidRPr="00C421E4">
        <w:rPr>
          <w:rFonts w:ascii="Times" w:hAnsi="Times"/>
        </w:rPr>
        <w:t>(1), 36.</w:t>
      </w:r>
    </w:p>
    <w:p w14:paraId="72B8FB9A" w14:textId="77777777" w:rsidR="00F7044C" w:rsidRPr="0073157C" w:rsidRDefault="00F7044C" w:rsidP="00F7044C"/>
    <w:p w14:paraId="3D994013" w14:textId="77777777" w:rsidR="00F7044C" w:rsidRDefault="00F7044C" w:rsidP="00F7044C">
      <w:pPr>
        <w:pStyle w:val="Bibliography"/>
        <w:rPr>
          <w:rFonts w:ascii="Times" w:hAnsi="Times"/>
        </w:rPr>
      </w:pPr>
      <w:r w:rsidRPr="00C421E4">
        <w:rPr>
          <w:rFonts w:ascii="Times" w:hAnsi="Times"/>
        </w:rPr>
        <w:t xml:space="preserve">Dawson, M. E., Schell, A. M., &amp; Courtney, C. G. (2011). The skin conductance response, anticipation, and decision-making. </w:t>
      </w:r>
      <w:r w:rsidRPr="00C421E4">
        <w:rPr>
          <w:rFonts w:ascii="Times" w:hAnsi="Times"/>
          <w:i/>
          <w:iCs/>
        </w:rPr>
        <w:t>Journal of Neuroscience, Psychology, and Economics</w:t>
      </w:r>
      <w:r w:rsidRPr="00C421E4">
        <w:rPr>
          <w:rFonts w:ascii="Times" w:hAnsi="Times"/>
        </w:rPr>
        <w:t xml:space="preserve">, </w:t>
      </w:r>
      <w:r w:rsidRPr="00C421E4">
        <w:rPr>
          <w:rFonts w:ascii="Times" w:hAnsi="Times"/>
          <w:i/>
          <w:iCs/>
        </w:rPr>
        <w:t>4</w:t>
      </w:r>
      <w:r w:rsidRPr="00C421E4">
        <w:rPr>
          <w:rFonts w:ascii="Times" w:hAnsi="Times"/>
        </w:rPr>
        <w:t>(2), 111.</w:t>
      </w:r>
    </w:p>
    <w:p w14:paraId="3B3BFFEE" w14:textId="77777777" w:rsidR="00F7044C" w:rsidRPr="0073157C" w:rsidRDefault="00F7044C" w:rsidP="00F7044C"/>
    <w:p w14:paraId="07D61DF0" w14:textId="77777777" w:rsidR="00F7044C" w:rsidRDefault="00F7044C" w:rsidP="00F7044C">
      <w:pPr>
        <w:pStyle w:val="Bibliography"/>
        <w:rPr>
          <w:rFonts w:ascii="Times" w:hAnsi="Times"/>
        </w:rPr>
      </w:pPr>
      <w:r w:rsidRPr="00C421E4">
        <w:rPr>
          <w:rFonts w:ascii="Times" w:hAnsi="Times"/>
        </w:rPr>
        <w:t xml:space="preserve">Dawson, M., Schell, A., &amp; Filion, D. (2000). The Electrodermal System. In </w:t>
      </w:r>
      <w:r w:rsidRPr="00C421E4">
        <w:rPr>
          <w:rFonts w:ascii="Times" w:hAnsi="Times"/>
          <w:i/>
          <w:iCs/>
        </w:rPr>
        <w:t>Handbook of Psychophysiology</w:t>
      </w:r>
      <w:r w:rsidRPr="00C421E4">
        <w:rPr>
          <w:rFonts w:ascii="Times" w:hAnsi="Times"/>
        </w:rPr>
        <w:t xml:space="preserve"> (pp. 200–223).</w:t>
      </w:r>
    </w:p>
    <w:p w14:paraId="3C4736D0" w14:textId="77777777" w:rsidR="00F7044C" w:rsidRPr="0073157C" w:rsidRDefault="00F7044C" w:rsidP="00F7044C"/>
    <w:p w14:paraId="130E8D00" w14:textId="77777777" w:rsidR="00F7044C" w:rsidRPr="00C421E4" w:rsidRDefault="00F7044C" w:rsidP="00F7044C">
      <w:pPr>
        <w:pStyle w:val="Bibliography"/>
        <w:rPr>
          <w:rFonts w:ascii="Times" w:hAnsi="Times"/>
        </w:rPr>
      </w:pPr>
      <w:r w:rsidRPr="00C421E4">
        <w:rPr>
          <w:rFonts w:ascii="Times" w:hAnsi="Times"/>
        </w:rPr>
        <w:t xml:space="preserve">de Sousa, A., McDonald, S., Rushby, J., Li, S., Dimoska, A., &amp; James, C. (2010). Why don’t you feel how I feel? Insight into the absence of empathy after severe Traumatic Brain Injury. </w:t>
      </w:r>
      <w:r w:rsidRPr="00C421E4">
        <w:rPr>
          <w:rFonts w:ascii="Times" w:hAnsi="Times"/>
          <w:i/>
          <w:iCs/>
        </w:rPr>
        <w:t>Neuropsychologia</w:t>
      </w:r>
      <w:r w:rsidRPr="00C421E4">
        <w:rPr>
          <w:rFonts w:ascii="Times" w:hAnsi="Times"/>
        </w:rPr>
        <w:t xml:space="preserve">, </w:t>
      </w:r>
      <w:r w:rsidRPr="00C421E4">
        <w:rPr>
          <w:rFonts w:ascii="Times" w:hAnsi="Times"/>
          <w:i/>
          <w:iCs/>
        </w:rPr>
        <w:t>48</w:t>
      </w:r>
      <w:r w:rsidRPr="00C421E4">
        <w:rPr>
          <w:rFonts w:ascii="Times" w:hAnsi="Times"/>
        </w:rPr>
        <w:t>(12), 3585–3595. https://doi.org/10.1016/j.neuropsychologia.2010.08.008</w:t>
      </w:r>
    </w:p>
    <w:p w14:paraId="3043FEC2" w14:textId="77777777" w:rsidR="00F7044C" w:rsidRDefault="00F7044C" w:rsidP="00F7044C">
      <w:pPr>
        <w:pStyle w:val="Bibliography"/>
        <w:rPr>
          <w:rFonts w:ascii="Times" w:hAnsi="Times"/>
        </w:rPr>
      </w:pPr>
      <w:r w:rsidRPr="00C421E4">
        <w:rPr>
          <w:rFonts w:ascii="Times" w:hAnsi="Times"/>
        </w:rPr>
        <w:lastRenderedPageBreak/>
        <w:t xml:space="preserve">de Sousa, A., McDonald, S., Rushby, J., Li, S., Dimoska, A., &amp; James, C. (2011). Understanding deficits in empathy after traumatic brain injury: The role of affective responsivity. </w:t>
      </w:r>
      <w:r w:rsidRPr="00C421E4">
        <w:rPr>
          <w:rFonts w:ascii="Times" w:hAnsi="Times"/>
          <w:i/>
          <w:iCs/>
        </w:rPr>
        <w:t>Cortex</w:t>
      </w:r>
      <w:r w:rsidRPr="00C421E4">
        <w:rPr>
          <w:rFonts w:ascii="Times" w:hAnsi="Times"/>
        </w:rPr>
        <w:t xml:space="preserve">, </w:t>
      </w:r>
      <w:r w:rsidRPr="00C421E4">
        <w:rPr>
          <w:rFonts w:ascii="Times" w:hAnsi="Times"/>
          <w:i/>
          <w:iCs/>
        </w:rPr>
        <w:t>47</w:t>
      </w:r>
      <w:r w:rsidRPr="00C421E4">
        <w:rPr>
          <w:rFonts w:ascii="Times" w:hAnsi="Times"/>
        </w:rPr>
        <w:t>(5), 526–535. https://doi.org/10.1016/j.cortex.2010.02.004</w:t>
      </w:r>
    </w:p>
    <w:p w14:paraId="3B913670" w14:textId="77777777" w:rsidR="00F7044C" w:rsidRPr="0073157C" w:rsidRDefault="00F7044C" w:rsidP="00F7044C"/>
    <w:p w14:paraId="4CE237FC" w14:textId="77777777" w:rsidR="00F7044C" w:rsidRDefault="00F7044C" w:rsidP="00F7044C">
      <w:pPr>
        <w:pStyle w:val="Bibliography"/>
        <w:rPr>
          <w:rFonts w:ascii="Times" w:hAnsi="Times"/>
        </w:rPr>
      </w:pPr>
      <w:r w:rsidRPr="00C421E4">
        <w:rPr>
          <w:rFonts w:ascii="Times" w:hAnsi="Times"/>
        </w:rPr>
        <w:t xml:space="preserve">Dean, P. J. a., &amp; Sterr, A. (2013). Long-term effects of mild traumatic brain injury on cognitive performance. </w:t>
      </w:r>
      <w:r w:rsidRPr="00C421E4">
        <w:rPr>
          <w:rFonts w:ascii="Times" w:hAnsi="Times"/>
          <w:i/>
          <w:iCs/>
        </w:rPr>
        <w:t>Frontiers in Human Neuroscience</w:t>
      </w:r>
      <w:r w:rsidRPr="00C421E4">
        <w:rPr>
          <w:rFonts w:ascii="Times" w:hAnsi="Times"/>
        </w:rPr>
        <w:t xml:space="preserve">, </w:t>
      </w:r>
      <w:r w:rsidRPr="00C421E4">
        <w:rPr>
          <w:rFonts w:ascii="Times" w:hAnsi="Times"/>
          <w:i/>
          <w:iCs/>
        </w:rPr>
        <w:t>7</w:t>
      </w:r>
      <w:r w:rsidRPr="00C421E4">
        <w:rPr>
          <w:rFonts w:ascii="Times" w:hAnsi="Times"/>
        </w:rPr>
        <w:t>.</w:t>
      </w:r>
    </w:p>
    <w:p w14:paraId="1D8A9B76" w14:textId="77777777" w:rsidR="00F7044C" w:rsidRPr="0073157C" w:rsidRDefault="00F7044C" w:rsidP="00F7044C"/>
    <w:p w14:paraId="697ABA55" w14:textId="77777777" w:rsidR="00F7044C" w:rsidRDefault="00F7044C" w:rsidP="00F7044C">
      <w:pPr>
        <w:pStyle w:val="Bibliography"/>
        <w:rPr>
          <w:rFonts w:ascii="Times" w:hAnsi="Times"/>
        </w:rPr>
      </w:pPr>
      <w:r w:rsidRPr="00C421E4">
        <w:rPr>
          <w:rFonts w:ascii="Times" w:hAnsi="Times"/>
        </w:rPr>
        <w:t xml:space="preserve">Delis, D., Kaplan, E., &amp; Kramer, J. (2001). Delis-Kaplan executive function system (D-KEFS). </w:t>
      </w:r>
      <w:r w:rsidRPr="00C421E4">
        <w:rPr>
          <w:rFonts w:ascii="Times" w:hAnsi="Times"/>
          <w:i/>
          <w:iCs/>
        </w:rPr>
        <w:t>Canadian Journal of School Psychology</w:t>
      </w:r>
      <w:r w:rsidRPr="00C421E4">
        <w:rPr>
          <w:rFonts w:ascii="Times" w:hAnsi="Times"/>
        </w:rPr>
        <w:t xml:space="preserve">, </w:t>
      </w:r>
      <w:r w:rsidRPr="00C421E4">
        <w:rPr>
          <w:rFonts w:ascii="Times" w:hAnsi="Times"/>
          <w:i/>
          <w:iCs/>
        </w:rPr>
        <w:t>20</w:t>
      </w:r>
      <w:r w:rsidRPr="00C421E4">
        <w:rPr>
          <w:rFonts w:ascii="Times" w:hAnsi="Times"/>
        </w:rPr>
        <w:t>(1–2), 117–128. https://doi.org/10.1177/0829573506295469</w:t>
      </w:r>
    </w:p>
    <w:p w14:paraId="244B3F20" w14:textId="77777777" w:rsidR="00F7044C" w:rsidRPr="0073157C" w:rsidRDefault="00F7044C" w:rsidP="00F7044C"/>
    <w:p w14:paraId="75C165D8" w14:textId="77777777" w:rsidR="00F7044C" w:rsidRDefault="00F7044C" w:rsidP="00F7044C">
      <w:pPr>
        <w:pStyle w:val="Bibliography"/>
        <w:rPr>
          <w:rFonts w:ascii="Times" w:hAnsi="Times"/>
        </w:rPr>
      </w:pPr>
      <w:r w:rsidRPr="00C421E4">
        <w:rPr>
          <w:rFonts w:ascii="Times" w:hAnsi="Times"/>
        </w:rPr>
        <w:t xml:space="preserve">den Hollander-Gijsman, M. E., de Beurs, E., van der Wee, N. J. A., van Rood, Y. R., &amp; Zitman, F. G. (2010). Distinguishing between depression and anxiety: A proposal for an extension of the tripartite model. </w:t>
      </w:r>
      <w:r w:rsidRPr="00C421E4">
        <w:rPr>
          <w:rFonts w:ascii="Times" w:hAnsi="Times"/>
          <w:i/>
          <w:iCs/>
        </w:rPr>
        <w:t>European Psychiatry</w:t>
      </w:r>
      <w:r w:rsidRPr="00C421E4">
        <w:rPr>
          <w:rFonts w:ascii="Times" w:hAnsi="Times"/>
        </w:rPr>
        <w:t xml:space="preserve">, </w:t>
      </w:r>
      <w:r w:rsidRPr="00C421E4">
        <w:rPr>
          <w:rFonts w:ascii="Times" w:hAnsi="Times"/>
          <w:i/>
          <w:iCs/>
        </w:rPr>
        <w:t>25</w:t>
      </w:r>
      <w:r w:rsidRPr="00C421E4">
        <w:rPr>
          <w:rFonts w:ascii="Times" w:hAnsi="Times"/>
        </w:rPr>
        <w:t>(4), 197–205. https://doi.org/10.1016/j.eurpsy.2009.09.005</w:t>
      </w:r>
    </w:p>
    <w:p w14:paraId="176D0AA7" w14:textId="77777777" w:rsidR="00F7044C" w:rsidRPr="0073157C" w:rsidRDefault="00F7044C" w:rsidP="00F7044C"/>
    <w:p w14:paraId="4D3E73D2" w14:textId="77777777" w:rsidR="00F7044C" w:rsidRDefault="00F7044C" w:rsidP="00F7044C">
      <w:pPr>
        <w:pStyle w:val="Bibliography"/>
        <w:rPr>
          <w:rFonts w:ascii="Times" w:hAnsi="Times"/>
        </w:rPr>
      </w:pPr>
      <w:r w:rsidRPr="00C421E4">
        <w:rPr>
          <w:rFonts w:ascii="Times" w:hAnsi="Times"/>
        </w:rPr>
        <w:t xml:space="preserve">Diekelmann, S., &amp; Born, J. (2010). The Memory Function of Sleep. </w:t>
      </w:r>
      <w:r w:rsidRPr="00C421E4">
        <w:rPr>
          <w:rFonts w:ascii="Times" w:hAnsi="Times"/>
          <w:i/>
          <w:iCs/>
        </w:rPr>
        <w:t>Nature Reviews. Neuroscience</w:t>
      </w:r>
      <w:r w:rsidRPr="00C421E4">
        <w:rPr>
          <w:rFonts w:ascii="Times" w:hAnsi="Times"/>
        </w:rPr>
        <w:t xml:space="preserve">, </w:t>
      </w:r>
      <w:r w:rsidRPr="00C421E4">
        <w:rPr>
          <w:rFonts w:ascii="Times" w:hAnsi="Times"/>
          <w:i/>
          <w:iCs/>
        </w:rPr>
        <w:t>11</w:t>
      </w:r>
      <w:r w:rsidRPr="00C421E4">
        <w:rPr>
          <w:rFonts w:ascii="Times" w:hAnsi="Times"/>
        </w:rPr>
        <w:t>(2), 114–126. https://doi.org/10.1038/nrn2762</w:t>
      </w:r>
    </w:p>
    <w:p w14:paraId="6FEE203E" w14:textId="77777777" w:rsidR="00F7044C" w:rsidRPr="0073157C" w:rsidRDefault="00F7044C" w:rsidP="00F7044C"/>
    <w:p w14:paraId="1D57EC60" w14:textId="77777777" w:rsidR="00F7044C" w:rsidRDefault="00F7044C" w:rsidP="00F7044C">
      <w:pPr>
        <w:pStyle w:val="Bibliography"/>
        <w:rPr>
          <w:rFonts w:ascii="Times" w:hAnsi="Times"/>
        </w:rPr>
      </w:pPr>
      <w:r w:rsidRPr="00C421E4">
        <w:rPr>
          <w:rFonts w:ascii="Times" w:hAnsi="Times"/>
        </w:rPr>
        <w:t xml:space="preserve">Dikmen, S. S., Bombardier, C. H., MacHamer, J. E., Fann, J. R., &amp; Temkin, N. R. (2004). Natural history of depression in traumatic brain injury. </w:t>
      </w:r>
      <w:r w:rsidRPr="00C421E4">
        <w:rPr>
          <w:rFonts w:ascii="Times" w:hAnsi="Times"/>
          <w:i/>
          <w:iCs/>
        </w:rPr>
        <w:t>Archives of Physical Medicine and Rehabilitation</w:t>
      </w:r>
      <w:r w:rsidRPr="00C421E4">
        <w:rPr>
          <w:rFonts w:ascii="Times" w:hAnsi="Times"/>
        </w:rPr>
        <w:t xml:space="preserve">, </w:t>
      </w:r>
      <w:r w:rsidRPr="00C421E4">
        <w:rPr>
          <w:rFonts w:ascii="Times" w:hAnsi="Times"/>
          <w:i/>
          <w:iCs/>
        </w:rPr>
        <w:t>85</w:t>
      </w:r>
      <w:r w:rsidRPr="00C421E4">
        <w:rPr>
          <w:rFonts w:ascii="Times" w:hAnsi="Times"/>
        </w:rPr>
        <w:t>(9), 1457–1464. https://doi.org/10.1016/j.apmr.2003.12.041</w:t>
      </w:r>
    </w:p>
    <w:p w14:paraId="5113F079" w14:textId="77777777" w:rsidR="00F7044C" w:rsidRPr="0073157C" w:rsidRDefault="00F7044C" w:rsidP="00F7044C"/>
    <w:p w14:paraId="04FD2462" w14:textId="77777777" w:rsidR="00F7044C" w:rsidRDefault="00F7044C" w:rsidP="00F7044C">
      <w:pPr>
        <w:pStyle w:val="Bibliography"/>
        <w:rPr>
          <w:rFonts w:ascii="Times" w:hAnsi="Times"/>
        </w:rPr>
      </w:pPr>
      <w:r w:rsidRPr="00C421E4">
        <w:rPr>
          <w:rFonts w:ascii="Times" w:hAnsi="Times"/>
        </w:rPr>
        <w:t xml:space="preserve">Drapeau, J., Gosselin, N., Peretz, I., &amp; McKerral, M. (2017). Emotional recognition from dynamic facial, vocal and musical expressions following traumatic brain injury. </w:t>
      </w:r>
      <w:r w:rsidRPr="00C421E4">
        <w:rPr>
          <w:rFonts w:ascii="Times" w:hAnsi="Times"/>
          <w:i/>
          <w:iCs/>
        </w:rPr>
        <w:t>Brain Injury</w:t>
      </w:r>
      <w:r w:rsidRPr="00C421E4">
        <w:rPr>
          <w:rFonts w:ascii="Times" w:hAnsi="Times"/>
        </w:rPr>
        <w:t xml:space="preserve">, </w:t>
      </w:r>
      <w:r w:rsidRPr="00C421E4">
        <w:rPr>
          <w:rFonts w:ascii="Times" w:hAnsi="Times"/>
          <w:i/>
          <w:iCs/>
        </w:rPr>
        <w:t>31</w:t>
      </w:r>
      <w:r w:rsidRPr="00C421E4">
        <w:rPr>
          <w:rFonts w:ascii="Times" w:hAnsi="Times"/>
        </w:rPr>
        <w:t>(2), 221–229.</w:t>
      </w:r>
    </w:p>
    <w:p w14:paraId="7E696F95" w14:textId="77777777" w:rsidR="00F7044C" w:rsidRPr="0073157C" w:rsidRDefault="00F7044C" w:rsidP="00F7044C"/>
    <w:p w14:paraId="2DEA98DF" w14:textId="77777777" w:rsidR="00F7044C" w:rsidRDefault="00F7044C" w:rsidP="00F7044C">
      <w:pPr>
        <w:pStyle w:val="Bibliography"/>
        <w:rPr>
          <w:rFonts w:ascii="Times" w:hAnsi="Times"/>
        </w:rPr>
      </w:pPr>
      <w:r w:rsidRPr="00C421E4">
        <w:rPr>
          <w:rFonts w:ascii="Times" w:hAnsi="Times"/>
        </w:rPr>
        <w:t xml:space="preserve">Durrant, S. J. (2015). Commentary: Altered sleep composition after traumatic brain injury does not affect declarative sleep-dependent memory consolidation. </w:t>
      </w:r>
      <w:r w:rsidRPr="00C421E4">
        <w:rPr>
          <w:rFonts w:ascii="Times" w:hAnsi="Times"/>
          <w:i/>
          <w:iCs/>
        </w:rPr>
        <w:t>Frontiers in Human Neuroscience</w:t>
      </w:r>
      <w:r w:rsidRPr="00C421E4">
        <w:rPr>
          <w:rFonts w:ascii="Times" w:hAnsi="Times"/>
        </w:rPr>
        <w:t xml:space="preserve">, </w:t>
      </w:r>
      <w:r w:rsidRPr="00C421E4">
        <w:rPr>
          <w:rFonts w:ascii="Times" w:hAnsi="Times"/>
          <w:i/>
          <w:iCs/>
        </w:rPr>
        <w:t>9</w:t>
      </w:r>
      <w:r w:rsidRPr="00C421E4">
        <w:rPr>
          <w:rFonts w:ascii="Times" w:hAnsi="Times"/>
        </w:rPr>
        <w:t>.</w:t>
      </w:r>
    </w:p>
    <w:p w14:paraId="1BF772AA" w14:textId="77777777" w:rsidR="00F7044C" w:rsidRPr="0073157C" w:rsidRDefault="00F7044C" w:rsidP="00F7044C"/>
    <w:p w14:paraId="7EF69A74" w14:textId="77777777" w:rsidR="00F7044C" w:rsidRDefault="00F7044C" w:rsidP="00F7044C">
      <w:pPr>
        <w:pStyle w:val="Bibliography"/>
        <w:rPr>
          <w:rFonts w:ascii="Times" w:hAnsi="Times"/>
        </w:rPr>
      </w:pPr>
      <w:r w:rsidRPr="00C421E4">
        <w:rPr>
          <w:rFonts w:ascii="Times" w:hAnsi="Times"/>
        </w:rPr>
        <w:t xml:space="preserve">Eierud, C., Craddock, R. C., Fletcher, S., Aulakh, M., King-Casas, B., Kuehl, D., &amp; LaConte, S. M. (2014). Neuroimaging after mild traumatic brain injury: review and meta-analysis. </w:t>
      </w:r>
      <w:r w:rsidRPr="00C421E4">
        <w:rPr>
          <w:rFonts w:ascii="Times" w:hAnsi="Times"/>
          <w:i/>
          <w:iCs/>
        </w:rPr>
        <w:t>NeuroImage: Clinical</w:t>
      </w:r>
      <w:r w:rsidRPr="00C421E4">
        <w:rPr>
          <w:rFonts w:ascii="Times" w:hAnsi="Times"/>
        </w:rPr>
        <w:t xml:space="preserve">, </w:t>
      </w:r>
      <w:r w:rsidRPr="00C421E4">
        <w:rPr>
          <w:rFonts w:ascii="Times" w:hAnsi="Times"/>
          <w:i/>
          <w:iCs/>
        </w:rPr>
        <w:t>4</w:t>
      </w:r>
      <w:r w:rsidRPr="00C421E4">
        <w:rPr>
          <w:rFonts w:ascii="Times" w:hAnsi="Times"/>
        </w:rPr>
        <w:t>, 283–294.</w:t>
      </w:r>
    </w:p>
    <w:p w14:paraId="559044E8" w14:textId="77777777" w:rsidR="00F7044C" w:rsidRPr="0073157C" w:rsidRDefault="00F7044C" w:rsidP="00F7044C"/>
    <w:p w14:paraId="1AB0605C" w14:textId="77777777" w:rsidR="00F7044C" w:rsidRDefault="00F7044C" w:rsidP="00F7044C">
      <w:pPr>
        <w:pStyle w:val="Bibliography"/>
        <w:rPr>
          <w:rFonts w:ascii="Times" w:hAnsi="Times"/>
        </w:rPr>
      </w:pPr>
      <w:r w:rsidRPr="00C421E4">
        <w:rPr>
          <w:rFonts w:ascii="Times" w:hAnsi="Times"/>
        </w:rPr>
        <w:t xml:space="preserve">Ellis, S. M., &amp; Steyn, H. S. (2003). Practical significance (effect sizes) versus or in combination with statistical significance (p-values): Research note. </w:t>
      </w:r>
      <w:r w:rsidRPr="00C421E4">
        <w:rPr>
          <w:rFonts w:ascii="Times" w:hAnsi="Times"/>
          <w:i/>
          <w:iCs/>
        </w:rPr>
        <w:t>Management Dynamics: Journal of the Southern African Institute for Management Scientists</w:t>
      </w:r>
      <w:r w:rsidRPr="00C421E4">
        <w:rPr>
          <w:rFonts w:ascii="Times" w:hAnsi="Times"/>
        </w:rPr>
        <w:t xml:space="preserve">, </w:t>
      </w:r>
      <w:r w:rsidRPr="00C421E4">
        <w:rPr>
          <w:rFonts w:ascii="Times" w:hAnsi="Times"/>
          <w:i/>
          <w:iCs/>
        </w:rPr>
        <w:t>12</w:t>
      </w:r>
      <w:r w:rsidRPr="00C421E4">
        <w:rPr>
          <w:rFonts w:ascii="Times" w:hAnsi="Times"/>
        </w:rPr>
        <w:t>(4), 51–53.</w:t>
      </w:r>
    </w:p>
    <w:p w14:paraId="7B6D685C" w14:textId="77777777" w:rsidR="00F7044C" w:rsidRPr="0073157C" w:rsidRDefault="00F7044C" w:rsidP="00F7044C"/>
    <w:p w14:paraId="2F498171" w14:textId="77777777" w:rsidR="00F7044C" w:rsidRDefault="00F7044C" w:rsidP="00F7044C">
      <w:pPr>
        <w:pStyle w:val="Bibliography"/>
        <w:rPr>
          <w:rFonts w:ascii="Times" w:hAnsi="Times"/>
        </w:rPr>
      </w:pPr>
      <w:r w:rsidRPr="00C421E4">
        <w:rPr>
          <w:rFonts w:ascii="Times" w:hAnsi="Times"/>
        </w:rPr>
        <w:t xml:space="preserve">Feeser, M., Prehn, K., Kazzer, P., Mungee, A., &amp; Bajbouj, M. (2014). Transcranial direct current stimulation enhances cognitive control during emotion regulation. </w:t>
      </w:r>
      <w:r w:rsidRPr="00C421E4">
        <w:rPr>
          <w:rFonts w:ascii="Times" w:hAnsi="Times"/>
          <w:i/>
          <w:iCs/>
        </w:rPr>
        <w:t>Brain Stimulation</w:t>
      </w:r>
      <w:r w:rsidRPr="00C421E4">
        <w:rPr>
          <w:rFonts w:ascii="Times" w:hAnsi="Times"/>
        </w:rPr>
        <w:t xml:space="preserve">, </w:t>
      </w:r>
      <w:r w:rsidRPr="00C421E4">
        <w:rPr>
          <w:rFonts w:ascii="Times" w:hAnsi="Times"/>
          <w:i/>
          <w:iCs/>
        </w:rPr>
        <w:t>7</w:t>
      </w:r>
      <w:r w:rsidRPr="00C421E4">
        <w:rPr>
          <w:rFonts w:ascii="Times" w:hAnsi="Times"/>
        </w:rPr>
        <w:t>(1), 105–112.</w:t>
      </w:r>
    </w:p>
    <w:p w14:paraId="31F794CF" w14:textId="77777777" w:rsidR="00F7044C" w:rsidRPr="00052A0E" w:rsidRDefault="00F7044C" w:rsidP="00F7044C"/>
    <w:p w14:paraId="02148AFE" w14:textId="77777777" w:rsidR="00F7044C" w:rsidRPr="00C421E4" w:rsidRDefault="00F7044C" w:rsidP="00F7044C">
      <w:pPr>
        <w:pStyle w:val="Bibliography"/>
        <w:rPr>
          <w:rFonts w:ascii="Times" w:hAnsi="Times"/>
        </w:rPr>
      </w:pPr>
      <w:r w:rsidRPr="00C421E4">
        <w:rPr>
          <w:rFonts w:ascii="Times" w:hAnsi="Times"/>
        </w:rPr>
        <w:t xml:space="preserve">Ficca, G., Lombardo, P., Rossi, L., &amp; Salzarulo, P. (2000). Morning recall of verbal material depends on prior sleep organization. </w:t>
      </w:r>
      <w:r w:rsidRPr="00C421E4">
        <w:rPr>
          <w:rFonts w:ascii="Times" w:hAnsi="Times"/>
          <w:i/>
          <w:iCs/>
        </w:rPr>
        <w:t>Behavioural Brain Research</w:t>
      </w:r>
      <w:r w:rsidRPr="00C421E4">
        <w:rPr>
          <w:rFonts w:ascii="Times" w:hAnsi="Times"/>
        </w:rPr>
        <w:t xml:space="preserve">, </w:t>
      </w:r>
      <w:r w:rsidRPr="00C421E4">
        <w:rPr>
          <w:rFonts w:ascii="Times" w:hAnsi="Times"/>
          <w:i/>
          <w:iCs/>
        </w:rPr>
        <w:t>112</w:t>
      </w:r>
      <w:r w:rsidRPr="00C421E4">
        <w:rPr>
          <w:rFonts w:ascii="Times" w:hAnsi="Times"/>
        </w:rPr>
        <w:t>(1–2), 159–163. https://doi.org/10.1016/S0166-4328(00)00177-7</w:t>
      </w:r>
    </w:p>
    <w:p w14:paraId="6924D1D1" w14:textId="77777777" w:rsidR="00F7044C" w:rsidRDefault="00F7044C" w:rsidP="00F7044C">
      <w:pPr>
        <w:pStyle w:val="Bibliography"/>
        <w:rPr>
          <w:rFonts w:ascii="Times" w:hAnsi="Times"/>
        </w:rPr>
      </w:pPr>
      <w:r w:rsidRPr="00C421E4">
        <w:rPr>
          <w:rFonts w:ascii="Times" w:hAnsi="Times"/>
        </w:rPr>
        <w:t xml:space="preserve">Fischer, A. H., Rodriguez Mosquera, P. M., van Vianen, A. E. M., &amp; Manstead, A. S. R. (2004). Gender and culture differences in emotion. </w:t>
      </w:r>
      <w:r w:rsidRPr="00C421E4">
        <w:rPr>
          <w:rFonts w:ascii="Times" w:hAnsi="Times"/>
          <w:i/>
          <w:iCs/>
        </w:rPr>
        <w:t>Emotion</w:t>
      </w:r>
      <w:r w:rsidRPr="00C421E4">
        <w:rPr>
          <w:rFonts w:ascii="Times" w:hAnsi="Times"/>
        </w:rPr>
        <w:t xml:space="preserve">, </w:t>
      </w:r>
      <w:r w:rsidRPr="00C421E4">
        <w:rPr>
          <w:rFonts w:ascii="Times" w:hAnsi="Times"/>
          <w:i/>
          <w:iCs/>
        </w:rPr>
        <w:t>4</w:t>
      </w:r>
      <w:r w:rsidRPr="00C421E4">
        <w:rPr>
          <w:rFonts w:ascii="Times" w:hAnsi="Times"/>
        </w:rPr>
        <w:t>(1), 87–94. https://doi.org/10.1037/1528-3542.4.1.87</w:t>
      </w:r>
    </w:p>
    <w:p w14:paraId="44922AD3" w14:textId="77777777" w:rsidR="00F7044C" w:rsidRPr="00052A0E" w:rsidRDefault="00F7044C" w:rsidP="00F7044C"/>
    <w:p w14:paraId="3681C0B6" w14:textId="77777777" w:rsidR="00F7044C" w:rsidRDefault="00F7044C" w:rsidP="00F7044C">
      <w:pPr>
        <w:pStyle w:val="Bibliography"/>
        <w:rPr>
          <w:rFonts w:ascii="Times" w:hAnsi="Times"/>
        </w:rPr>
      </w:pPr>
      <w:r w:rsidRPr="00C421E4">
        <w:rPr>
          <w:rFonts w:ascii="Times" w:hAnsi="Times"/>
        </w:rPr>
        <w:t xml:space="preserve">Fralick, M., Thiruchelvam, D., Tien, H. C., &amp; Redelmeier, D. A. (2016). Risk of suicide after a concussion. </w:t>
      </w:r>
      <w:r w:rsidRPr="00C421E4">
        <w:rPr>
          <w:rFonts w:ascii="Times" w:hAnsi="Times"/>
          <w:i/>
          <w:iCs/>
        </w:rPr>
        <w:t>CMAJ</w:t>
      </w:r>
      <w:r w:rsidRPr="00C421E4">
        <w:rPr>
          <w:rFonts w:ascii="Times" w:hAnsi="Times"/>
        </w:rPr>
        <w:t xml:space="preserve">, </w:t>
      </w:r>
      <w:r w:rsidRPr="00C421E4">
        <w:rPr>
          <w:rFonts w:ascii="Times" w:hAnsi="Times"/>
          <w:i/>
          <w:iCs/>
        </w:rPr>
        <w:t>188</w:t>
      </w:r>
      <w:r w:rsidRPr="00C421E4">
        <w:rPr>
          <w:rFonts w:ascii="Times" w:hAnsi="Times"/>
        </w:rPr>
        <w:t>(7), 497–504. https://doi.org/10.1503/cmaj.150790</w:t>
      </w:r>
    </w:p>
    <w:p w14:paraId="2ACADAB6" w14:textId="77777777" w:rsidR="00F7044C" w:rsidRPr="00052A0E" w:rsidRDefault="00F7044C" w:rsidP="00F7044C"/>
    <w:p w14:paraId="433554BB" w14:textId="77777777" w:rsidR="00F7044C" w:rsidRDefault="00F7044C" w:rsidP="00F7044C">
      <w:pPr>
        <w:pStyle w:val="Bibliography"/>
        <w:rPr>
          <w:rFonts w:ascii="Times" w:hAnsi="Times"/>
        </w:rPr>
      </w:pPr>
      <w:r w:rsidRPr="00C421E4">
        <w:rPr>
          <w:rFonts w:ascii="Times" w:hAnsi="Times"/>
        </w:rPr>
        <w:t>Fredrickson, B. L., &amp; Branigan, C. (2005). Positive emotions broaden the scope of attention and thought</w:t>
      </w:r>
      <w:r w:rsidRPr="00C421E4">
        <w:rPr>
          <w:rFonts w:ascii="Calibri" w:eastAsia="Calibri" w:hAnsi="Calibri" w:cs="Calibri"/>
        </w:rPr>
        <w:t>‐</w:t>
      </w:r>
      <w:r w:rsidRPr="00C421E4">
        <w:rPr>
          <w:rFonts w:ascii="Times" w:hAnsi="Times"/>
        </w:rPr>
        <w:t xml:space="preserve">action repertoires. </w:t>
      </w:r>
      <w:r w:rsidRPr="00C421E4">
        <w:rPr>
          <w:rFonts w:ascii="Times" w:hAnsi="Times"/>
          <w:i/>
          <w:iCs/>
        </w:rPr>
        <w:t>Cognition &amp; Emotion</w:t>
      </w:r>
      <w:r w:rsidRPr="00C421E4">
        <w:rPr>
          <w:rFonts w:ascii="Times" w:hAnsi="Times"/>
        </w:rPr>
        <w:t xml:space="preserve">, </w:t>
      </w:r>
      <w:r w:rsidRPr="00C421E4">
        <w:rPr>
          <w:rFonts w:ascii="Times" w:hAnsi="Times"/>
          <w:i/>
          <w:iCs/>
        </w:rPr>
        <w:t>19</w:t>
      </w:r>
      <w:r w:rsidRPr="00C421E4">
        <w:rPr>
          <w:rFonts w:ascii="Times" w:hAnsi="Times"/>
        </w:rPr>
        <w:t>(3), 313–332.</w:t>
      </w:r>
    </w:p>
    <w:p w14:paraId="700050E3" w14:textId="77777777" w:rsidR="00F7044C" w:rsidRPr="00052A0E" w:rsidRDefault="00F7044C" w:rsidP="00F7044C"/>
    <w:p w14:paraId="572C1531" w14:textId="77777777" w:rsidR="00F7044C" w:rsidRDefault="00F7044C" w:rsidP="00F7044C">
      <w:pPr>
        <w:pStyle w:val="Bibliography"/>
        <w:rPr>
          <w:rFonts w:ascii="Times" w:hAnsi="Times"/>
        </w:rPr>
      </w:pPr>
      <w:r w:rsidRPr="00C421E4">
        <w:rPr>
          <w:rFonts w:ascii="Times" w:hAnsi="Times"/>
        </w:rPr>
        <w:t xml:space="preserve">Fridlund, A. J., &amp; Cacioppo, J. T. (1986). Guidelines for Human Electromyographic Research. </w:t>
      </w:r>
      <w:r w:rsidRPr="00C421E4">
        <w:rPr>
          <w:rFonts w:ascii="Times" w:hAnsi="Times"/>
          <w:i/>
          <w:iCs/>
        </w:rPr>
        <w:t>Psychophysiology</w:t>
      </w:r>
      <w:r w:rsidRPr="00C421E4">
        <w:rPr>
          <w:rFonts w:ascii="Times" w:hAnsi="Times"/>
        </w:rPr>
        <w:t xml:space="preserve">, </w:t>
      </w:r>
      <w:r w:rsidRPr="00C421E4">
        <w:rPr>
          <w:rFonts w:ascii="Times" w:hAnsi="Times"/>
          <w:i/>
          <w:iCs/>
        </w:rPr>
        <w:t>23</w:t>
      </w:r>
      <w:r w:rsidRPr="00C421E4">
        <w:rPr>
          <w:rFonts w:ascii="Times" w:hAnsi="Times"/>
        </w:rPr>
        <w:t>(5), 567–589. https://doi.org/10.1111/j.1469-8986.1986.tb00676.x</w:t>
      </w:r>
    </w:p>
    <w:p w14:paraId="5135D509" w14:textId="77777777" w:rsidR="00F7044C" w:rsidRPr="00052A0E" w:rsidRDefault="00F7044C" w:rsidP="00F7044C"/>
    <w:p w14:paraId="193AAB1D" w14:textId="77777777" w:rsidR="00F7044C" w:rsidRDefault="00F7044C" w:rsidP="00F7044C">
      <w:pPr>
        <w:pStyle w:val="Bibliography"/>
        <w:rPr>
          <w:rFonts w:ascii="Times" w:hAnsi="Times"/>
        </w:rPr>
      </w:pPr>
      <w:r w:rsidRPr="00C421E4">
        <w:rPr>
          <w:rFonts w:ascii="Times" w:hAnsi="Times"/>
        </w:rPr>
        <w:t xml:space="preserve">Frost, C. (2011). Anatomy of the Concussion: More Serious than Meets the Eye? </w:t>
      </w:r>
      <w:r w:rsidRPr="00C421E4">
        <w:rPr>
          <w:rFonts w:ascii="Times" w:hAnsi="Times"/>
          <w:i/>
          <w:iCs/>
        </w:rPr>
        <w:t>Dissertation</w:t>
      </w:r>
      <w:r w:rsidRPr="00C421E4">
        <w:rPr>
          <w:rFonts w:ascii="Times" w:hAnsi="Times"/>
        </w:rPr>
        <w:t>.</w:t>
      </w:r>
    </w:p>
    <w:p w14:paraId="7AC34023" w14:textId="77777777" w:rsidR="00F7044C" w:rsidRPr="006078DE" w:rsidRDefault="00F7044C" w:rsidP="00F7044C"/>
    <w:p w14:paraId="2F807F4B" w14:textId="77777777" w:rsidR="00F7044C" w:rsidRDefault="00F7044C" w:rsidP="00F7044C">
      <w:pPr>
        <w:pStyle w:val="Bibliography"/>
        <w:rPr>
          <w:rFonts w:ascii="Times" w:hAnsi="Times"/>
        </w:rPr>
      </w:pPr>
      <w:r w:rsidRPr="00C421E4">
        <w:rPr>
          <w:rFonts w:ascii="Times" w:hAnsi="Times"/>
        </w:rPr>
        <w:t xml:space="preserve">Gais, S., &amp; Born, J. (2004a). Low acetylcholine during slow-wave sleep is critical for declarative memory consolidation. </w:t>
      </w:r>
      <w:r w:rsidRPr="00C421E4">
        <w:rPr>
          <w:rFonts w:ascii="Times" w:hAnsi="Times"/>
          <w:i/>
          <w:iCs/>
        </w:rPr>
        <w:t>Proceedings of the National Academy of Sciences of the United States of America</w:t>
      </w:r>
      <w:r w:rsidRPr="00C421E4">
        <w:rPr>
          <w:rFonts w:ascii="Times" w:hAnsi="Times"/>
        </w:rPr>
        <w:t xml:space="preserve">, </w:t>
      </w:r>
      <w:r w:rsidRPr="00C421E4">
        <w:rPr>
          <w:rFonts w:ascii="Times" w:hAnsi="Times"/>
          <w:i/>
          <w:iCs/>
        </w:rPr>
        <w:t>101</w:t>
      </w:r>
      <w:r w:rsidRPr="00C421E4">
        <w:rPr>
          <w:rFonts w:ascii="Times" w:hAnsi="Times"/>
        </w:rPr>
        <w:t>(7), 2140–2144. https://doi.org/10.1073/pnas.0305404101</w:t>
      </w:r>
    </w:p>
    <w:p w14:paraId="6FA02E65" w14:textId="77777777" w:rsidR="00F7044C" w:rsidRPr="006078DE" w:rsidRDefault="00F7044C" w:rsidP="00F7044C"/>
    <w:p w14:paraId="6F20C3D6" w14:textId="77777777" w:rsidR="00F7044C" w:rsidRDefault="00F7044C" w:rsidP="00F7044C">
      <w:pPr>
        <w:pStyle w:val="Bibliography"/>
        <w:rPr>
          <w:rFonts w:ascii="Times" w:hAnsi="Times"/>
        </w:rPr>
      </w:pPr>
      <w:r w:rsidRPr="00C421E4">
        <w:rPr>
          <w:rFonts w:ascii="Times" w:hAnsi="Times"/>
        </w:rPr>
        <w:t xml:space="preserve">Gais, S., &amp; Born, J. (2004b). Low acetylcholine during slow-wave sleep is critical for declarative memory consolidation. </w:t>
      </w:r>
      <w:r w:rsidRPr="00C421E4">
        <w:rPr>
          <w:rFonts w:ascii="Times" w:hAnsi="Times"/>
          <w:i/>
          <w:iCs/>
        </w:rPr>
        <w:t>Proceedings of the National Academy of Sciences of the United States of America</w:t>
      </w:r>
      <w:r w:rsidRPr="00C421E4">
        <w:rPr>
          <w:rFonts w:ascii="Times" w:hAnsi="Times"/>
        </w:rPr>
        <w:t xml:space="preserve">, </w:t>
      </w:r>
      <w:r w:rsidRPr="00C421E4">
        <w:rPr>
          <w:rFonts w:ascii="Times" w:hAnsi="Times"/>
          <w:i/>
          <w:iCs/>
        </w:rPr>
        <w:t>101</w:t>
      </w:r>
      <w:r w:rsidRPr="00C421E4">
        <w:rPr>
          <w:rFonts w:ascii="Times" w:hAnsi="Times"/>
        </w:rPr>
        <w:t>(7), 2140–2144. https://doi.org/10.1073/pnas.0305404101</w:t>
      </w:r>
    </w:p>
    <w:p w14:paraId="5705DF5A" w14:textId="77777777" w:rsidR="00F7044C" w:rsidRPr="006078DE" w:rsidRDefault="00F7044C" w:rsidP="00F7044C"/>
    <w:p w14:paraId="17566E38" w14:textId="77777777" w:rsidR="00F7044C" w:rsidRDefault="00F7044C" w:rsidP="00F7044C">
      <w:pPr>
        <w:pStyle w:val="Bibliography"/>
        <w:rPr>
          <w:rFonts w:ascii="Times" w:hAnsi="Times"/>
        </w:rPr>
      </w:pPr>
      <w:r w:rsidRPr="00C421E4">
        <w:rPr>
          <w:rFonts w:ascii="Times" w:hAnsi="Times"/>
        </w:rPr>
        <w:t xml:space="preserve">García, A., Martí, O., Vallès, A., Dal-Zotto, S., &amp; Armario, A. (2000). Recovery of the hypothalamic-pituitary-adrenal response to stress. </w:t>
      </w:r>
      <w:r w:rsidRPr="00C421E4">
        <w:rPr>
          <w:rFonts w:ascii="Times" w:hAnsi="Times"/>
          <w:i/>
          <w:iCs/>
        </w:rPr>
        <w:t>Neuroendocrinology</w:t>
      </w:r>
      <w:r w:rsidRPr="00C421E4">
        <w:rPr>
          <w:rFonts w:ascii="Times" w:hAnsi="Times"/>
        </w:rPr>
        <w:t xml:space="preserve">, </w:t>
      </w:r>
      <w:r w:rsidRPr="00C421E4">
        <w:rPr>
          <w:rFonts w:ascii="Times" w:hAnsi="Times"/>
          <w:i/>
          <w:iCs/>
        </w:rPr>
        <w:t>72</w:t>
      </w:r>
      <w:r w:rsidRPr="00C421E4">
        <w:rPr>
          <w:rFonts w:ascii="Times" w:hAnsi="Times"/>
        </w:rPr>
        <w:t>(2), 114–125.</w:t>
      </w:r>
    </w:p>
    <w:p w14:paraId="69CF0ABF" w14:textId="77777777" w:rsidR="00F7044C" w:rsidRPr="006078DE" w:rsidRDefault="00F7044C" w:rsidP="00F7044C"/>
    <w:p w14:paraId="46DC2843" w14:textId="77777777" w:rsidR="00F7044C" w:rsidRDefault="00F7044C" w:rsidP="00F7044C">
      <w:pPr>
        <w:pStyle w:val="Bibliography"/>
        <w:rPr>
          <w:rFonts w:ascii="Times" w:hAnsi="Times"/>
        </w:rPr>
      </w:pPr>
      <w:r w:rsidRPr="00C421E4">
        <w:rPr>
          <w:rFonts w:ascii="Times" w:hAnsi="Times"/>
        </w:rPr>
        <w:t xml:space="preserve">Gerberding JL, B. S. (2003). Report to Congress on Mild Traumatic Brain Injury in the United States: Steps to prevent a serious public health problem. </w:t>
      </w:r>
      <w:r w:rsidRPr="00C421E4">
        <w:rPr>
          <w:rFonts w:ascii="Times" w:hAnsi="Times"/>
          <w:i/>
          <w:iCs/>
        </w:rPr>
        <w:t>Centers for Disease Control and Prevention</w:t>
      </w:r>
      <w:r w:rsidRPr="00C421E4">
        <w:rPr>
          <w:rFonts w:ascii="Times" w:hAnsi="Times"/>
        </w:rPr>
        <w:t>, (September), 9–11.</w:t>
      </w:r>
    </w:p>
    <w:p w14:paraId="07017B3E" w14:textId="77777777" w:rsidR="00F7044C" w:rsidRPr="006078DE" w:rsidRDefault="00F7044C" w:rsidP="00F7044C"/>
    <w:p w14:paraId="5EE1B863" w14:textId="77777777" w:rsidR="00F7044C" w:rsidRDefault="00F7044C" w:rsidP="00F7044C">
      <w:pPr>
        <w:pStyle w:val="Bibliography"/>
        <w:rPr>
          <w:rFonts w:ascii="Times" w:hAnsi="Times"/>
        </w:rPr>
      </w:pPr>
      <w:r w:rsidRPr="00C421E4">
        <w:rPr>
          <w:rFonts w:ascii="Times" w:hAnsi="Times"/>
        </w:rPr>
        <w:t xml:space="preserve">Gessel, L. M., Fields, S. K., Collins, C. L., Dick, R. W., &amp; Comstock, R. D. (2007). Concussions among United States high school and collegiate athletes. </w:t>
      </w:r>
      <w:r w:rsidRPr="00C421E4">
        <w:rPr>
          <w:rFonts w:ascii="Times" w:hAnsi="Times"/>
          <w:i/>
          <w:iCs/>
        </w:rPr>
        <w:t>Journal of Athletic Training</w:t>
      </w:r>
      <w:r w:rsidRPr="00C421E4">
        <w:rPr>
          <w:rFonts w:ascii="Times" w:hAnsi="Times"/>
        </w:rPr>
        <w:t xml:space="preserve">, </w:t>
      </w:r>
      <w:r w:rsidRPr="00C421E4">
        <w:rPr>
          <w:rFonts w:ascii="Times" w:hAnsi="Times"/>
          <w:i/>
          <w:iCs/>
        </w:rPr>
        <w:t>42</w:t>
      </w:r>
      <w:r w:rsidRPr="00C421E4">
        <w:rPr>
          <w:rFonts w:ascii="Times" w:hAnsi="Times"/>
        </w:rPr>
        <w:t>(4), 495.</w:t>
      </w:r>
    </w:p>
    <w:p w14:paraId="146B9704" w14:textId="77777777" w:rsidR="00F7044C" w:rsidRPr="006078DE" w:rsidRDefault="00F7044C" w:rsidP="00F7044C"/>
    <w:p w14:paraId="7E8D4140" w14:textId="77777777" w:rsidR="00F7044C" w:rsidRPr="00C421E4" w:rsidRDefault="00F7044C" w:rsidP="00F7044C">
      <w:pPr>
        <w:pStyle w:val="Bibliography"/>
        <w:rPr>
          <w:rFonts w:ascii="Times" w:hAnsi="Times"/>
        </w:rPr>
      </w:pPr>
      <w:r w:rsidRPr="00C421E4">
        <w:rPr>
          <w:rFonts w:ascii="Times" w:hAnsi="Times"/>
        </w:rPr>
        <w:lastRenderedPageBreak/>
        <w:t xml:space="preserve">Gilboa, A., Shalev, A. Y., Laor, L., Lester, H., Louzoun, Y., Chisin, R., &amp; Bonne, O. (2004). Functional connectivity of the prefrontal cortex and the amygdala in posttraumatic stress disorder. </w:t>
      </w:r>
      <w:r w:rsidRPr="00C421E4">
        <w:rPr>
          <w:rFonts w:ascii="Times" w:hAnsi="Times"/>
          <w:i/>
          <w:iCs/>
        </w:rPr>
        <w:t>Biological Psychiatry</w:t>
      </w:r>
      <w:r w:rsidRPr="00C421E4">
        <w:rPr>
          <w:rFonts w:ascii="Times" w:hAnsi="Times"/>
        </w:rPr>
        <w:t xml:space="preserve">, </w:t>
      </w:r>
      <w:r w:rsidRPr="00C421E4">
        <w:rPr>
          <w:rFonts w:ascii="Times" w:hAnsi="Times"/>
          <w:i/>
          <w:iCs/>
        </w:rPr>
        <w:t>55</w:t>
      </w:r>
      <w:r w:rsidRPr="00C421E4">
        <w:rPr>
          <w:rFonts w:ascii="Times" w:hAnsi="Times"/>
        </w:rPr>
        <w:t>(3), 263–272. https://doi.org/10.1016/j.biopsych.2003.08.004</w:t>
      </w:r>
    </w:p>
    <w:p w14:paraId="0C0D3B6D" w14:textId="77777777" w:rsidR="00F7044C" w:rsidRDefault="00F7044C" w:rsidP="00F7044C">
      <w:pPr>
        <w:pStyle w:val="Bibliography"/>
        <w:rPr>
          <w:rFonts w:ascii="Times" w:hAnsi="Times"/>
        </w:rPr>
      </w:pPr>
      <w:r w:rsidRPr="00C421E4">
        <w:rPr>
          <w:rFonts w:ascii="Times" w:hAnsi="Times"/>
        </w:rPr>
        <w:t xml:space="preserve">Giles, D. E., Biggs, M. M., Rush, A. J., &amp; Roffwarg, H. P. (1988). Risk factors in families of unipolar depression. I. Psychiatric illness and reduced REM latency. </w:t>
      </w:r>
      <w:r w:rsidRPr="00C421E4">
        <w:rPr>
          <w:rFonts w:ascii="Times" w:hAnsi="Times"/>
          <w:i/>
          <w:iCs/>
        </w:rPr>
        <w:t>Journal of Affective Disorders</w:t>
      </w:r>
      <w:r w:rsidRPr="00C421E4">
        <w:rPr>
          <w:rFonts w:ascii="Times" w:hAnsi="Times"/>
        </w:rPr>
        <w:t xml:space="preserve">, </w:t>
      </w:r>
      <w:r w:rsidRPr="00C421E4">
        <w:rPr>
          <w:rFonts w:ascii="Times" w:hAnsi="Times"/>
          <w:i/>
          <w:iCs/>
        </w:rPr>
        <w:t>14</w:t>
      </w:r>
      <w:r w:rsidRPr="00C421E4">
        <w:rPr>
          <w:rFonts w:ascii="Times" w:hAnsi="Times"/>
        </w:rPr>
        <w:t>(1), 51–59. https://doi.org/10.1016/0165-0327(88)90071-7</w:t>
      </w:r>
    </w:p>
    <w:p w14:paraId="72AD6BC8" w14:textId="77777777" w:rsidR="00F7044C" w:rsidRPr="006078DE" w:rsidRDefault="00F7044C" w:rsidP="00F7044C"/>
    <w:p w14:paraId="020CD7CA" w14:textId="77777777" w:rsidR="00F7044C" w:rsidRDefault="00F7044C" w:rsidP="00F7044C">
      <w:pPr>
        <w:pStyle w:val="Bibliography"/>
        <w:rPr>
          <w:rFonts w:ascii="Times" w:hAnsi="Times"/>
        </w:rPr>
      </w:pPr>
      <w:r w:rsidRPr="00C421E4">
        <w:rPr>
          <w:rFonts w:ascii="Times" w:hAnsi="Times"/>
        </w:rPr>
        <w:t xml:space="preserve">Gioia, G. A., Isquith, P. K., Guy, S. C., &amp; Kenworthy, L. (2000). Behavior rating inventory of executive function. </w:t>
      </w:r>
      <w:r w:rsidRPr="00C421E4">
        <w:rPr>
          <w:rFonts w:ascii="Times" w:hAnsi="Times"/>
          <w:i/>
          <w:iCs/>
        </w:rPr>
        <w:t xml:space="preserve">Child </w:t>
      </w:r>
      <w:proofErr w:type="gramStart"/>
      <w:r w:rsidRPr="00C421E4">
        <w:rPr>
          <w:rFonts w:ascii="Times" w:hAnsi="Times"/>
          <w:i/>
          <w:iCs/>
        </w:rPr>
        <w:t>Neuropsychology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A Journal on Normal and Abnormal Development in Childhood and Adolescence</w:t>
      </w:r>
      <w:r w:rsidRPr="00C421E4">
        <w:rPr>
          <w:rFonts w:ascii="Times" w:hAnsi="Times"/>
        </w:rPr>
        <w:t xml:space="preserve">, </w:t>
      </w:r>
      <w:r w:rsidRPr="00C421E4">
        <w:rPr>
          <w:rFonts w:ascii="Times" w:hAnsi="Times"/>
          <w:i/>
          <w:iCs/>
        </w:rPr>
        <w:t>6</w:t>
      </w:r>
      <w:r w:rsidRPr="00C421E4">
        <w:rPr>
          <w:rFonts w:ascii="Times" w:hAnsi="Times"/>
        </w:rPr>
        <w:t>(3), 235–8. https://doi.org/10.1076/chin.6.3.235.3152</w:t>
      </w:r>
    </w:p>
    <w:p w14:paraId="41BF04E0" w14:textId="77777777" w:rsidR="00F7044C" w:rsidRPr="006078DE" w:rsidRDefault="00F7044C" w:rsidP="00F7044C"/>
    <w:p w14:paraId="582ACA76" w14:textId="77777777" w:rsidR="00F7044C" w:rsidRDefault="00F7044C" w:rsidP="00F7044C">
      <w:pPr>
        <w:pStyle w:val="Bibliography"/>
        <w:rPr>
          <w:rFonts w:ascii="Times" w:hAnsi="Times"/>
        </w:rPr>
      </w:pPr>
      <w:r w:rsidRPr="00C421E4">
        <w:rPr>
          <w:rFonts w:ascii="Times" w:hAnsi="Times"/>
        </w:rPr>
        <w:t xml:space="preserve">Gosselin, N., Lassonde, M., Petit, D., Leclerc, S., Mongrain, V., Collie, A., &amp; Montplaisir, J. (2009). Sleep following sport-related concussions. </w:t>
      </w:r>
      <w:r w:rsidRPr="00C421E4">
        <w:rPr>
          <w:rFonts w:ascii="Times" w:hAnsi="Times"/>
          <w:i/>
          <w:iCs/>
        </w:rPr>
        <w:t>Sleep Medicine</w:t>
      </w:r>
      <w:r w:rsidRPr="00C421E4">
        <w:rPr>
          <w:rFonts w:ascii="Times" w:hAnsi="Times"/>
        </w:rPr>
        <w:t xml:space="preserve">, </w:t>
      </w:r>
      <w:r w:rsidRPr="00C421E4">
        <w:rPr>
          <w:rFonts w:ascii="Times" w:hAnsi="Times"/>
          <w:i/>
          <w:iCs/>
        </w:rPr>
        <w:t>10</w:t>
      </w:r>
      <w:r w:rsidRPr="00C421E4">
        <w:rPr>
          <w:rFonts w:ascii="Times" w:hAnsi="Times"/>
        </w:rPr>
        <w:t>(1), 35–46. https://doi.org/10.1016/j.sleep.2007.11.023</w:t>
      </w:r>
    </w:p>
    <w:p w14:paraId="7CA5ED7A" w14:textId="77777777" w:rsidR="00F7044C" w:rsidRPr="006078DE" w:rsidRDefault="00F7044C" w:rsidP="00F7044C"/>
    <w:p w14:paraId="04944EA5" w14:textId="77777777" w:rsidR="00F7044C" w:rsidRDefault="00F7044C" w:rsidP="00F7044C">
      <w:pPr>
        <w:pStyle w:val="Bibliography"/>
        <w:rPr>
          <w:rFonts w:ascii="Times" w:hAnsi="Times"/>
        </w:rPr>
      </w:pPr>
      <w:r w:rsidRPr="00C421E4">
        <w:rPr>
          <w:rFonts w:ascii="Times" w:hAnsi="Times"/>
        </w:rPr>
        <w:t xml:space="preserve">Greenberg, R., Pillard, R., &amp; Pearlman, C. (1972). The Effect of Dream (Stage REM) Deprivation on Adaptation to Stress. </w:t>
      </w:r>
      <w:r w:rsidRPr="00C421E4">
        <w:rPr>
          <w:rFonts w:ascii="Times" w:hAnsi="Times"/>
          <w:i/>
          <w:iCs/>
        </w:rPr>
        <w:t>Psychosomatic Medicine</w:t>
      </w:r>
      <w:r w:rsidRPr="00C421E4">
        <w:rPr>
          <w:rFonts w:ascii="Times" w:hAnsi="Times"/>
        </w:rPr>
        <w:t xml:space="preserve">, </w:t>
      </w:r>
      <w:r w:rsidRPr="00C421E4">
        <w:rPr>
          <w:rFonts w:ascii="Times" w:hAnsi="Times"/>
          <w:i/>
          <w:iCs/>
        </w:rPr>
        <w:t>34</w:t>
      </w:r>
      <w:r w:rsidRPr="00C421E4">
        <w:rPr>
          <w:rFonts w:ascii="Times" w:hAnsi="Times"/>
        </w:rPr>
        <w:t>(3), 257–262. https://doi.org/10.1097/00006842-197205000-00007</w:t>
      </w:r>
    </w:p>
    <w:p w14:paraId="4899C404" w14:textId="77777777" w:rsidR="00F7044C" w:rsidRPr="006078DE" w:rsidRDefault="00F7044C" w:rsidP="00F7044C"/>
    <w:p w14:paraId="4E01B082" w14:textId="77777777" w:rsidR="00F7044C" w:rsidRDefault="00F7044C" w:rsidP="00F7044C">
      <w:pPr>
        <w:pStyle w:val="Bibliography"/>
        <w:rPr>
          <w:rFonts w:ascii="Times" w:hAnsi="Times"/>
        </w:rPr>
      </w:pPr>
      <w:r w:rsidRPr="00C421E4">
        <w:rPr>
          <w:rFonts w:ascii="Times" w:hAnsi="Times"/>
        </w:rPr>
        <w:t xml:space="preserve">Grima, N., Ponsford, J., Rajaratnam, S. M., Mansfield, D., &amp; Pase, M. P. (2016). Sleep Disturbances in Traumatic Brain Injury: A Meta-Analysis. </w:t>
      </w:r>
      <w:r w:rsidRPr="00C421E4">
        <w:rPr>
          <w:rFonts w:ascii="Times" w:hAnsi="Times"/>
          <w:i/>
          <w:iCs/>
        </w:rPr>
        <w:t>Journal of Clinical Sleep Medicine</w:t>
      </w:r>
      <w:r w:rsidRPr="00C421E4">
        <w:rPr>
          <w:rFonts w:ascii="Times" w:hAnsi="Times"/>
        </w:rPr>
        <w:t xml:space="preserve">, </w:t>
      </w:r>
      <w:r w:rsidRPr="00C421E4">
        <w:rPr>
          <w:rFonts w:ascii="Times" w:hAnsi="Times"/>
          <w:i/>
          <w:iCs/>
        </w:rPr>
        <w:t>12</w:t>
      </w:r>
      <w:r w:rsidRPr="00C421E4">
        <w:rPr>
          <w:rFonts w:ascii="Times" w:hAnsi="Times"/>
        </w:rPr>
        <w:t>(3), 419–428.</w:t>
      </w:r>
    </w:p>
    <w:p w14:paraId="31DD4A03" w14:textId="77777777" w:rsidR="00F7044C" w:rsidRPr="006078DE" w:rsidRDefault="00F7044C" w:rsidP="00F7044C"/>
    <w:p w14:paraId="116D2651" w14:textId="77777777" w:rsidR="00F7044C" w:rsidRDefault="00F7044C" w:rsidP="00F7044C">
      <w:pPr>
        <w:pStyle w:val="Bibliography"/>
        <w:rPr>
          <w:rFonts w:ascii="Times" w:hAnsi="Times"/>
        </w:rPr>
      </w:pPr>
      <w:r w:rsidRPr="00C421E4">
        <w:rPr>
          <w:rFonts w:ascii="Times" w:hAnsi="Times"/>
        </w:rPr>
        <w:t xml:space="preserve">Groch, S., Wilhelm, I., Diekelmann, S., Sayk, F., Gais, S., &amp; Born, J. (2011). Contribution of norepinephrine to emotional memory consolidation during sleep. </w:t>
      </w:r>
      <w:r w:rsidRPr="00C421E4">
        <w:rPr>
          <w:rFonts w:ascii="Times" w:hAnsi="Times"/>
          <w:i/>
          <w:iCs/>
        </w:rPr>
        <w:t>Psychoneuroendocrinology</w:t>
      </w:r>
      <w:r w:rsidRPr="00C421E4">
        <w:rPr>
          <w:rFonts w:ascii="Times" w:hAnsi="Times"/>
        </w:rPr>
        <w:t xml:space="preserve">, </w:t>
      </w:r>
      <w:r w:rsidRPr="00C421E4">
        <w:rPr>
          <w:rFonts w:ascii="Times" w:hAnsi="Times"/>
          <w:i/>
          <w:iCs/>
        </w:rPr>
        <w:t>36</w:t>
      </w:r>
      <w:r w:rsidRPr="00C421E4">
        <w:rPr>
          <w:rFonts w:ascii="Times" w:hAnsi="Times"/>
        </w:rPr>
        <w:t>(9), 1342–50. https://doi.org/10.1016/j.psyneuen.2011.03.006</w:t>
      </w:r>
    </w:p>
    <w:p w14:paraId="2363A102" w14:textId="77777777" w:rsidR="00F7044C" w:rsidRPr="006078DE" w:rsidRDefault="00F7044C" w:rsidP="00F7044C"/>
    <w:p w14:paraId="40248A51" w14:textId="77777777" w:rsidR="00F7044C" w:rsidRDefault="00F7044C" w:rsidP="00F7044C">
      <w:pPr>
        <w:pStyle w:val="Bibliography"/>
        <w:rPr>
          <w:rFonts w:ascii="Times" w:hAnsi="Times"/>
        </w:rPr>
      </w:pPr>
      <w:r w:rsidRPr="00C421E4">
        <w:rPr>
          <w:rFonts w:ascii="Times" w:hAnsi="Times"/>
        </w:rPr>
        <w:t xml:space="preserve">Grosmark, A. D., Mizuseki, K., Pastalkova, E., Diba, K., &amp; Buzsáki, G. (2012). REM Sleep Reorganizes Hippocampal Excitability. </w:t>
      </w:r>
      <w:r w:rsidRPr="00C421E4">
        <w:rPr>
          <w:rFonts w:ascii="Times" w:hAnsi="Times"/>
          <w:i/>
          <w:iCs/>
        </w:rPr>
        <w:t>Neuron</w:t>
      </w:r>
      <w:r w:rsidRPr="00C421E4">
        <w:rPr>
          <w:rFonts w:ascii="Times" w:hAnsi="Times"/>
        </w:rPr>
        <w:t xml:space="preserve">, </w:t>
      </w:r>
      <w:r w:rsidRPr="00C421E4">
        <w:rPr>
          <w:rFonts w:ascii="Times" w:hAnsi="Times"/>
          <w:i/>
          <w:iCs/>
        </w:rPr>
        <w:t>75</w:t>
      </w:r>
      <w:r w:rsidRPr="00C421E4">
        <w:rPr>
          <w:rFonts w:ascii="Times" w:hAnsi="Times"/>
        </w:rPr>
        <w:t>(6), 1001–1007. https://doi.org/10.1016/j.neuron.2012.08.015</w:t>
      </w:r>
    </w:p>
    <w:p w14:paraId="54DB0EEE" w14:textId="77777777" w:rsidR="00F7044C" w:rsidRPr="006078DE" w:rsidRDefault="00F7044C" w:rsidP="00F7044C"/>
    <w:p w14:paraId="72D8A191" w14:textId="77777777" w:rsidR="00F7044C" w:rsidRDefault="00F7044C" w:rsidP="00F7044C">
      <w:pPr>
        <w:pStyle w:val="Bibliography"/>
        <w:rPr>
          <w:rFonts w:ascii="Times" w:hAnsi="Times"/>
        </w:rPr>
      </w:pPr>
      <w:r w:rsidRPr="00C421E4">
        <w:rPr>
          <w:rFonts w:ascii="Times" w:hAnsi="Times"/>
        </w:rPr>
        <w:t xml:space="preserve">Grossman, E. J., Ge, Y., Jensen, J. H., Babb, J. S., Miles, L., Reaume, J., … Inglese, M. (2012). Thalamus and Cognitive Impairment in Mild Traumatic Brain Injury: A Diffusional Kurtosis Imaging Study. </w:t>
      </w:r>
      <w:r w:rsidRPr="00C421E4">
        <w:rPr>
          <w:rFonts w:ascii="Times" w:hAnsi="Times"/>
          <w:i/>
          <w:iCs/>
        </w:rPr>
        <w:t>Journal of Neurotrauma</w:t>
      </w:r>
      <w:r w:rsidRPr="00C421E4">
        <w:rPr>
          <w:rFonts w:ascii="Times" w:hAnsi="Times"/>
        </w:rPr>
        <w:t xml:space="preserve">, </w:t>
      </w:r>
      <w:r w:rsidRPr="00C421E4">
        <w:rPr>
          <w:rFonts w:ascii="Times" w:hAnsi="Times"/>
          <w:i/>
          <w:iCs/>
        </w:rPr>
        <w:t>29</w:t>
      </w:r>
      <w:r w:rsidRPr="00C421E4">
        <w:rPr>
          <w:rFonts w:ascii="Times" w:hAnsi="Times"/>
        </w:rPr>
        <w:t>, 2318–2327. https://doi.org/10.1089/neu.2011.1763</w:t>
      </w:r>
    </w:p>
    <w:p w14:paraId="7BBB2119" w14:textId="77777777" w:rsidR="00F7044C" w:rsidRPr="006078DE" w:rsidRDefault="00F7044C" w:rsidP="00F7044C"/>
    <w:p w14:paraId="54F1ABCD" w14:textId="77777777" w:rsidR="00F7044C" w:rsidRDefault="00F7044C" w:rsidP="00F7044C">
      <w:pPr>
        <w:pStyle w:val="Bibliography"/>
        <w:rPr>
          <w:rFonts w:ascii="Times" w:hAnsi="Times"/>
        </w:rPr>
      </w:pPr>
      <w:r w:rsidRPr="00C421E4">
        <w:rPr>
          <w:rFonts w:ascii="Times" w:hAnsi="Times"/>
        </w:rPr>
        <w:t xml:space="preserve">Guskiewicz, K. M., Marshall, S. W., Bailes, J., McCrea, M., Harding, H. P., Matthews, A., … Cantu, </w:t>
      </w:r>
      <w:proofErr w:type="gramStart"/>
      <w:r w:rsidRPr="00C421E4">
        <w:rPr>
          <w:rFonts w:ascii="Times" w:hAnsi="Times"/>
        </w:rPr>
        <w:t>R. .</w:t>
      </w:r>
      <w:proofErr w:type="gramEnd"/>
      <w:r w:rsidRPr="00C421E4">
        <w:rPr>
          <w:rFonts w:ascii="Times" w:hAnsi="Times"/>
        </w:rPr>
        <w:t xml:space="preserve"> (2007). Recurrent concussion and risk of depression in retired professional football players. </w:t>
      </w:r>
      <w:r w:rsidRPr="00C421E4">
        <w:rPr>
          <w:rFonts w:ascii="Times" w:hAnsi="Times"/>
          <w:i/>
          <w:iCs/>
        </w:rPr>
        <w:t>Medicine and Science in Sports and Exercise</w:t>
      </w:r>
      <w:r w:rsidRPr="00C421E4">
        <w:rPr>
          <w:rFonts w:ascii="Times" w:hAnsi="Times"/>
        </w:rPr>
        <w:t xml:space="preserve">, </w:t>
      </w:r>
      <w:r w:rsidRPr="00C421E4">
        <w:rPr>
          <w:rFonts w:ascii="Times" w:hAnsi="Times"/>
          <w:i/>
          <w:iCs/>
        </w:rPr>
        <w:t>29</w:t>
      </w:r>
      <w:r w:rsidRPr="00C421E4">
        <w:rPr>
          <w:rFonts w:ascii="Times" w:hAnsi="Times"/>
        </w:rPr>
        <w:t>(6), 903.</w:t>
      </w:r>
    </w:p>
    <w:p w14:paraId="5658AAB8" w14:textId="77777777" w:rsidR="00F7044C" w:rsidRPr="006078DE" w:rsidRDefault="00F7044C" w:rsidP="00F7044C"/>
    <w:p w14:paraId="229A271E" w14:textId="77777777" w:rsidR="00F7044C" w:rsidRDefault="00F7044C" w:rsidP="00F7044C">
      <w:pPr>
        <w:pStyle w:val="Bibliography"/>
        <w:rPr>
          <w:rFonts w:ascii="Times" w:hAnsi="Times"/>
        </w:rPr>
      </w:pPr>
      <w:r w:rsidRPr="00C421E4">
        <w:rPr>
          <w:rFonts w:ascii="Times" w:hAnsi="Times"/>
        </w:rPr>
        <w:lastRenderedPageBreak/>
        <w:t xml:space="preserve">Haboubi, N. H., Long, J., Koshy, M., &amp; </w:t>
      </w:r>
      <w:proofErr w:type="gramStart"/>
      <w:r w:rsidRPr="00C421E4">
        <w:rPr>
          <w:rFonts w:ascii="Times" w:hAnsi="Times"/>
        </w:rPr>
        <w:t>Ward,  a</w:t>
      </w:r>
      <w:proofErr w:type="gramEnd"/>
      <w:r w:rsidRPr="00C421E4">
        <w:rPr>
          <w:rFonts w:ascii="Times" w:hAnsi="Times"/>
        </w:rPr>
        <w:t xml:space="preserve"> B. (2001). Short-term sequelae of minor head injury (6 years experience of minor head injury clinic). </w:t>
      </w:r>
      <w:r w:rsidRPr="00C421E4">
        <w:rPr>
          <w:rFonts w:ascii="Times" w:hAnsi="Times"/>
          <w:i/>
          <w:iCs/>
        </w:rPr>
        <w:t>Disability and Rehabilitation</w:t>
      </w:r>
      <w:r w:rsidRPr="00C421E4">
        <w:rPr>
          <w:rFonts w:ascii="Times" w:hAnsi="Times"/>
        </w:rPr>
        <w:t xml:space="preserve">, </w:t>
      </w:r>
      <w:r w:rsidRPr="00C421E4">
        <w:rPr>
          <w:rFonts w:ascii="Times" w:hAnsi="Times"/>
          <w:i/>
          <w:iCs/>
        </w:rPr>
        <w:t>23</w:t>
      </w:r>
      <w:r w:rsidRPr="00C421E4">
        <w:rPr>
          <w:rFonts w:ascii="Times" w:hAnsi="Times"/>
        </w:rPr>
        <w:t>(14), 635–638. https://doi.org/10.1080/09638280110038966</w:t>
      </w:r>
    </w:p>
    <w:p w14:paraId="0EDB6E50" w14:textId="77777777" w:rsidR="00F7044C" w:rsidRPr="006078DE" w:rsidRDefault="00F7044C" w:rsidP="00F7044C"/>
    <w:p w14:paraId="1323A052" w14:textId="77777777" w:rsidR="00F7044C" w:rsidRPr="00C421E4" w:rsidRDefault="00F7044C" w:rsidP="00F7044C">
      <w:pPr>
        <w:pStyle w:val="Bibliography"/>
        <w:rPr>
          <w:rFonts w:ascii="Times" w:hAnsi="Times"/>
        </w:rPr>
      </w:pPr>
      <w:r w:rsidRPr="00C421E4">
        <w:rPr>
          <w:rFonts w:ascii="Times" w:hAnsi="Times"/>
        </w:rPr>
        <w:t xml:space="preserve">Hamann, S. B., Ely, T. D., Hoffman, J. M., &amp; Kilts, C. D. (2002). Ecstasy and agony: activation of the human amygdala in positive and negative emotion. </w:t>
      </w:r>
      <w:r w:rsidRPr="00C421E4">
        <w:rPr>
          <w:rFonts w:ascii="Times" w:hAnsi="Times"/>
          <w:i/>
          <w:iCs/>
        </w:rPr>
        <w:t>Psychological Science</w:t>
      </w:r>
      <w:r w:rsidRPr="00C421E4">
        <w:rPr>
          <w:rFonts w:ascii="Times" w:hAnsi="Times"/>
        </w:rPr>
        <w:t xml:space="preserve">, </w:t>
      </w:r>
      <w:r w:rsidRPr="00C421E4">
        <w:rPr>
          <w:rFonts w:ascii="Times" w:hAnsi="Times"/>
          <w:i/>
          <w:iCs/>
        </w:rPr>
        <w:t>13</w:t>
      </w:r>
      <w:r w:rsidRPr="00C421E4">
        <w:rPr>
          <w:rFonts w:ascii="Times" w:hAnsi="Times"/>
        </w:rPr>
        <w:t>(2), 135–141.</w:t>
      </w:r>
    </w:p>
    <w:p w14:paraId="58CA388A" w14:textId="77777777" w:rsidR="00F7044C" w:rsidRDefault="00F7044C" w:rsidP="00F7044C">
      <w:pPr>
        <w:pStyle w:val="Bibliography"/>
        <w:rPr>
          <w:rFonts w:ascii="Times" w:hAnsi="Times"/>
        </w:rPr>
      </w:pPr>
      <w:r w:rsidRPr="00C421E4">
        <w:rPr>
          <w:rFonts w:ascii="Times" w:hAnsi="Times"/>
        </w:rPr>
        <w:t xml:space="preserve">Hare, T. A., Tottenham, N., Galvan, A., Voss, H. U., Glover, G. H., &amp; Casey, B. J. (2008). Biological Substrates of Emotional Reactivity and Regulation in Adolescence During an Emotional Go-Nogo Task. </w:t>
      </w:r>
      <w:r w:rsidRPr="00C421E4">
        <w:rPr>
          <w:rFonts w:ascii="Times" w:hAnsi="Times"/>
          <w:i/>
          <w:iCs/>
        </w:rPr>
        <w:t>Biological Psychiatry</w:t>
      </w:r>
      <w:r w:rsidRPr="00C421E4">
        <w:rPr>
          <w:rFonts w:ascii="Times" w:hAnsi="Times"/>
        </w:rPr>
        <w:t xml:space="preserve">, </w:t>
      </w:r>
      <w:r w:rsidRPr="00C421E4">
        <w:rPr>
          <w:rFonts w:ascii="Times" w:hAnsi="Times"/>
          <w:i/>
          <w:iCs/>
        </w:rPr>
        <w:t>63</w:t>
      </w:r>
      <w:r w:rsidRPr="00C421E4">
        <w:rPr>
          <w:rFonts w:ascii="Times" w:hAnsi="Times"/>
        </w:rPr>
        <w:t>(10), 927–934. https://doi.org/10.1016/j.biopsych.2008.03.015</w:t>
      </w:r>
    </w:p>
    <w:p w14:paraId="60E7DC4C" w14:textId="77777777" w:rsidR="00F7044C" w:rsidRPr="006078DE" w:rsidRDefault="00F7044C" w:rsidP="00F7044C"/>
    <w:p w14:paraId="39FB4B77" w14:textId="77777777" w:rsidR="00F7044C" w:rsidRDefault="00F7044C" w:rsidP="00F7044C">
      <w:pPr>
        <w:pStyle w:val="Bibliography"/>
        <w:rPr>
          <w:rFonts w:ascii="Times" w:hAnsi="Times"/>
        </w:rPr>
      </w:pPr>
      <w:r w:rsidRPr="00C421E4">
        <w:rPr>
          <w:rFonts w:ascii="Times" w:hAnsi="Times"/>
        </w:rPr>
        <w:t xml:space="preserve">Hazlett, E. A., Zhang, J., New, A. S., Zelmanova, Y., Goldstein, K. E., Haznedar, M. M., … Chu, K. W. (2012). Potentiated amygdala response to repeated emotional pictures in borderline personality disorder. </w:t>
      </w:r>
      <w:r w:rsidRPr="00C421E4">
        <w:rPr>
          <w:rFonts w:ascii="Times" w:hAnsi="Times"/>
          <w:i/>
          <w:iCs/>
        </w:rPr>
        <w:t>Biological Psychiatry</w:t>
      </w:r>
      <w:r w:rsidRPr="00C421E4">
        <w:rPr>
          <w:rFonts w:ascii="Times" w:hAnsi="Times"/>
        </w:rPr>
        <w:t xml:space="preserve">, </w:t>
      </w:r>
      <w:r w:rsidRPr="00C421E4">
        <w:rPr>
          <w:rFonts w:ascii="Times" w:hAnsi="Times"/>
          <w:i/>
          <w:iCs/>
        </w:rPr>
        <w:t>72</w:t>
      </w:r>
      <w:r w:rsidRPr="00C421E4">
        <w:rPr>
          <w:rFonts w:ascii="Times" w:hAnsi="Times"/>
        </w:rPr>
        <w:t>(6), 448–456. https://doi.org/10.1016/j.biopsych.2012.03.027</w:t>
      </w:r>
    </w:p>
    <w:p w14:paraId="788AF7BB" w14:textId="77777777" w:rsidR="00F7044C" w:rsidRPr="006078DE" w:rsidRDefault="00F7044C" w:rsidP="00F7044C"/>
    <w:p w14:paraId="064EC988" w14:textId="77777777" w:rsidR="00F7044C" w:rsidRDefault="00F7044C" w:rsidP="00F7044C">
      <w:pPr>
        <w:pStyle w:val="Bibliography"/>
        <w:rPr>
          <w:rFonts w:ascii="Times" w:hAnsi="Times"/>
        </w:rPr>
      </w:pPr>
      <w:r w:rsidRPr="00C421E4">
        <w:rPr>
          <w:rFonts w:ascii="Times" w:hAnsi="Times"/>
        </w:rPr>
        <w:t xml:space="preserve">Hendler, T., Rotshtein, P., &amp; Hadar, U. (2001). Emotion-perception interplay in the visual cortex: “The eyes follow the heart.” </w:t>
      </w:r>
      <w:r w:rsidRPr="00C421E4">
        <w:rPr>
          <w:rFonts w:ascii="Times" w:hAnsi="Times"/>
          <w:i/>
          <w:iCs/>
        </w:rPr>
        <w:t>Cellular and Molecular Neurobiology</w:t>
      </w:r>
      <w:r w:rsidRPr="00C421E4">
        <w:rPr>
          <w:rFonts w:ascii="Times" w:hAnsi="Times"/>
        </w:rPr>
        <w:t xml:space="preserve">, </w:t>
      </w:r>
      <w:r w:rsidRPr="00C421E4">
        <w:rPr>
          <w:rFonts w:ascii="Times" w:hAnsi="Times"/>
          <w:i/>
          <w:iCs/>
        </w:rPr>
        <w:t>21</w:t>
      </w:r>
      <w:r w:rsidRPr="00C421E4">
        <w:rPr>
          <w:rFonts w:ascii="Times" w:hAnsi="Times"/>
        </w:rPr>
        <w:t>(6), 733–752. https://doi.org/10.1023/A:1015156222101</w:t>
      </w:r>
    </w:p>
    <w:p w14:paraId="17961EFB" w14:textId="77777777" w:rsidR="00F7044C" w:rsidRPr="006078DE" w:rsidRDefault="00F7044C" w:rsidP="00F7044C"/>
    <w:p w14:paraId="752F3BFA" w14:textId="77777777" w:rsidR="00F7044C" w:rsidRDefault="00F7044C" w:rsidP="00F7044C">
      <w:pPr>
        <w:pStyle w:val="Bibliography"/>
        <w:rPr>
          <w:rFonts w:ascii="Times" w:hAnsi="Times"/>
        </w:rPr>
      </w:pPr>
      <w:r w:rsidRPr="00C421E4">
        <w:rPr>
          <w:rFonts w:ascii="Times" w:hAnsi="Times"/>
        </w:rPr>
        <w:t xml:space="preserve">Henry, L. C., &amp; de Beaumont, L. (2011). Effects of repeated concussive and subconcussive impacts in sport. </w:t>
      </w:r>
      <w:r w:rsidRPr="00C421E4">
        <w:rPr>
          <w:rFonts w:ascii="Times" w:hAnsi="Times"/>
          <w:i/>
          <w:iCs/>
        </w:rPr>
        <w:t>The Handbook of Sport Neuropsychology</w:t>
      </w:r>
      <w:r w:rsidRPr="00C421E4">
        <w:rPr>
          <w:rFonts w:ascii="Times" w:hAnsi="Times"/>
        </w:rPr>
        <w:t xml:space="preserve">, </w:t>
      </w:r>
      <w:r w:rsidRPr="00C421E4">
        <w:rPr>
          <w:rFonts w:ascii="Times" w:hAnsi="Times"/>
          <w:i/>
          <w:iCs/>
        </w:rPr>
        <w:t>155</w:t>
      </w:r>
      <w:r w:rsidRPr="00C421E4">
        <w:rPr>
          <w:rFonts w:ascii="Times" w:hAnsi="Times"/>
        </w:rPr>
        <w:t>, 171.</w:t>
      </w:r>
    </w:p>
    <w:p w14:paraId="301CD9E3" w14:textId="77777777" w:rsidR="00F7044C" w:rsidRPr="006078DE" w:rsidRDefault="00F7044C" w:rsidP="00F7044C"/>
    <w:p w14:paraId="5DDF9AE0" w14:textId="77777777" w:rsidR="00F7044C" w:rsidRDefault="00F7044C" w:rsidP="00F7044C">
      <w:pPr>
        <w:pStyle w:val="Bibliography"/>
        <w:rPr>
          <w:rFonts w:ascii="Times" w:hAnsi="Times"/>
        </w:rPr>
      </w:pPr>
      <w:r w:rsidRPr="00C421E4">
        <w:rPr>
          <w:rFonts w:ascii="Times" w:hAnsi="Times"/>
        </w:rPr>
        <w:t xml:space="preserve">Hoge, C. W., McGurk, D., Thomas, J. L., Cox, A. L., Engel, C. C., &amp; Castro, C. A. (2008). Mild traumatic brain injury in US soldiers returning from Iraq. </w:t>
      </w:r>
      <w:r w:rsidRPr="00C421E4">
        <w:rPr>
          <w:rFonts w:ascii="Times" w:hAnsi="Times"/>
          <w:i/>
          <w:iCs/>
        </w:rPr>
        <w:t>New England Journal of Medicine</w:t>
      </w:r>
      <w:r w:rsidRPr="00C421E4">
        <w:rPr>
          <w:rFonts w:ascii="Times" w:hAnsi="Times"/>
        </w:rPr>
        <w:t xml:space="preserve">, </w:t>
      </w:r>
      <w:r w:rsidRPr="00C421E4">
        <w:rPr>
          <w:rFonts w:ascii="Times" w:hAnsi="Times"/>
          <w:i/>
          <w:iCs/>
        </w:rPr>
        <w:t>358</w:t>
      </w:r>
      <w:r w:rsidRPr="00C421E4">
        <w:rPr>
          <w:rFonts w:ascii="Times" w:hAnsi="Times"/>
        </w:rPr>
        <w:t>(5), 453–463.</w:t>
      </w:r>
    </w:p>
    <w:p w14:paraId="6645732A" w14:textId="77777777" w:rsidR="00F7044C" w:rsidRPr="006078DE" w:rsidRDefault="00F7044C" w:rsidP="00F7044C"/>
    <w:p w14:paraId="116012C3" w14:textId="77777777" w:rsidR="00F7044C" w:rsidRDefault="00F7044C" w:rsidP="00F7044C">
      <w:pPr>
        <w:pStyle w:val="Bibliography"/>
        <w:rPr>
          <w:rFonts w:ascii="Times" w:hAnsi="Times"/>
        </w:rPr>
      </w:pPr>
      <w:r w:rsidRPr="00C421E4">
        <w:rPr>
          <w:rFonts w:ascii="Times" w:hAnsi="Times"/>
        </w:rPr>
        <w:t xml:space="preserve">Holdnack, J. A., Zhou, X., Larrabee, G. J., Millis, S. R., &amp; Salthouse, T. A. (2011). Confirmatory factor analysis of the WAIS-IV/WMS-IV. </w:t>
      </w:r>
      <w:r w:rsidRPr="00C421E4">
        <w:rPr>
          <w:rFonts w:ascii="Times" w:hAnsi="Times"/>
          <w:i/>
          <w:iCs/>
        </w:rPr>
        <w:t>Assessment</w:t>
      </w:r>
      <w:r w:rsidRPr="00C421E4">
        <w:rPr>
          <w:rFonts w:ascii="Times" w:hAnsi="Times"/>
        </w:rPr>
        <w:t xml:space="preserve">, </w:t>
      </w:r>
      <w:r w:rsidRPr="00C421E4">
        <w:rPr>
          <w:rFonts w:ascii="Times" w:hAnsi="Times"/>
          <w:i/>
          <w:iCs/>
        </w:rPr>
        <w:t>18</w:t>
      </w:r>
      <w:r w:rsidRPr="00C421E4">
        <w:rPr>
          <w:rFonts w:ascii="Times" w:hAnsi="Times"/>
        </w:rPr>
        <w:t>(2), 178–191.</w:t>
      </w:r>
    </w:p>
    <w:p w14:paraId="2DBC8A06" w14:textId="77777777" w:rsidR="00F7044C" w:rsidRPr="006078DE" w:rsidRDefault="00F7044C" w:rsidP="00F7044C"/>
    <w:p w14:paraId="3507D116" w14:textId="77777777" w:rsidR="00F7044C" w:rsidRDefault="00F7044C" w:rsidP="00F7044C">
      <w:pPr>
        <w:pStyle w:val="Bibliography"/>
        <w:rPr>
          <w:rFonts w:ascii="Times" w:hAnsi="Times"/>
        </w:rPr>
      </w:pPr>
      <w:r w:rsidRPr="00C421E4">
        <w:rPr>
          <w:rFonts w:ascii="Times" w:hAnsi="Times"/>
        </w:rPr>
        <w:t xml:space="preserve">Holsinger, T., Steffens, D. C., Phillips, C., Helms, M. J., Havlik, R. J., Breitner, J. C. S., … Plassman, B. L. (2002). Head injury in early adulthood and the lifetime risk of depression. </w:t>
      </w:r>
      <w:r w:rsidRPr="00C421E4">
        <w:rPr>
          <w:rFonts w:ascii="Times" w:hAnsi="Times"/>
          <w:i/>
          <w:iCs/>
        </w:rPr>
        <w:t>Archives of General Psychiatry</w:t>
      </w:r>
      <w:r w:rsidRPr="00C421E4">
        <w:rPr>
          <w:rFonts w:ascii="Times" w:hAnsi="Times"/>
        </w:rPr>
        <w:t xml:space="preserve">, </w:t>
      </w:r>
      <w:r w:rsidRPr="00C421E4">
        <w:rPr>
          <w:rFonts w:ascii="Times" w:hAnsi="Times"/>
          <w:i/>
          <w:iCs/>
        </w:rPr>
        <w:t>59</w:t>
      </w:r>
      <w:r w:rsidRPr="00C421E4">
        <w:rPr>
          <w:rFonts w:ascii="Times" w:hAnsi="Times"/>
        </w:rPr>
        <w:t>(1), 17–22. https://doi.org/10.1001/archpsyc.59.1.17</w:t>
      </w:r>
    </w:p>
    <w:p w14:paraId="07ED08B8" w14:textId="77777777" w:rsidR="00F7044C" w:rsidRPr="006078DE" w:rsidRDefault="00F7044C" w:rsidP="00F7044C"/>
    <w:p w14:paraId="2B743883" w14:textId="77777777" w:rsidR="00F7044C" w:rsidRDefault="00F7044C" w:rsidP="00F7044C">
      <w:pPr>
        <w:pStyle w:val="Bibliography"/>
        <w:rPr>
          <w:rFonts w:ascii="Times" w:hAnsi="Times"/>
        </w:rPr>
      </w:pPr>
      <w:r w:rsidRPr="00C421E4">
        <w:rPr>
          <w:rFonts w:ascii="Times" w:hAnsi="Times"/>
        </w:rPr>
        <w:t xml:space="preserve">Horne, J. A., &amp; Ostberg, O. (1976). A self-assessment questionnaire to determine morningness-eveningness in human circadian rhythms. </w:t>
      </w:r>
      <w:r w:rsidRPr="00C421E4">
        <w:rPr>
          <w:rFonts w:ascii="Times" w:hAnsi="Times"/>
          <w:i/>
          <w:iCs/>
        </w:rPr>
        <w:t>International Journal of Chronobiology</w:t>
      </w:r>
      <w:r w:rsidRPr="00C421E4">
        <w:rPr>
          <w:rFonts w:ascii="Times" w:hAnsi="Times"/>
        </w:rPr>
        <w:t xml:space="preserve">, </w:t>
      </w:r>
      <w:r w:rsidRPr="00C421E4">
        <w:rPr>
          <w:rFonts w:ascii="Times" w:hAnsi="Times"/>
          <w:i/>
          <w:iCs/>
        </w:rPr>
        <w:t>4</w:t>
      </w:r>
      <w:r w:rsidRPr="00C421E4">
        <w:rPr>
          <w:rFonts w:ascii="Times" w:hAnsi="Times"/>
        </w:rPr>
        <w:t>(2), 97–110.</w:t>
      </w:r>
    </w:p>
    <w:p w14:paraId="24A8BFE0" w14:textId="77777777" w:rsidR="00F7044C" w:rsidRPr="006078DE" w:rsidRDefault="00F7044C" w:rsidP="00F7044C"/>
    <w:p w14:paraId="78D5B662" w14:textId="77777777" w:rsidR="00F7044C" w:rsidRDefault="00F7044C" w:rsidP="00F7044C">
      <w:pPr>
        <w:pStyle w:val="Bibliography"/>
        <w:rPr>
          <w:rFonts w:ascii="Times" w:hAnsi="Times"/>
        </w:rPr>
      </w:pPr>
      <w:r w:rsidRPr="00C421E4">
        <w:rPr>
          <w:rFonts w:ascii="Times" w:hAnsi="Times"/>
        </w:rPr>
        <w:t xml:space="preserve">Howell, D., Osternig, L., Van Donkelaar, P., Mayr, U., &amp; Chou, L.-S. (2013). Effects of Concussion on Attention and Executive Function in Adolescents. </w:t>
      </w:r>
      <w:r w:rsidRPr="00C421E4">
        <w:rPr>
          <w:rFonts w:ascii="Times" w:hAnsi="Times"/>
          <w:i/>
          <w:iCs/>
        </w:rPr>
        <w:t>Medicine &amp; Science in Sports &amp; Exercise</w:t>
      </w:r>
      <w:r w:rsidRPr="00C421E4">
        <w:rPr>
          <w:rFonts w:ascii="Times" w:hAnsi="Times"/>
        </w:rPr>
        <w:t xml:space="preserve">, </w:t>
      </w:r>
      <w:r w:rsidRPr="00C421E4">
        <w:rPr>
          <w:rFonts w:ascii="Times" w:hAnsi="Times"/>
          <w:i/>
          <w:iCs/>
        </w:rPr>
        <w:t>45</w:t>
      </w:r>
      <w:r w:rsidRPr="00C421E4">
        <w:rPr>
          <w:rFonts w:ascii="Times" w:hAnsi="Times"/>
        </w:rPr>
        <w:t>(6), 1030–1037.</w:t>
      </w:r>
    </w:p>
    <w:p w14:paraId="39C2CEC7" w14:textId="77777777" w:rsidR="00F7044C" w:rsidRPr="006078DE" w:rsidRDefault="00F7044C" w:rsidP="00F7044C"/>
    <w:p w14:paraId="018387D5" w14:textId="77777777" w:rsidR="00F7044C" w:rsidRDefault="00F7044C" w:rsidP="00F7044C">
      <w:pPr>
        <w:pStyle w:val="Bibliography"/>
        <w:rPr>
          <w:rFonts w:ascii="Times" w:hAnsi="Times"/>
        </w:rPr>
      </w:pPr>
      <w:r w:rsidRPr="00C421E4">
        <w:rPr>
          <w:rFonts w:ascii="Times" w:hAnsi="Times"/>
        </w:rPr>
        <w:t xml:space="preserve">Huang, M. X., Nichols, S., Robb, A., Angeles, A., Drake, A., Holland, M., … Cui, L. (2012). An automatic MEG low-frequency source imaging approach for detecting injuries in mild and moderate TBI patients with blast and non-blast causes. </w:t>
      </w:r>
      <w:r w:rsidRPr="00C421E4">
        <w:rPr>
          <w:rFonts w:ascii="Times" w:hAnsi="Times"/>
          <w:i/>
          <w:iCs/>
        </w:rPr>
        <w:t>NeuroImage</w:t>
      </w:r>
      <w:r w:rsidRPr="00C421E4">
        <w:rPr>
          <w:rFonts w:ascii="Times" w:hAnsi="Times"/>
        </w:rPr>
        <w:t xml:space="preserve">, </w:t>
      </w:r>
      <w:r w:rsidRPr="00C421E4">
        <w:rPr>
          <w:rFonts w:ascii="Times" w:hAnsi="Times"/>
          <w:i/>
          <w:iCs/>
        </w:rPr>
        <w:t>61</w:t>
      </w:r>
      <w:r w:rsidRPr="00C421E4">
        <w:rPr>
          <w:rFonts w:ascii="Times" w:hAnsi="Times"/>
        </w:rPr>
        <w:t>(4), 1067–1082.</w:t>
      </w:r>
    </w:p>
    <w:p w14:paraId="2DFE9A32" w14:textId="77777777" w:rsidR="00F7044C" w:rsidRPr="006078DE" w:rsidRDefault="00F7044C" w:rsidP="00F7044C"/>
    <w:p w14:paraId="1B6E4343" w14:textId="77777777" w:rsidR="00F7044C" w:rsidRDefault="00F7044C" w:rsidP="00F7044C">
      <w:pPr>
        <w:pStyle w:val="Bibliography"/>
        <w:rPr>
          <w:rFonts w:ascii="Times" w:hAnsi="Times"/>
        </w:rPr>
      </w:pPr>
      <w:r w:rsidRPr="00C421E4">
        <w:rPr>
          <w:rFonts w:ascii="Times" w:hAnsi="Times"/>
        </w:rPr>
        <w:t xml:space="preserve">Huang, M. X., Theilmann, R. J., Robb, A., Angeles, A., Nichols, S., Drake, A., … Ge, S. (2009). Integrated imaging approach with MEG and DTI to detect mild traumatic brain injury in military and civilian patients. </w:t>
      </w:r>
      <w:r w:rsidRPr="00C421E4">
        <w:rPr>
          <w:rFonts w:ascii="Times" w:hAnsi="Times"/>
          <w:i/>
          <w:iCs/>
        </w:rPr>
        <w:t>Journal of Neurotrauma</w:t>
      </w:r>
      <w:r w:rsidRPr="00C421E4">
        <w:rPr>
          <w:rFonts w:ascii="Times" w:hAnsi="Times"/>
        </w:rPr>
        <w:t xml:space="preserve">, </w:t>
      </w:r>
      <w:r w:rsidRPr="00C421E4">
        <w:rPr>
          <w:rFonts w:ascii="Times" w:hAnsi="Times"/>
          <w:i/>
          <w:iCs/>
        </w:rPr>
        <w:t>26</w:t>
      </w:r>
      <w:r w:rsidRPr="00C421E4">
        <w:rPr>
          <w:rFonts w:ascii="Times" w:hAnsi="Times"/>
        </w:rPr>
        <w:t>(8), 1213–1226.</w:t>
      </w:r>
    </w:p>
    <w:p w14:paraId="7017312C" w14:textId="77777777" w:rsidR="00F7044C" w:rsidRPr="006078DE" w:rsidRDefault="00F7044C" w:rsidP="00F7044C"/>
    <w:p w14:paraId="44C666A6" w14:textId="77777777" w:rsidR="00F7044C" w:rsidRDefault="00F7044C" w:rsidP="00F7044C">
      <w:pPr>
        <w:pStyle w:val="Bibliography"/>
        <w:rPr>
          <w:rFonts w:ascii="Times" w:hAnsi="Times"/>
        </w:rPr>
      </w:pPr>
      <w:r w:rsidRPr="00C421E4">
        <w:rPr>
          <w:rFonts w:ascii="Times" w:hAnsi="Times"/>
        </w:rPr>
        <w:t xml:space="preserve">Hyman, B. T., Van Hoesen, G. W., Kromer, L. J., &amp; Damasio, A. R. (1986). Perforant pathway changes and the memory impairment of Alzheimer’s disease. </w:t>
      </w:r>
      <w:r w:rsidRPr="00C421E4">
        <w:rPr>
          <w:rFonts w:ascii="Times" w:hAnsi="Times"/>
          <w:i/>
          <w:iCs/>
        </w:rPr>
        <w:t>Annals of Neurology</w:t>
      </w:r>
      <w:r w:rsidRPr="00C421E4">
        <w:rPr>
          <w:rFonts w:ascii="Times" w:hAnsi="Times"/>
        </w:rPr>
        <w:t xml:space="preserve">, </w:t>
      </w:r>
      <w:r w:rsidRPr="00C421E4">
        <w:rPr>
          <w:rFonts w:ascii="Times" w:hAnsi="Times"/>
          <w:i/>
          <w:iCs/>
        </w:rPr>
        <w:t>20</w:t>
      </w:r>
      <w:r w:rsidRPr="00C421E4">
        <w:rPr>
          <w:rFonts w:ascii="Times" w:hAnsi="Times"/>
        </w:rPr>
        <w:t>(4), 472–481. https://doi.org/10.1002/ana.410200406</w:t>
      </w:r>
    </w:p>
    <w:p w14:paraId="0A5CC1B4" w14:textId="77777777" w:rsidR="00F7044C" w:rsidRPr="006078DE" w:rsidRDefault="00F7044C" w:rsidP="00F7044C"/>
    <w:p w14:paraId="237FD03D" w14:textId="77777777" w:rsidR="00F7044C" w:rsidRDefault="00F7044C" w:rsidP="00F7044C">
      <w:pPr>
        <w:pStyle w:val="Bibliography"/>
        <w:rPr>
          <w:rFonts w:ascii="Times" w:hAnsi="Times"/>
        </w:rPr>
      </w:pPr>
      <w:r w:rsidRPr="00C421E4">
        <w:rPr>
          <w:rFonts w:ascii="Times" w:hAnsi="Times"/>
        </w:rPr>
        <w:t xml:space="preserve">Imbach, L. L., Buchele, F., Valko, P. O., Li, T., Maric, A., Stover, J. F., … Baumann, C. R. (2016). Sleep-wake disorders persist 18 months after traumatic brain injury but remain underrecognized. </w:t>
      </w:r>
      <w:r w:rsidRPr="00C421E4">
        <w:rPr>
          <w:rFonts w:ascii="Times" w:hAnsi="Times"/>
          <w:i/>
          <w:iCs/>
        </w:rPr>
        <w:t>Neurology</w:t>
      </w:r>
      <w:r w:rsidRPr="00C421E4">
        <w:rPr>
          <w:rFonts w:ascii="Times" w:hAnsi="Times"/>
        </w:rPr>
        <w:t>, WNL.0000000000002697-. https://doi.org/10.1212/WNL.0000000000002697</w:t>
      </w:r>
    </w:p>
    <w:p w14:paraId="79647053" w14:textId="77777777" w:rsidR="00F7044C" w:rsidRPr="006078DE" w:rsidRDefault="00F7044C" w:rsidP="00F7044C"/>
    <w:p w14:paraId="1D361AE3" w14:textId="77777777" w:rsidR="00F7044C" w:rsidRDefault="00F7044C" w:rsidP="00F7044C">
      <w:pPr>
        <w:pStyle w:val="Bibliography"/>
        <w:rPr>
          <w:rFonts w:ascii="Times" w:hAnsi="Times"/>
        </w:rPr>
      </w:pPr>
      <w:r w:rsidRPr="00C421E4">
        <w:rPr>
          <w:rFonts w:ascii="Times" w:hAnsi="Times"/>
        </w:rPr>
        <w:t xml:space="preserve">Johns, M. W. (1992). Reliability and factor analysis of the Epworth Sleepiness Scale. </w:t>
      </w:r>
      <w:r w:rsidRPr="00C421E4">
        <w:rPr>
          <w:rFonts w:ascii="Times" w:hAnsi="Times"/>
          <w:i/>
          <w:iCs/>
        </w:rPr>
        <w:t>Sleep</w:t>
      </w:r>
      <w:r w:rsidRPr="00C421E4">
        <w:rPr>
          <w:rFonts w:ascii="Times" w:hAnsi="Times"/>
        </w:rPr>
        <w:t xml:space="preserve">, </w:t>
      </w:r>
      <w:r w:rsidRPr="00C421E4">
        <w:rPr>
          <w:rFonts w:ascii="Times" w:hAnsi="Times"/>
          <w:i/>
          <w:iCs/>
        </w:rPr>
        <w:t>15</w:t>
      </w:r>
      <w:r w:rsidRPr="00C421E4">
        <w:rPr>
          <w:rFonts w:ascii="Times" w:hAnsi="Times"/>
        </w:rPr>
        <w:t>(4), 376–381.</w:t>
      </w:r>
    </w:p>
    <w:p w14:paraId="3FB23E52" w14:textId="77777777" w:rsidR="00F7044C" w:rsidRPr="006078DE" w:rsidRDefault="00F7044C" w:rsidP="00F7044C"/>
    <w:p w14:paraId="340DB10C" w14:textId="77777777" w:rsidR="00F7044C" w:rsidRDefault="00F7044C" w:rsidP="00F7044C">
      <w:pPr>
        <w:pStyle w:val="Bibliography"/>
        <w:rPr>
          <w:rFonts w:ascii="Times" w:hAnsi="Times"/>
        </w:rPr>
      </w:pPr>
      <w:r w:rsidRPr="00C421E4">
        <w:rPr>
          <w:rFonts w:ascii="Times" w:hAnsi="Times"/>
        </w:rPr>
        <w:t xml:space="preserve">Jones, B. J., Schultz, K. S., Adams, S., Baran, B., &amp; Spencer, R. M. C. (2016). Emotional bias of sleep-dependent processing shifts from negative to positive with aging. </w:t>
      </w:r>
      <w:r w:rsidRPr="00C421E4">
        <w:rPr>
          <w:rFonts w:ascii="Times" w:hAnsi="Times"/>
          <w:i/>
          <w:iCs/>
        </w:rPr>
        <w:t>Neurobiology of Aging</w:t>
      </w:r>
      <w:r w:rsidRPr="00C421E4">
        <w:rPr>
          <w:rFonts w:ascii="Times" w:hAnsi="Times"/>
        </w:rPr>
        <w:t xml:space="preserve">, </w:t>
      </w:r>
      <w:r w:rsidRPr="00C421E4">
        <w:rPr>
          <w:rFonts w:ascii="Times" w:hAnsi="Times"/>
          <w:i/>
          <w:iCs/>
        </w:rPr>
        <w:t>[Accepted]</w:t>
      </w:r>
      <w:r w:rsidRPr="00C421E4">
        <w:rPr>
          <w:rFonts w:ascii="Times" w:hAnsi="Times"/>
        </w:rPr>
        <w:t>.</w:t>
      </w:r>
    </w:p>
    <w:p w14:paraId="0C4DEA5C" w14:textId="77777777" w:rsidR="00F7044C" w:rsidRPr="006078DE" w:rsidRDefault="00F7044C" w:rsidP="00F7044C"/>
    <w:p w14:paraId="24248C76" w14:textId="77777777" w:rsidR="00F7044C" w:rsidRDefault="00F7044C" w:rsidP="00F7044C">
      <w:pPr>
        <w:pStyle w:val="Bibliography"/>
        <w:rPr>
          <w:rFonts w:ascii="Times" w:hAnsi="Times"/>
        </w:rPr>
      </w:pPr>
      <w:r w:rsidRPr="00C421E4">
        <w:rPr>
          <w:rFonts w:ascii="Times" w:hAnsi="Times"/>
        </w:rPr>
        <w:t xml:space="preserve">Kahn-Greene, E. T., Killgore, D. B., Kamimori, G. H., Balkin, T. J., &amp; Killgore, W. D. S. (2007). The effects of sleep deprivation on symptoms of psychopathology in healthy adults. </w:t>
      </w:r>
      <w:r w:rsidRPr="00C421E4">
        <w:rPr>
          <w:rFonts w:ascii="Times" w:hAnsi="Times"/>
          <w:i/>
          <w:iCs/>
        </w:rPr>
        <w:t>Sleep Medicine</w:t>
      </w:r>
      <w:r w:rsidRPr="00C421E4">
        <w:rPr>
          <w:rFonts w:ascii="Times" w:hAnsi="Times"/>
        </w:rPr>
        <w:t xml:space="preserve">, </w:t>
      </w:r>
      <w:r w:rsidRPr="00C421E4">
        <w:rPr>
          <w:rFonts w:ascii="Times" w:hAnsi="Times"/>
          <w:i/>
          <w:iCs/>
        </w:rPr>
        <w:t>8</w:t>
      </w:r>
      <w:r w:rsidRPr="00C421E4">
        <w:rPr>
          <w:rFonts w:ascii="Times" w:hAnsi="Times"/>
        </w:rPr>
        <w:t>(3), 215–221. https://doi.org/10.1016/j.sleep.2006.08.007</w:t>
      </w:r>
    </w:p>
    <w:p w14:paraId="292D57D2" w14:textId="77777777" w:rsidR="00F7044C" w:rsidRPr="006078DE" w:rsidRDefault="00F7044C" w:rsidP="00F7044C"/>
    <w:p w14:paraId="4B8EDBAB" w14:textId="77777777" w:rsidR="00F7044C" w:rsidRDefault="00F7044C" w:rsidP="00F7044C">
      <w:pPr>
        <w:pStyle w:val="Bibliography"/>
        <w:rPr>
          <w:rFonts w:ascii="Times" w:hAnsi="Times"/>
        </w:rPr>
      </w:pPr>
      <w:r w:rsidRPr="00C421E4">
        <w:rPr>
          <w:rFonts w:ascii="Times" w:hAnsi="Times"/>
        </w:rPr>
        <w:t xml:space="preserve">Kaiser, P. R., Valko, P. O., Werth, E., Thomann, J., Meier, J., Stocker, R., … Baumann, C. R. (2010). Modafinil ameliorates excessive daytime sleepiness after traumatic brain injury. </w:t>
      </w:r>
      <w:r w:rsidRPr="00C421E4">
        <w:rPr>
          <w:rFonts w:ascii="Times" w:hAnsi="Times"/>
          <w:i/>
          <w:iCs/>
        </w:rPr>
        <w:t>Neurology</w:t>
      </w:r>
      <w:r w:rsidRPr="00C421E4">
        <w:rPr>
          <w:rFonts w:ascii="Times" w:hAnsi="Times"/>
        </w:rPr>
        <w:t xml:space="preserve">, </w:t>
      </w:r>
      <w:r w:rsidRPr="00C421E4">
        <w:rPr>
          <w:rFonts w:ascii="Times" w:hAnsi="Times"/>
          <w:i/>
          <w:iCs/>
        </w:rPr>
        <w:t>75</w:t>
      </w:r>
      <w:r w:rsidRPr="00C421E4">
        <w:rPr>
          <w:rFonts w:ascii="Times" w:hAnsi="Times"/>
        </w:rPr>
        <w:t>(20), 1780–1785. https://doi.org/10.1212/WNL.0b013e3181fd62a2</w:t>
      </w:r>
    </w:p>
    <w:p w14:paraId="428E1ACB" w14:textId="77777777" w:rsidR="00F7044C" w:rsidRPr="006078DE" w:rsidRDefault="00F7044C" w:rsidP="00F7044C"/>
    <w:p w14:paraId="60A6B842" w14:textId="77777777" w:rsidR="00F7044C" w:rsidRDefault="00F7044C" w:rsidP="00F7044C">
      <w:pPr>
        <w:pStyle w:val="Bibliography"/>
        <w:rPr>
          <w:rFonts w:ascii="Times" w:hAnsi="Times"/>
        </w:rPr>
      </w:pPr>
      <w:r w:rsidRPr="00C421E4">
        <w:rPr>
          <w:rFonts w:ascii="Times" w:hAnsi="Times"/>
        </w:rPr>
        <w:t xml:space="preserve">Kashluba, S., Paniak, C., &amp; Casey, J. E. (2008). Persistent symptoms associated with factors identified by the WHO Task Force on Mild Traumatic Brain Injury. </w:t>
      </w:r>
      <w:r w:rsidRPr="00C421E4">
        <w:rPr>
          <w:rFonts w:ascii="Times" w:hAnsi="Times"/>
          <w:i/>
          <w:iCs/>
        </w:rPr>
        <w:t>The Clinical Neuropsychologist</w:t>
      </w:r>
      <w:r w:rsidRPr="00C421E4">
        <w:rPr>
          <w:rFonts w:ascii="Times" w:hAnsi="Times"/>
        </w:rPr>
        <w:t xml:space="preserve">, </w:t>
      </w:r>
      <w:r w:rsidRPr="00C421E4">
        <w:rPr>
          <w:rFonts w:ascii="Times" w:hAnsi="Times"/>
          <w:i/>
          <w:iCs/>
        </w:rPr>
        <w:t>22</w:t>
      </w:r>
      <w:r w:rsidRPr="00C421E4">
        <w:rPr>
          <w:rFonts w:ascii="Times" w:hAnsi="Times"/>
        </w:rPr>
        <w:t>(2), 195–208.</w:t>
      </w:r>
    </w:p>
    <w:p w14:paraId="76F7A5FF" w14:textId="77777777" w:rsidR="00F7044C" w:rsidRPr="006078DE" w:rsidRDefault="00F7044C" w:rsidP="00F7044C"/>
    <w:p w14:paraId="15A828AB" w14:textId="77777777" w:rsidR="00F7044C" w:rsidRDefault="00F7044C" w:rsidP="00F7044C">
      <w:pPr>
        <w:pStyle w:val="Bibliography"/>
        <w:rPr>
          <w:rFonts w:ascii="Times" w:hAnsi="Times"/>
        </w:rPr>
      </w:pPr>
      <w:r w:rsidRPr="00C421E4">
        <w:rPr>
          <w:rFonts w:ascii="Times" w:hAnsi="Times"/>
        </w:rPr>
        <w:t xml:space="preserve">Kerr, Z. Y., Marshall, S. W., Harding, H. P., &amp; Guskiewicz, K. M. (2012). Nine-Year Risk of Depression Diagnosis Increases </w:t>
      </w:r>
      <w:proofErr w:type="gramStart"/>
      <w:r w:rsidRPr="00C421E4">
        <w:rPr>
          <w:rFonts w:ascii="Times" w:hAnsi="Times"/>
        </w:rPr>
        <w:t>With</w:t>
      </w:r>
      <w:proofErr w:type="gramEnd"/>
      <w:r w:rsidRPr="00C421E4">
        <w:rPr>
          <w:rFonts w:ascii="Times" w:hAnsi="Times"/>
        </w:rPr>
        <w:t xml:space="preserve"> Increasing Self-Reported Concussions in Retired Professional Football Players. </w:t>
      </w:r>
      <w:r w:rsidRPr="00C421E4">
        <w:rPr>
          <w:rFonts w:ascii="Times" w:hAnsi="Times"/>
          <w:i/>
          <w:iCs/>
        </w:rPr>
        <w:t>The American Journal of Sports Medicine</w:t>
      </w:r>
      <w:r w:rsidRPr="00C421E4">
        <w:rPr>
          <w:rFonts w:ascii="Times" w:hAnsi="Times"/>
        </w:rPr>
        <w:t xml:space="preserve">, </w:t>
      </w:r>
      <w:r w:rsidRPr="00C421E4">
        <w:rPr>
          <w:rFonts w:ascii="Times" w:hAnsi="Times"/>
          <w:i/>
          <w:iCs/>
        </w:rPr>
        <w:t>40</w:t>
      </w:r>
      <w:r w:rsidRPr="00C421E4">
        <w:rPr>
          <w:rFonts w:ascii="Times" w:hAnsi="Times"/>
        </w:rPr>
        <w:t>(10), 2206–2212. https://doi.org/10.1177/0363546512456193</w:t>
      </w:r>
    </w:p>
    <w:p w14:paraId="6F2CD381" w14:textId="77777777" w:rsidR="00F7044C" w:rsidRPr="006078DE" w:rsidRDefault="00F7044C" w:rsidP="00F7044C"/>
    <w:p w14:paraId="25BADC39" w14:textId="77777777" w:rsidR="00F7044C" w:rsidRDefault="00F7044C" w:rsidP="00F7044C">
      <w:pPr>
        <w:pStyle w:val="Bibliography"/>
        <w:rPr>
          <w:rFonts w:ascii="Times" w:hAnsi="Times"/>
        </w:rPr>
      </w:pPr>
      <w:r w:rsidRPr="00C421E4">
        <w:rPr>
          <w:rFonts w:ascii="Times" w:hAnsi="Times"/>
        </w:rPr>
        <w:t xml:space="preserve">Ketchen Lipson, S., Gaddis, S. M., Heinze, J., Beck, K., &amp; Eisenberg, D. (2015). Variations in student mental health and treatment utilization across US colleges and universities. </w:t>
      </w:r>
      <w:r w:rsidRPr="00C421E4">
        <w:rPr>
          <w:rFonts w:ascii="Times" w:hAnsi="Times"/>
          <w:i/>
          <w:iCs/>
        </w:rPr>
        <w:t>Journal of American College Health</w:t>
      </w:r>
      <w:r w:rsidRPr="00C421E4">
        <w:rPr>
          <w:rFonts w:ascii="Times" w:hAnsi="Times"/>
        </w:rPr>
        <w:t xml:space="preserve">, </w:t>
      </w:r>
      <w:r w:rsidRPr="00C421E4">
        <w:rPr>
          <w:rFonts w:ascii="Times" w:hAnsi="Times"/>
          <w:i/>
          <w:iCs/>
        </w:rPr>
        <w:t>63</w:t>
      </w:r>
      <w:r w:rsidRPr="00C421E4">
        <w:rPr>
          <w:rFonts w:ascii="Times" w:hAnsi="Times"/>
        </w:rPr>
        <w:t>(6), 388–396.</w:t>
      </w:r>
    </w:p>
    <w:p w14:paraId="0C9F40F7" w14:textId="77777777" w:rsidR="00F7044C" w:rsidRPr="006078DE" w:rsidRDefault="00F7044C" w:rsidP="00F7044C"/>
    <w:p w14:paraId="548BF76E" w14:textId="77777777" w:rsidR="00F7044C" w:rsidRPr="00C421E4" w:rsidRDefault="00F7044C" w:rsidP="00F7044C">
      <w:pPr>
        <w:pStyle w:val="Bibliography"/>
        <w:rPr>
          <w:rFonts w:ascii="Times" w:hAnsi="Times"/>
        </w:rPr>
      </w:pPr>
      <w:r w:rsidRPr="00C421E4">
        <w:rPr>
          <w:rFonts w:ascii="Times" w:hAnsi="Times"/>
        </w:rPr>
        <w:t xml:space="preserve">Konrad, C., </w:t>
      </w:r>
      <w:proofErr w:type="gramStart"/>
      <w:r w:rsidRPr="00C421E4">
        <w:rPr>
          <w:rFonts w:ascii="Times" w:hAnsi="Times"/>
        </w:rPr>
        <w:t>Geburek,  a.</w:t>
      </w:r>
      <w:proofErr w:type="gramEnd"/>
      <w:r w:rsidRPr="00C421E4">
        <w:rPr>
          <w:rFonts w:ascii="Times" w:hAnsi="Times"/>
        </w:rPr>
        <w:t xml:space="preserve"> J., Rist, F., Blumenroth, H., Fischer, B., Husstedt, I., … Lohmann, H. (2011). Long-term cognitive and emotional consequences of mild traumatic brain injury. </w:t>
      </w:r>
      <w:r w:rsidRPr="00C421E4">
        <w:rPr>
          <w:rFonts w:ascii="Times" w:hAnsi="Times"/>
          <w:i/>
          <w:iCs/>
        </w:rPr>
        <w:t>Psychological Medicine</w:t>
      </w:r>
      <w:r w:rsidRPr="00C421E4">
        <w:rPr>
          <w:rFonts w:ascii="Times" w:hAnsi="Times"/>
        </w:rPr>
        <w:t xml:space="preserve">, </w:t>
      </w:r>
      <w:r w:rsidRPr="00C421E4">
        <w:rPr>
          <w:rFonts w:ascii="Times" w:hAnsi="Times"/>
          <w:i/>
          <w:iCs/>
        </w:rPr>
        <w:t>41</w:t>
      </w:r>
      <w:r w:rsidRPr="00C421E4">
        <w:rPr>
          <w:rFonts w:ascii="Times" w:hAnsi="Times"/>
        </w:rPr>
        <w:t>(6), 1197–1211. https://doi.org/10.1017/S0033291710001728</w:t>
      </w:r>
    </w:p>
    <w:p w14:paraId="18A01D8A" w14:textId="77777777" w:rsidR="00F7044C" w:rsidRDefault="00F7044C" w:rsidP="00F7044C">
      <w:pPr>
        <w:pStyle w:val="Bibliography"/>
        <w:rPr>
          <w:rFonts w:ascii="Times" w:hAnsi="Times"/>
        </w:rPr>
      </w:pPr>
      <w:r w:rsidRPr="00C421E4">
        <w:rPr>
          <w:rFonts w:ascii="Times" w:hAnsi="Times"/>
        </w:rPr>
        <w:t xml:space="preserve">Kraus, M. F., Susmaras, T., Caughlin, B. P., Walker, C. J., Sweeney, J. A., &amp; Little, D. M. (2007). White matter integrity and cognition in chronic traumatic brain injury: a diffusion tensor imaging study. </w:t>
      </w:r>
      <w:r w:rsidRPr="00C421E4">
        <w:rPr>
          <w:rFonts w:ascii="Times" w:hAnsi="Times"/>
          <w:i/>
          <w:iCs/>
        </w:rPr>
        <w:t>Brain</w:t>
      </w:r>
      <w:r w:rsidRPr="00C421E4">
        <w:rPr>
          <w:rFonts w:ascii="Times" w:hAnsi="Times"/>
        </w:rPr>
        <w:t xml:space="preserve">, </w:t>
      </w:r>
      <w:r w:rsidRPr="00C421E4">
        <w:rPr>
          <w:rFonts w:ascii="Times" w:hAnsi="Times"/>
          <w:i/>
          <w:iCs/>
        </w:rPr>
        <w:t>130</w:t>
      </w:r>
      <w:r w:rsidRPr="00C421E4">
        <w:rPr>
          <w:rFonts w:ascii="Times" w:hAnsi="Times"/>
        </w:rPr>
        <w:t>(10), 2508–2519.</w:t>
      </w:r>
    </w:p>
    <w:p w14:paraId="519A0429" w14:textId="77777777" w:rsidR="00F7044C" w:rsidRPr="006078DE" w:rsidRDefault="00F7044C" w:rsidP="00F7044C"/>
    <w:p w14:paraId="1C9E683F" w14:textId="77777777" w:rsidR="00F7044C" w:rsidRDefault="00F7044C" w:rsidP="00F7044C">
      <w:pPr>
        <w:pStyle w:val="Bibliography"/>
        <w:rPr>
          <w:rFonts w:ascii="Times" w:hAnsi="Times"/>
        </w:rPr>
      </w:pPr>
      <w:r w:rsidRPr="00C421E4">
        <w:rPr>
          <w:rFonts w:ascii="Times" w:hAnsi="Times"/>
        </w:rPr>
        <w:t xml:space="preserve">Kunzmann, U., &amp; Grühn, D. (2005). Age differences in emotional reactivity: The sample case of sadness. </w:t>
      </w:r>
      <w:r w:rsidRPr="00C421E4">
        <w:rPr>
          <w:rFonts w:ascii="Times" w:hAnsi="Times"/>
          <w:i/>
          <w:iCs/>
        </w:rPr>
        <w:t>Psychology and Aging</w:t>
      </w:r>
      <w:r w:rsidRPr="00C421E4">
        <w:rPr>
          <w:rFonts w:ascii="Times" w:hAnsi="Times"/>
        </w:rPr>
        <w:t xml:space="preserve">, </w:t>
      </w:r>
      <w:r w:rsidRPr="00C421E4">
        <w:rPr>
          <w:rFonts w:ascii="Times" w:hAnsi="Times"/>
          <w:i/>
          <w:iCs/>
        </w:rPr>
        <w:t>20</w:t>
      </w:r>
      <w:r w:rsidRPr="00C421E4">
        <w:rPr>
          <w:rFonts w:ascii="Times" w:hAnsi="Times"/>
        </w:rPr>
        <w:t>(1), 47–59. https://doi.org/10.1037/0882-7974.20.1.47</w:t>
      </w:r>
    </w:p>
    <w:p w14:paraId="0411FA14" w14:textId="77777777" w:rsidR="00F7044C" w:rsidRPr="006078DE" w:rsidRDefault="00F7044C" w:rsidP="00F7044C"/>
    <w:p w14:paraId="40B385CA" w14:textId="77777777" w:rsidR="00F7044C" w:rsidRDefault="00F7044C" w:rsidP="00F7044C">
      <w:pPr>
        <w:pStyle w:val="Bibliography"/>
        <w:rPr>
          <w:rFonts w:ascii="Times" w:hAnsi="Times"/>
        </w:rPr>
      </w:pPr>
      <w:r w:rsidRPr="00C421E4">
        <w:rPr>
          <w:rFonts w:ascii="Times" w:hAnsi="Times"/>
        </w:rPr>
        <w:t xml:space="preserve">Kuppens, P., Allen, N. B., &amp; Sheeber, L. B. (2010). Emotional inertia and psychological maladjustment. </w:t>
      </w:r>
      <w:r w:rsidRPr="00C421E4">
        <w:rPr>
          <w:rFonts w:ascii="Times" w:hAnsi="Times"/>
          <w:i/>
          <w:iCs/>
        </w:rPr>
        <w:t>Psychological Science</w:t>
      </w:r>
      <w:r w:rsidRPr="00C421E4">
        <w:rPr>
          <w:rFonts w:ascii="Times" w:hAnsi="Times"/>
        </w:rPr>
        <w:t xml:space="preserve">, </w:t>
      </w:r>
      <w:r w:rsidRPr="00C421E4">
        <w:rPr>
          <w:rFonts w:ascii="Times" w:hAnsi="Times"/>
          <w:i/>
          <w:iCs/>
        </w:rPr>
        <w:t>21</w:t>
      </w:r>
      <w:r w:rsidRPr="00C421E4">
        <w:rPr>
          <w:rFonts w:ascii="Times" w:hAnsi="Times"/>
        </w:rPr>
        <w:t>(7), 984–91. https://doi.org/10.1177/0956797610372634</w:t>
      </w:r>
    </w:p>
    <w:p w14:paraId="42207CE3" w14:textId="77777777" w:rsidR="00F7044C" w:rsidRPr="006078DE" w:rsidRDefault="00F7044C" w:rsidP="00F7044C"/>
    <w:p w14:paraId="7363D685" w14:textId="77777777" w:rsidR="00F7044C" w:rsidRDefault="00F7044C" w:rsidP="00F7044C">
      <w:pPr>
        <w:pStyle w:val="Bibliography"/>
        <w:rPr>
          <w:rFonts w:ascii="Times" w:hAnsi="Times"/>
        </w:rPr>
      </w:pPr>
      <w:r w:rsidRPr="00C421E4">
        <w:rPr>
          <w:rFonts w:ascii="Times" w:hAnsi="Times"/>
        </w:rPr>
        <w:t xml:space="preserve">Lang, P. J., Bradley, M. M., &amp; Cuthbert, B. N. (1997). </w:t>
      </w:r>
      <w:r w:rsidRPr="00C421E4">
        <w:rPr>
          <w:rFonts w:ascii="Times" w:hAnsi="Times"/>
          <w:i/>
          <w:iCs/>
        </w:rPr>
        <w:t>International Affective Picture System (IAPS): Technical Manual and Affective Ratings</w:t>
      </w:r>
      <w:r w:rsidRPr="00C421E4">
        <w:rPr>
          <w:rFonts w:ascii="Times" w:hAnsi="Times"/>
        </w:rPr>
        <w:t xml:space="preserve">. </w:t>
      </w:r>
      <w:r w:rsidRPr="00C421E4">
        <w:rPr>
          <w:rFonts w:ascii="Times" w:hAnsi="Times"/>
          <w:i/>
          <w:iCs/>
        </w:rPr>
        <w:t>Psychology</w:t>
      </w:r>
      <w:r w:rsidRPr="00C421E4">
        <w:rPr>
          <w:rFonts w:ascii="Times" w:hAnsi="Times"/>
        </w:rPr>
        <w:t xml:space="preserve"> (Vol. 77). https://doi.org/10.1016/j.epsr.2006.03.016</w:t>
      </w:r>
    </w:p>
    <w:p w14:paraId="5829A626" w14:textId="77777777" w:rsidR="00F7044C" w:rsidRPr="006078DE" w:rsidRDefault="00F7044C" w:rsidP="00F7044C"/>
    <w:p w14:paraId="50D7E721" w14:textId="77777777" w:rsidR="00F7044C" w:rsidRDefault="00F7044C" w:rsidP="00F7044C">
      <w:pPr>
        <w:pStyle w:val="Bibliography"/>
        <w:rPr>
          <w:rFonts w:ascii="Times" w:hAnsi="Times"/>
        </w:rPr>
      </w:pPr>
      <w:r w:rsidRPr="00C421E4">
        <w:rPr>
          <w:rFonts w:ascii="Times" w:hAnsi="Times"/>
        </w:rPr>
        <w:t xml:space="preserve">Lang, P. J., Bradley, M. M., &amp; Cuthbert, B. N. (1998). Emotion, motivation, and anxiety: Brain mechanisms and psychophysiology. </w:t>
      </w:r>
      <w:r w:rsidRPr="00C421E4">
        <w:rPr>
          <w:rFonts w:ascii="Times" w:hAnsi="Times"/>
          <w:i/>
          <w:iCs/>
        </w:rPr>
        <w:t>Biological Psychiatry</w:t>
      </w:r>
      <w:r w:rsidRPr="00C421E4">
        <w:rPr>
          <w:rFonts w:ascii="Times" w:hAnsi="Times"/>
        </w:rPr>
        <w:t xml:space="preserve">, </w:t>
      </w:r>
      <w:r w:rsidRPr="00C421E4">
        <w:rPr>
          <w:rFonts w:ascii="Times" w:hAnsi="Times"/>
          <w:i/>
          <w:iCs/>
        </w:rPr>
        <w:t>44</w:t>
      </w:r>
      <w:r w:rsidRPr="00C421E4">
        <w:rPr>
          <w:rFonts w:ascii="Times" w:hAnsi="Times"/>
        </w:rPr>
        <w:t>(12), 1248–1263. https://doi.org/10.1016/S0006-3223(98)00275-3</w:t>
      </w:r>
    </w:p>
    <w:p w14:paraId="05CAC957" w14:textId="77777777" w:rsidR="00F7044C" w:rsidRPr="006078DE" w:rsidRDefault="00F7044C" w:rsidP="00F7044C"/>
    <w:p w14:paraId="4F9AB4BE" w14:textId="77777777" w:rsidR="00F7044C" w:rsidRDefault="00F7044C" w:rsidP="00F7044C">
      <w:pPr>
        <w:pStyle w:val="Bibliography"/>
        <w:rPr>
          <w:rFonts w:ascii="Times" w:hAnsi="Times"/>
        </w:rPr>
      </w:pPr>
      <w:r w:rsidRPr="00C421E4">
        <w:rPr>
          <w:rFonts w:ascii="Times" w:hAnsi="Times"/>
        </w:rPr>
        <w:t xml:space="preserve">Lange, R. T., Iverson, G. L., &amp; Rose, A. (2010). Post-concussion symptom reporting and the “good-old-days” bias following mild traumatic brain injury. </w:t>
      </w:r>
      <w:r w:rsidRPr="00C421E4">
        <w:rPr>
          <w:rFonts w:ascii="Times" w:hAnsi="Times"/>
          <w:i/>
          <w:iCs/>
        </w:rPr>
        <w:t>Archives of Clinical Neuropsychology</w:t>
      </w:r>
      <w:r w:rsidRPr="00C421E4">
        <w:rPr>
          <w:rFonts w:ascii="Times" w:hAnsi="Times"/>
        </w:rPr>
        <w:t xml:space="preserve">, </w:t>
      </w:r>
      <w:r w:rsidRPr="00C421E4">
        <w:rPr>
          <w:rFonts w:ascii="Times" w:hAnsi="Times"/>
          <w:i/>
          <w:iCs/>
        </w:rPr>
        <w:t>25</w:t>
      </w:r>
      <w:r w:rsidRPr="00C421E4">
        <w:rPr>
          <w:rFonts w:ascii="Times" w:hAnsi="Times"/>
        </w:rPr>
        <w:t>(5), 442–450.</w:t>
      </w:r>
    </w:p>
    <w:p w14:paraId="7D14C851" w14:textId="77777777" w:rsidR="00F7044C" w:rsidRPr="006078DE" w:rsidRDefault="00F7044C" w:rsidP="00F7044C"/>
    <w:p w14:paraId="2155CFD4" w14:textId="77777777" w:rsidR="00F7044C" w:rsidRDefault="00F7044C" w:rsidP="00F7044C">
      <w:pPr>
        <w:pStyle w:val="Bibliography"/>
        <w:rPr>
          <w:rFonts w:ascii="Times" w:hAnsi="Times"/>
        </w:rPr>
      </w:pPr>
      <w:r w:rsidRPr="00C421E4">
        <w:rPr>
          <w:rFonts w:ascii="Times" w:hAnsi="Times"/>
        </w:rPr>
        <w:t>Lara</w:t>
      </w:r>
      <w:r w:rsidRPr="00C421E4">
        <w:rPr>
          <w:rFonts w:ascii="Calibri" w:eastAsia="Calibri" w:hAnsi="Calibri" w:cs="Calibri"/>
        </w:rPr>
        <w:t>‐</w:t>
      </w:r>
      <w:r w:rsidRPr="00C421E4">
        <w:rPr>
          <w:rFonts w:ascii="Times" w:hAnsi="Times"/>
        </w:rPr>
        <w:t xml:space="preserve">Carrasco, J., Nielsen, T. A., Solomonova, E., Levrier, K., &amp; Popova, A. (2009). Overnight emotional adaptation to negative stimuli is altered by REM sleep deprivation and is correlated with intervening dream emotions. </w:t>
      </w:r>
      <w:r w:rsidRPr="00C421E4">
        <w:rPr>
          <w:rFonts w:ascii="Times" w:hAnsi="Times"/>
          <w:i/>
          <w:iCs/>
        </w:rPr>
        <w:t>Journal of Sleep Research</w:t>
      </w:r>
      <w:r w:rsidRPr="00C421E4">
        <w:rPr>
          <w:rFonts w:ascii="Times" w:hAnsi="Times"/>
        </w:rPr>
        <w:t xml:space="preserve">, </w:t>
      </w:r>
      <w:r w:rsidRPr="00C421E4">
        <w:rPr>
          <w:rFonts w:ascii="Times" w:hAnsi="Times"/>
          <w:i/>
          <w:iCs/>
        </w:rPr>
        <w:t>18</w:t>
      </w:r>
      <w:r w:rsidRPr="00C421E4">
        <w:rPr>
          <w:rFonts w:ascii="Times" w:hAnsi="Times"/>
        </w:rPr>
        <w:t>(2), 178–187.</w:t>
      </w:r>
    </w:p>
    <w:p w14:paraId="7412A9FD" w14:textId="77777777" w:rsidR="00F7044C" w:rsidRPr="006078DE" w:rsidRDefault="00F7044C" w:rsidP="00F7044C"/>
    <w:p w14:paraId="0B105509" w14:textId="77777777" w:rsidR="00F7044C" w:rsidRDefault="00F7044C" w:rsidP="00F7044C">
      <w:pPr>
        <w:pStyle w:val="Bibliography"/>
        <w:rPr>
          <w:rFonts w:ascii="Times" w:hAnsi="Times"/>
        </w:rPr>
      </w:pPr>
      <w:r w:rsidRPr="00C421E4">
        <w:rPr>
          <w:rFonts w:ascii="Times" w:hAnsi="Times"/>
        </w:rPr>
        <w:t xml:space="preserve">LeDoux, J. E. (1993). Emotional memory systems in the brain. </w:t>
      </w:r>
      <w:r w:rsidRPr="00C421E4">
        <w:rPr>
          <w:rFonts w:ascii="Times" w:hAnsi="Times"/>
          <w:i/>
          <w:iCs/>
        </w:rPr>
        <w:t>Behavioural Brain Research</w:t>
      </w:r>
      <w:r w:rsidRPr="00C421E4">
        <w:rPr>
          <w:rFonts w:ascii="Times" w:hAnsi="Times"/>
        </w:rPr>
        <w:t xml:space="preserve">, </w:t>
      </w:r>
      <w:r w:rsidRPr="00C421E4">
        <w:rPr>
          <w:rFonts w:ascii="Times" w:hAnsi="Times"/>
          <w:i/>
          <w:iCs/>
        </w:rPr>
        <w:t>58</w:t>
      </w:r>
      <w:r w:rsidRPr="00C421E4">
        <w:rPr>
          <w:rFonts w:ascii="Times" w:hAnsi="Times"/>
        </w:rPr>
        <w:t>(1–2), 69–79. https://doi.org/10.1016/0166-4328(93)90091-4</w:t>
      </w:r>
    </w:p>
    <w:p w14:paraId="0C9AF325" w14:textId="77777777" w:rsidR="00F7044C" w:rsidRPr="006078DE" w:rsidRDefault="00F7044C" w:rsidP="00F7044C"/>
    <w:p w14:paraId="2F6E80C0" w14:textId="77777777" w:rsidR="00F7044C" w:rsidRDefault="00F7044C" w:rsidP="00F7044C">
      <w:pPr>
        <w:pStyle w:val="Bibliography"/>
        <w:rPr>
          <w:rFonts w:ascii="Times" w:hAnsi="Times"/>
        </w:rPr>
      </w:pPr>
      <w:r w:rsidRPr="00C421E4">
        <w:rPr>
          <w:rFonts w:ascii="Times" w:hAnsi="Times"/>
        </w:rPr>
        <w:t xml:space="preserve">Levenson, R. W. (2003). Blood, Sweat, and Fears: The Autonomic Architecture of Emotion. In </w:t>
      </w:r>
      <w:r w:rsidRPr="00C421E4">
        <w:rPr>
          <w:rFonts w:ascii="Times" w:hAnsi="Times"/>
          <w:i/>
          <w:iCs/>
        </w:rPr>
        <w:t>Annals of the New York Academy of Sciences</w:t>
      </w:r>
      <w:r w:rsidRPr="00C421E4">
        <w:rPr>
          <w:rFonts w:ascii="Times" w:hAnsi="Times"/>
        </w:rPr>
        <w:t xml:space="preserve"> (Vol. 1000, pp. 348–366). https://doi.org/10.1196/annals.1280.016</w:t>
      </w:r>
    </w:p>
    <w:p w14:paraId="3D4E02F8" w14:textId="77777777" w:rsidR="00F7044C" w:rsidRPr="006078DE" w:rsidRDefault="00F7044C" w:rsidP="00F7044C"/>
    <w:p w14:paraId="74D4A6ED" w14:textId="77777777" w:rsidR="00F7044C" w:rsidRDefault="00F7044C" w:rsidP="00F7044C">
      <w:pPr>
        <w:pStyle w:val="Bibliography"/>
        <w:rPr>
          <w:rFonts w:ascii="Times" w:hAnsi="Times"/>
        </w:rPr>
      </w:pPr>
      <w:r w:rsidRPr="00C421E4">
        <w:rPr>
          <w:rFonts w:ascii="Times" w:hAnsi="Times"/>
        </w:rPr>
        <w:lastRenderedPageBreak/>
        <w:t xml:space="preserve">Leventhal, A. M., Martin, R. L., Seals, R. W., Tapia, E., &amp; Rehm, L. P. (2007). Investigating the dynamics of affect: Psychological mechanisms of affective habituation to pleasurable stimuli. </w:t>
      </w:r>
      <w:r w:rsidRPr="00C421E4">
        <w:rPr>
          <w:rFonts w:ascii="Times" w:hAnsi="Times"/>
          <w:i/>
          <w:iCs/>
        </w:rPr>
        <w:t>Motivation and Emotion</w:t>
      </w:r>
      <w:r w:rsidRPr="00C421E4">
        <w:rPr>
          <w:rFonts w:ascii="Times" w:hAnsi="Times"/>
        </w:rPr>
        <w:t xml:space="preserve">, </w:t>
      </w:r>
      <w:r w:rsidRPr="00C421E4">
        <w:rPr>
          <w:rFonts w:ascii="Times" w:hAnsi="Times"/>
          <w:i/>
          <w:iCs/>
        </w:rPr>
        <w:t>31</w:t>
      </w:r>
      <w:r w:rsidRPr="00C421E4">
        <w:rPr>
          <w:rFonts w:ascii="Times" w:hAnsi="Times"/>
        </w:rPr>
        <w:t>(2), 145–157.</w:t>
      </w:r>
    </w:p>
    <w:p w14:paraId="1D14D334" w14:textId="77777777" w:rsidR="00F7044C" w:rsidRPr="006078DE" w:rsidRDefault="00F7044C" w:rsidP="00F7044C"/>
    <w:p w14:paraId="42F7242B" w14:textId="77777777" w:rsidR="00F7044C" w:rsidRDefault="00F7044C" w:rsidP="00F7044C">
      <w:pPr>
        <w:pStyle w:val="Bibliography"/>
        <w:rPr>
          <w:rFonts w:ascii="Times" w:hAnsi="Times"/>
        </w:rPr>
      </w:pPr>
      <w:r w:rsidRPr="00C421E4">
        <w:rPr>
          <w:rFonts w:ascii="Times" w:hAnsi="Times"/>
        </w:rPr>
        <w:t xml:space="preserve">Levin, H. S., &amp; Diaz-Arrastia, R. R. (2015). Diagnosis, prognosis, and clinical management of mild traumatic brain injury. </w:t>
      </w:r>
      <w:r w:rsidRPr="00C421E4">
        <w:rPr>
          <w:rFonts w:ascii="Times" w:hAnsi="Times"/>
          <w:i/>
          <w:iCs/>
        </w:rPr>
        <w:t>The Lancet Neurology</w:t>
      </w:r>
      <w:r w:rsidRPr="00C421E4">
        <w:rPr>
          <w:rFonts w:ascii="Times" w:hAnsi="Times"/>
        </w:rPr>
        <w:t xml:space="preserve">, </w:t>
      </w:r>
      <w:r w:rsidRPr="00C421E4">
        <w:rPr>
          <w:rFonts w:ascii="Times" w:hAnsi="Times"/>
          <w:i/>
          <w:iCs/>
        </w:rPr>
        <w:t>14</w:t>
      </w:r>
      <w:r w:rsidRPr="00C421E4">
        <w:rPr>
          <w:rFonts w:ascii="Times" w:hAnsi="Times"/>
        </w:rPr>
        <w:t>(5), 506–517.</w:t>
      </w:r>
    </w:p>
    <w:p w14:paraId="1E335AE4" w14:textId="77777777" w:rsidR="00F7044C" w:rsidRPr="006078DE" w:rsidRDefault="00F7044C" w:rsidP="00F7044C"/>
    <w:p w14:paraId="3332AB6E" w14:textId="77777777" w:rsidR="00F7044C" w:rsidRDefault="00F7044C" w:rsidP="00F7044C">
      <w:pPr>
        <w:pStyle w:val="Bibliography"/>
        <w:rPr>
          <w:rFonts w:ascii="Times" w:hAnsi="Times"/>
        </w:rPr>
      </w:pPr>
      <w:r w:rsidRPr="00C421E4">
        <w:rPr>
          <w:rFonts w:ascii="Times" w:hAnsi="Times"/>
        </w:rPr>
        <w:t xml:space="preserve">Lincoln, A. E., Caswell, S. V., Almquist, J. L., Dunn, R. E., Norris, J. B., &amp; Hinton, R. Y. (2011). Trends in concussion incidence in high school sports: a prospective 11-year study. </w:t>
      </w:r>
      <w:r w:rsidRPr="00C421E4">
        <w:rPr>
          <w:rFonts w:ascii="Times" w:hAnsi="Times"/>
          <w:i/>
          <w:iCs/>
        </w:rPr>
        <w:t>The American Journal of Sports Medicine</w:t>
      </w:r>
      <w:r w:rsidRPr="00C421E4">
        <w:rPr>
          <w:rFonts w:ascii="Times" w:hAnsi="Times"/>
        </w:rPr>
        <w:t xml:space="preserve">, </w:t>
      </w:r>
      <w:r w:rsidRPr="00C421E4">
        <w:rPr>
          <w:rFonts w:ascii="Times" w:hAnsi="Times"/>
          <w:i/>
          <w:iCs/>
        </w:rPr>
        <w:t>39</w:t>
      </w:r>
      <w:r w:rsidRPr="00C421E4">
        <w:rPr>
          <w:rFonts w:ascii="Times" w:hAnsi="Times"/>
        </w:rPr>
        <w:t>(5), 958–963.</w:t>
      </w:r>
    </w:p>
    <w:p w14:paraId="39E76331" w14:textId="77777777" w:rsidR="00F7044C" w:rsidRPr="006078DE" w:rsidRDefault="00F7044C" w:rsidP="00F7044C"/>
    <w:p w14:paraId="7CD52C88" w14:textId="77777777" w:rsidR="00F7044C" w:rsidRDefault="00F7044C" w:rsidP="00F7044C">
      <w:pPr>
        <w:pStyle w:val="Bibliography"/>
        <w:rPr>
          <w:rFonts w:ascii="Times" w:hAnsi="Times"/>
        </w:rPr>
      </w:pPr>
      <w:r w:rsidRPr="00C421E4">
        <w:rPr>
          <w:rFonts w:ascii="Times" w:hAnsi="Times"/>
        </w:rPr>
        <w:t xml:space="preserve">Lipton, M. L., Gellella, E., Lo, C., Gold, T., Ardekani, B. a, Shifteh, K., … Branch, C. a. (2008). Multifocal white matter ultrastructural abnormalities in mild traumatic brain injury with cognitive disability: a voxel-wise analysis of diffusion tensor imaging. </w:t>
      </w:r>
      <w:r w:rsidRPr="00C421E4">
        <w:rPr>
          <w:rFonts w:ascii="Times" w:hAnsi="Times"/>
          <w:i/>
          <w:iCs/>
        </w:rPr>
        <w:t>Journal of Neurotrauma</w:t>
      </w:r>
      <w:r w:rsidRPr="00C421E4">
        <w:rPr>
          <w:rFonts w:ascii="Times" w:hAnsi="Times"/>
        </w:rPr>
        <w:t xml:space="preserve">, </w:t>
      </w:r>
      <w:r w:rsidRPr="00C421E4">
        <w:rPr>
          <w:rFonts w:ascii="Times" w:hAnsi="Times"/>
          <w:i/>
          <w:iCs/>
        </w:rPr>
        <w:t>25</w:t>
      </w:r>
      <w:r w:rsidRPr="00C421E4">
        <w:rPr>
          <w:rFonts w:ascii="Times" w:hAnsi="Times"/>
        </w:rPr>
        <w:t>(11), 1335–1342. https://doi.org/10.1089/neu.2008.0547</w:t>
      </w:r>
    </w:p>
    <w:p w14:paraId="191A6687" w14:textId="77777777" w:rsidR="00F7044C" w:rsidRPr="006078DE" w:rsidRDefault="00F7044C" w:rsidP="00F7044C"/>
    <w:p w14:paraId="24DC0C1B" w14:textId="77777777" w:rsidR="00F7044C" w:rsidRDefault="00F7044C" w:rsidP="00F7044C">
      <w:pPr>
        <w:pStyle w:val="Bibliography"/>
        <w:rPr>
          <w:rFonts w:ascii="Times" w:hAnsi="Times"/>
        </w:rPr>
      </w:pPr>
      <w:r w:rsidRPr="00C421E4">
        <w:rPr>
          <w:rFonts w:ascii="Times" w:hAnsi="Times"/>
        </w:rPr>
        <w:t xml:space="preserve">Lipton, M. L., Gulko, E., Zimmerman, M. E., Friedman, B. W., Kim, M., Gellella, E., … Branch, C. A. (2009). Diffusion-tensor imaging implicates prefrontal axonal injury in executive function impairment following very mild traumatic brain injury. </w:t>
      </w:r>
      <w:r w:rsidRPr="00C421E4">
        <w:rPr>
          <w:rFonts w:ascii="Times" w:hAnsi="Times"/>
          <w:i/>
          <w:iCs/>
        </w:rPr>
        <w:t>Radiology</w:t>
      </w:r>
      <w:r w:rsidRPr="00C421E4">
        <w:rPr>
          <w:rFonts w:ascii="Times" w:hAnsi="Times"/>
        </w:rPr>
        <w:t xml:space="preserve">, </w:t>
      </w:r>
      <w:r w:rsidRPr="00C421E4">
        <w:rPr>
          <w:rFonts w:ascii="Times" w:hAnsi="Times"/>
          <w:i/>
          <w:iCs/>
        </w:rPr>
        <w:t>252</w:t>
      </w:r>
      <w:r w:rsidRPr="00C421E4">
        <w:rPr>
          <w:rFonts w:ascii="Times" w:hAnsi="Times"/>
        </w:rPr>
        <w:t>(3), 816–24. https://doi.org/10.1148/radiol.2523081584</w:t>
      </w:r>
    </w:p>
    <w:p w14:paraId="28C93117" w14:textId="77777777" w:rsidR="00F7044C" w:rsidRPr="006078DE" w:rsidRDefault="00F7044C" w:rsidP="00F7044C"/>
    <w:p w14:paraId="496D0B8F" w14:textId="77777777" w:rsidR="00F7044C" w:rsidRDefault="00F7044C" w:rsidP="00F7044C">
      <w:pPr>
        <w:pStyle w:val="Bibliography"/>
        <w:rPr>
          <w:rFonts w:ascii="Times" w:hAnsi="Times"/>
        </w:rPr>
      </w:pPr>
      <w:r w:rsidRPr="00C421E4">
        <w:rPr>
          <w:rFonts w:ascii="Times" w:hAnsi="Times"/>
        </w:rPr>
        <w:t xml:space="preserve">Lo, C., Shifteh, K., Gold, T., Bello, J. A., &amp; Lipton, M. L. (2009). Diffusion tensor imaging abnormalities in patients with mild traumatic brain injury and neurocognitive impairment. </w:t>
      </w:r>
      <w:r w:rsidRPr="00C421E4">
        <w:rPr>
          <w:rFonts w:ascii="Times" w:hAnsi="Times"/>
          <w:i/>
          <w:iCs/>
        </w:rPr>
        <w:t>J Comput Assist Tomogr</w:t>
      </w:r>
      <w:r w:rsidRPr="00C421E4">
        <w:rPr>
          <w:rFonts w:ascii="Times" w:hAnsi="Times"/>
        </w:rPr>
        <w:t xml:space="preserve">, </w:t>
      </w:r>
      <w:r w:rsidRPr="00C421E4">
        <w:rPr>
          <w:rFonts w:ascii="Times" w:hAnsi="Times"/>
          <w:i/>
          <w:iCs/>
        </w:rPr>
        <w:t>33</w:t>
      </w:r>
      <w:r w:rsidRPr="00C421E4">
        <w:rPr>
          <w:rFonts w:ascii="Times" w:hAnsi="Times"/>
        </w:rPr>
        <w:t>, 293–297. https://doi.org/10.1097/RCT.0b013e31817579d1</w:t>
      </w:r>
    </w:p>
    <w:p w14:paraId="77613C5F" w14:textId="77777777" w:rsidR="00F7044C" w:rsidRPr="006078DE" w:rsidRDefault="00F7044C" w:rsidP="00F7044C"/>
    <w:p w14:paraId="6855F707" w14:textId="77777777" w:rsidR="00F7044C" w:rsidRDefault="00F7044C" w:rsidP="00F7044C">
      <w:pPr>
        <w:pStyle w:val="Bibliography"/>
        <w:rPr>
          <w:rFonts w:ascii="Times" w:hAnsi="Times"/>
        </w:rPr>
      </w:pPr>
      <w:r w:rsidRPr="00C421E4">
        <w:rPr>
          <w:rFonts w:ascii="Times" w:hAnsi="Times"/>
        </w:rPr>
        <w:t xml:space="preserve">Loudon, A. I., Ihara, N., &amp; Menaker, M. (1998). Effects of a circadian mutation on seasonality in Syrian hamsters (Mesocricetus auratus). </w:t>
      </w:r>
      <w:r w:rsidRPr="00C421E4">
        <w:rPr>
          <w:rFonts w:ascii="Times" w:hAnsi="Times"/>
          <w:i/>
          <w:iCs/>
        </w:rPr>
        <w:t>Proceedings of the Royal Society of London B: Biological Sciences</w:t>
      </w:r>
      <w:r w:rsidRPr="00C421E4">
        <w:rPr>
          <w:rFonts w:ascii="Times" w:hAnsi="Times"/>
        </w:rPr>
        <w:t xml:space="preserve">, </w:t>
      </w:r>
      <w:r w:rsidRPr="00C421E4">
        <w:rPr>
          <w:rFonts w:ascii="Times" w:hAnsi="Times"/>
          <w:i/>
          <w:iCs/>
        </w:rPr>
        <w:t>265</w:t>
      </w:r>
      <w:r w:rsidRPr="00C421E4">
        <w:rPr>
          <w:rFonts w:ascii="Times" w:hAnsi="Times"/>
        </w:rPr>
        <w:t>(2395), 517–521.</w:t>
      </w:r>
    </w:p>
    <w:p w14:paraId="44F2C4C0" w14:textId="77777777" w:rsidR="00F7044C" w:rsidRPr="006078DE" w:rsidRDefault="00F7044C" w:rsidP="00F7044C"/>
    <w:p w14:paraId="3072C13C" w14:textId="77777777" w:rsidR="00F7044C" w:rsidRDefault="00F7044C" w:rsidP="00F7044C">
      <w:pPr>
        <w:pStyle w:val="Bibliography"/>
        <w:rPr>
          <w:rFonts w:ascii="Times" w:hAnsi="Times"/>
        </w:rPr>
      </w:pPr>
      <w:r w:rsidRPr="00C421E4">
        <w:rPr>
          <w:rFonts w:ascii="Times" w:hAnsi="Times"/>
        </w:rPr>
        <w:t xml:space="preserve">Lowenstein, D. H., Thomas, M. J., Smith, D. H., &amp; McIntosh, T. K. (1992). Selective vulnerability of dentate hilar neurons following traumatic brain injury: a potential mechanistic link between head trauma and disorders of the hippocampus. </w:t>
      </w:r>
      <w:r w:rsidRPr="00C421E4">
        <w:rPr>
          <w:rFonts w:ascii="Times" w:hAnsi="Times"/>
          <w:i/>
          <w:iCs/>
        </w:rPr>
        <w:t>The Journal of Neuroscience: The Official Journal of the Society for Neuroscience</w:t>
      </w:r>
      <w:r w:rsidRPr="00C421E4">
        <w:rPr>
          <w:rFonts w:ascii="Times" w:hAnsi="Times"/>
        </w:rPr>
        <w:t xml:space="preserve">, </w:t>
      </w:r>
      <w:r w:rsidRPr="00C421E4">
        <w:rPr>
          <w:rFonts w:ascii="Times" w:hAnsi="Times"/>
          <w:i/>
          <w:iCs/>
        </w:rPr>
        <w:t>12</w:t>
      </w:r>
      <w:r w:rsidRPr="00C421E4">
        <w:rPr>
          <w:rFonts w:ascii="Times" w:hAnsi="Times"/>
        </w:rPr>
        <w:t>(12), 4846–4853.</w:t>
      </w:r>
    </w:p>
    <w:p w14:paraId="3D6BD936" w14:textId="77777777" w:rsidR="00F7044C" w:rsidRPr="006078DE" w:rsidRDefault="00F7044C" w:rsidP="00F7044C"/>
    <w:p w14:paraId="6D78D238" w14:textId="77777777" w:rsidR="00F7044C" w:rsidRDefault="00F7044C" w:rsidP="00F7044C">
      <w:pPr>
        <w:pStyle w:val="Bibliography"/>
        <w:rPr>
          <w:rFonts w:ascii="Times" w:hAnsi="Times"/>
        </w:rPr>
      </w:pPr>
      <w:r w:rsidRPr="00C421E4">
        <w:rPr>
          <w:rFonts w:ascii="Times" w:hAnsi="Times"/>
        </w:rPr>
        <w:t xml:space="preserve">Mäki-Marttunen, V., Kuusinen, V., Brause, M., Peräkylä, J., Polvivaara, M., dos Santos Ribeiro, R., … Hartikainen, K. M. (2015). Enhanced attention capture by emotional stimuli in mild traumatic brain injury. </w:t>
      </w:r>
      <w:r w:rsidRPr="00C421E4">
        <w:rPr>
          <w:rFonts w:ascii="Times" w:hAnsi="Times"/>
          <w:i/>
          <w:iCs/>
        </w:rPr>
        <w:t>Journal of Neurotrauma</w:t>
      </w:r>
      <w:r w:rsidRPr="00C421E4">
        <w:rPr>
          <w:rFonts w:ascii="Times" w:hAnsi="Times"/>
        </w:rPr>
        <w:t xml:space="preserve">, </w:t>
      </w:r>
      <w:r w:rsidRPr="00C421E4">
        <w:rPr>
          <w:rFonts w:ascii="Times" w:hAnsi="Times"/>
          <w:i/>
          <w:iCs/>
        </w:rPr>
        <w:t>32</w:t>
      </w:r>
      <w:r w:rsidRPr="00C421E4">
        <w:rPr>
          <w:rFonts w:ascii="Times" w:hAnsi="Times"/>
        </w:rPr>
        <w:t>(4), 272–279.</w:t>
      </w:r>
    </w:p>
    <w:p w14:paraId="4F2593DF" w14:textId="77777777" w:rsidR="00F7044C" w:rsidRPr="006078DE" w:rsidRDefault="00F7044C" w:rsidP="00F7044C"/>
    <w:p w14:paraId="6FA6B0A5" w14:textId="77777777" w:rsidR="00F7044C" w:rsidRDefault="00F7044C" w:rsidP="00F7044C">
      <w:pPr>
        <w:pStyle w:val="Bibliography"/>
        <w:rPr>
          <w:rFonts w:ascii="Times" w:hAnsi="Times"/>
        </w:rPr>
      </w:pPr>
      <w:r w:rsidRPr="00C421E4">
        <w:rPr>
          <w:rFonts w:ascii="Times" w:hAnsi="Times"/>
        </w:rPr>
        <w:lastRenderedPageBreak/>
        <w:t>Manber, R., Allen, J.</w:t>
      </w:r>
      <w:r>
        <w:rPr>
          <w:rFonts w:ascii="Times" w:hAnsi="Times"/>
        </w:rPr>
        <w:t xml:space="preserve"> J., Burton, K., &amp; Kaszniak, </w:t>
      </w:r>
      <w:r w:rsidRPr="00C421E4">
        <w:rPr>
          <w:rFonts w:ascii="Times" w:hAnsi="Times"/>
        </w:rPr>
        <w:t xml:space="preserve">W. (2000). Valence-dependent modulation of psychophysiological measures: is there consistency across repeated testing? </w:t>
      </w:r>
      <w:r w:rsidRPr="00C421E4">
        <w:rPr>
          <w:rFonts w:ascii="Times" w:hAnsi="Times"/>
          <w:i/>
          <w:iCs/>
        </w:rPr>
        <w:t>Psychophysiology</w:t>
      </w:r>
      <w:r w:rsidRPr="00C421E4">
        <w:rPr>
          <w:rFonts w:ascii="Times" w:hAnsi="Times"/>
        </w:rPr>
        <w:t xml:space="preserve">, </w:t>
      </w:r>
      <w:r w:rsidRPr="00C421E4">
        <w:rPr>
          <w:rFonts w:ascii="Times" w:hAnsi="Times"/>
          <w:i/>
          <w:iCs/>
        </w:rPr>
        <w:t>37</w:t>
      </w:r>
      <w:r w:rsidRPr="00C421E4">
        <w:rPr>
          <w:rFonts w:ascii="Times" w:hAnsi="Times"/>
        </w:rPr>
        <w:t>(5), 683–692. https://doi.org/10.1017/S0048577200981654</w:t>
      </w:r>
    </w:p>
    <w:p w14:paraId="68D39397" w14:textId="77777777" w:rsidR="00F7044C" w:rsidRPr="006078DE" w:rsidRDefault="00F7044C" w:rsidP="00F7044C"/>
    <w:p w14:paraId="17D1E631" w14:textId="77777777" w:rsidR="00F7044C" w:rsidRPr="00C421E4" w:rsidRDefault="00F7044C" w:rsidP="00F7044C">
      <w:pPr>
        <w:pStyle w:val="Bibliography"/>
        <w:rPr>
          <w:rFonts w:ascii="Times" w:hAnsi="Times"/>
        </w:rPr>
      </w:pPr>
      <w:r w:rsidRPr="00C421E4">
        <w:rPr>
          <w:rFonts w:ascii="Times" w:hAnsi="Times"/>
        </w:rPr>
        <w:t xml:space="preserve">Manber, R., Edinger, J. D., Gress, J. L., San Pedro-Salcedo, M. G., Kuo, T. F., &amp; Kalista, T. (2008). Cognitive behavioral therapy for insomnia enhances depression outcome in patients with comorbid major depressive disorder and insomnia. </w:t>
      </w:r>
      <w:r w:rsidRPr="00C421E4">
        <w:rPr>
          <w:rFonts w:ascii="Times" w:hAnsi="Times"/>
          <w:i/>
          <w:iCs/>
        </w:rPr>
        <w:t>Sleep</w:t>
      </w:r>
      <w:r w:rsidRPr="00C421E4">
        <w:rPr>
          <w:rFonts w:ascii="Times" w:hAnsi="Times"/>
        </w:rPr>
        <w:t xml:space="preserve">, </w:t>
      </w:r>
      <w:r w:rsidRPr="00C421E4">
        <w:rPr>
          <w:rFonts w:ascii="Times" w:hAnsi="Times"/>
          <w:i/>
          <w:iCs/>
        </w:rPr>
        <w:t>31</w:t>
      </w:r>
      <w:r w:rsidRPr="00C421E4">
        <w:rPr>
          <w:rFonts w:ascii="Times" w:hAnsi="Times"/>
        </w:rPr>
        <w:t>(4), 489–495.</w:t>
      </w:r>
    </w:p>
    <w:p w14:paraId="6A78B393" w14:textId="77777777" w:rsidR="00F7044C" w:rsidRDefault="00F7044C" w:rsidP="00F7044C">
      <w:pPr>
        <w:pStyle w:val="Bibliography"/>
        <w:rPr>
          <w:rFonts w:ascii="Times" w:hAnsi="Times"/>
        </w:rPr>
      </w:pPr>
      <w:r w:rsidRPr="00C421E4">
        <w:rPr>
          <w:rFonts w:ascii="Times" w:hAnsi="Times"/>
        </w:rPr>
        <w:t xml:space="preserve">Mander, B. A., Marks, S. M., Vogel, J. W., Rao, V., Lu, B., Saletin, J. M., &amp; Walker, M. P. (2015). β-amyloid disrupts human NREM slow waves and related hippocampus-dependent memory consolidation. </w:t>
      </w:r>
      <w:r w:rsidRPr="00C421E4">
        <w:rPr>
          <w:rFonts w:ascii="Times" w:hAnsi="Times"/>
          <w:i/>
          <w:iCs/>
        </w:rPr>
        <w:t>Nature Neuroscience</w:t>
      </w:r>
      <w:r w:rsidRPr="00C421E4">
        <w:rPr>
          <w:rFonts w:ascii="Times" w:hAnsi="Times"/>
        </w:rPr>
        <w:t xml:space="preserve">, </w:t>
      </w:r>
      <w:r w:rsidRPr="00C421E4">
        <w:rPr>
          <w:rFonts w:ascii="Times" w:hAnsi="Times"/>
          <w:i/>
          <w:iCs/>
        </w:rPr>
        <w:t>In Press</w:t>
      </w:r>
      <w:r w:rsidRPr="00C421E4">
        <w:rPr>
          <w:rFonts w:ascii="Times" w:hAnsi="Times"/>
        </w:rPr>
        <w:t>.</w:t>
      </w:r>
    </w:p>
    <w:p w14:paraId="338DFD13" w14:textId="77777777" w:rsidR="00F7044C" w:rsidRPr="006078DE" w:rsidRDefault="00F7044C" w:rsidP="00F7044C"/>
    <w:p w14:paraId="6932803E" w14:textId="77777777" w:rsidR="00F7044C" w:rsidRDefault="00F7044C" w:rsidP="00F7044C">
      <w:pPr>
        <w:pStyle w:val="Bibliography"/>
        <w:rPr>
          <w:rFonts w:ascii="Times" w:hAnsi="Times"/>
        </w:rPr>
      </w:pPr>
      <w:r w:rsidRPr="00C421E4">
        <w:rPr>
          <w:rFonts w:ascii="Times" w:hAnsi="Times"/>
        </w:rPr>
        <w:t>Mantua, J., Grillakis, A., Mahfouz, S., Taylor, M., Brager, A., Yarnell, A. M.</w:t>
      </w:r>
      <w:r>
        <w:rPr>
          <w:rFonts w:ascii="Times" w:hAnsi="Times"/>
        </w:rPr>
        <w:t>, … Simonelli, G. (2017</w:t>
      </w:r>
      <w:r w:rsidRPr="00C421E4">
        <w:rPr>
          <w:rFonts w:ascii="Times" w:hAnsi="Times"/>
        </w:rPr>
        <w:t>). Sleep architecture following traumatic brain injury: a systematic review and meta-analysis</w:t>
      </w:r>
      <w:r>
        <w:rPr>
          <w:rFonts w:ascii="Times" w:hAnsi="Times"/>
        </w:rPr>
        <w:t xml:space="preserve"> [</w:t>
      </w:r>
      <w:r w:rsidRPr="006078DE">
        <w:rPr>
          <w:rFonts w:ascii="Times" w:hAnsi="Times"/>
          <w:i/>
        </w:rPr>
        <w:t>In Press</w:t>
      </w:r>
      <w:r>
        <w:rPr>
          <w:rFonts w:ascii="Times" w:hAnsi="Times"/>
        </w:rPr>
        <w:t>]</w:t>
      </w:r>
      <w:r w:rsidRPr="00C421E4">
        <w:rPr>
          <w:rFonts w:ascii="Times" w:hAnsi="Times"/>
        </w:rPr>
        <w:t>.</w:t>
      </w:r>
    </w:p>
    <w:p w14:paraId="516EA928" w14:textId="77777777" w:rsidR="00F7044C" w:rsidRPr="006078DE" w:rsidRDefault="00F7044C" w:rsidP="00F7044C"/>
    <w:p w14:paraId="1D5C4D2F" w14:textId="77777777" w:rsidR="00F7044C" w:rsidRDefault="00F7044C" w:rsidP="00F7044C">
      <w:pPr>
        <w:pStyle w:val="Bibliography"/>
        <w:rPr>
          <w:rFonts w:ascii="Times" w:hAnsi="Times"/>
        </w:rPr>
      </w:pPr>
      <w:r w:rsidRPr="00C421E4">
        <w:rPr>
          <w:rFonts w:ascii="Times" w:hAnsi="Times"/>
        </w:rPr>
        <w:t xml:space="preserve">Mantua, J., Henry, O., Garskovas, N., &amp; Spencer, R. M. C. (2017). Mild Traumatic Brain Injury Chronically Impacts Sleep-dependent Emotional Processing. </w:t>
      </w:r>
      <w:r w:rsidRPr="00C421E4">
        <w:rPr>
          <w:rFonts w:ascii="Times" w:hAnsi="Times"/>
          <w:i/>
          <w:iCs/>
        </w:rPr>
        <w:t>Sleep</w:t>
      </w:r>
      <w:r w:rsidRPr="00C421E4">
        <w:rPr>
          <w:rFonts w:ascii="Times" w:hAnsi="Times"/>
        </w:rPr>
        <w:t xml:space="preserve">, </w:t>
      </w:r>
      <w:r w:rsidRPr="00C421E4">
        <w:rPr>
          <w:rFonts w:ascii="Times" w:hAnsi="Times"/>
          <w:i/>
          <w:iCs/>
        </w:rPr>
        <w:t>40</w:t>
      </w:r>
      <w:r w:rsidRPr="00C421E4">
        <w:rPr>
          <w:rFonts w:ascii="Times" w:hAnsi="Times"/>
        </w:rPr>
        <w:t>(6), zsx062.</w:t>
      </w:r>
    </w:p>
    <w:p w14:paraId="7909BBE5" w14:textId="77777777" w:rsidR="00F7044C" w:rsidRPr="006078DE" w:rsidRDefault="00F7044C" w:rsidP="00F7044C"/>
    <w:p w14:paraId="057A2666" w14:textId="77777777" w:rsidR="00F7044C" w:rsidRDefault="00F7044C" w:rsidP="00F7044C">
      <w:pPr>
        <w:pStyle w:val="Bibliography"/>
        <w:rPr>
          <w:rFonts w:ascii="Times" w:hAnsi="Times"/>
        </w:rPr>
      </w:pPr>
      <w:r w:rsidRPr="00C421E4">
        <w:rPr>
          <w:rFonts w:ascii="Times" w:hAnsi="Times"/>
        </w:rPr>
        <w:t xml:space="preserve">Mantua, J., Mahan, K., Henry, O., &amp; Spencer, R. M. C. (2015). Altered sleep composition after traumatic brain injury does not affect declarative sleep-dependent memory consolidation. </w:t>
      </w:r>
      <w:r w:rsidRPr="00C421E4">
        <w:rPr>
          <w:rFonts w:ascii="Times" w:hAnsi="Times"/>
          <w:i/>
          <w:iCs/>
        </w:rPr>
        <w:t>Frontiers in Human Neuroscience</w:t>
      </w:r>
      <w:r w:rsidRPr="00C421E4">
        <w:rPr>
          <w:rFonts w:ascii="Times" w:hAnsi="Times"/>
        </w:rPr>
        <w:t xml:space="preserve">, </w:t>
      </w:r>
      <w:r w:rsidRPr="00C421E4">
        <w:rPr>
          <w:rFonts w:ascii="Times" w:hAnsi="Times"/>
          <w:i/>
          <w:iCs/>
        </w:rPr>
        <w:t>9</w:t>
      </w:r>
      <w:r w:rsidRPr="00C421E4">
        <w:rPr>
          <w:rFonts w:ascii="Times" w:hAnsi="Times"/>
        </w:rPr>
        <w:t>(328), 379. https://doi.org/10.3389/fnhum.2015.00379</w:t>
      </w:r>
    </w:p>
    <w:p w14:paraId="3A1FC13D" w14:textId="77777777" w:rsidR="00F7044C" w:rsidRPr="006078DE" w:rsidRDefault="00F7044C" w:rsidP="00F7044C"/>
    <w:p w14:paraId="6F45251D" w14:textId="77777777" w:rsidR="00F7044C" w:rsidRDefault="00F7044C" w:rsidP="00F7044C">
      <w:pPr>
        <w:pStyle w:val="Bibliography"/>
        <w:rPr>
          <w:rFonts w:ascii="Times" w:hAnsi="Times"/>
        </w:rPr>
      </w:pPr>
      <w:r w:rsidRPr="00C421E4">
        <w:rPr>
          <w:rFonts w:ascii="Times" w:hAnsi="Times"/>
        </w:rPr>
        <w:t xml:space="preserve">Martindale, S. L., Farrell-Carnahan, L. V., Ulmer, C. S., Kimbrel, N. A., McDonald, S. D., &amp; Rowland, J. A. (2017). Sleep quality in returning veterans: the influence of mild traumatic brain injury. </w:t>
      </w:r>
      <w:r w:rsidRPr="00C421E4">
        <w:rPr>
          <w:rFonts w:ascii="Times" w:hAnsi="Times"/>
          <w:i/>
          <w:iCs/>
        </w:rPr>
        <w:t>Rehabilitation Psychology</w:t>
      </w:r>
      <w:r w:rsidRPr="00C421E4">
        <w:rPr>
          <w:rFonts w:ascii="Times" w:hAnsi="Times"/>
        </w:rPr>
        <w:t>.</w:t>
      </w:r>
    </w:p>
    <w:p w14:paraId="4AADAF36" w14:textId="77777777" w:rsidR="00F7044C" w:rsidRPr="006078DE" w:rsidRDefault="00F7044C" w:rsidP="00F7044C"/>
    <w:p w14:paraId="04279731" w14:textId="77777777" w:rsidR="00F7044C" w:rsidRDefault="00F7044C" w:rsidP="00F7044C">
      <w:pPr>
        <w:pStyle w:val="Bibliography"/>
        <w:rPr>
          <w:rFonts w:ascii="Times" w:hAnsi="Times"/>
        </w:rPr>
      </w:pPr>
      <w:r w:rsidRPr="00C421E4">
        <w:rPr>
          <w:rFonts w:ascii="Times" w:hAnsi="Times"/>
        </w:rPr>
        <w:t xml:space="preserve">McGaugh, J. L. (2004). The amygdala modulates the consolidation of memories of emotionally arousing experiences. </w:t>
      </w:r>
      <w:r w:rsidRPr="00C421E4">
        <w:rPr>
          <w:rFonts w:ascii="Times" w:hAnsi="Times"/>
          <w:i/>
          <w:iCs/>
        </w:rPr>
        <w:t>Annual Review of Neuroscience</w:t>
      </w:r>
      <w:r w:rsidRPr="00C421E4">
        <w:rPr>
          <w:rFonts w:ascii="Times" w:hAnsi="Times"/>
        </w:rPr>
        <w:t xml:space="preserve">, </w:t>
      </w:r>
      <w:r w:rsidRPr="00C421E4">
        <w:rPr>
          <w:rFonts w:ascii="Times" w:hAnsi="Times"/>
          <w:i/>
          <w:iCs/>
        </w:rPr>
        <w:t>27</w:t>
      </w:r>
      <w:r w:rsidRPr="00C421E4">
        <w:rPr>
          <w:rFonts w:ascii="Times" w:hAnsi="Times"/>
        </w:rPr>
        <w:t>, 1–28. https://doi.org/10.1146/annurev.neuro.27.070203.144157</w:t>
      </w:r>
    </w:p>
    <w:p w14:paraId="7DDFEDD7" w14:textId="77777777" w:rsidR="00F7044C" w:rsidRPr="006078DE" w:rsidRDefault="00F7044C" w:rsidP="00F7044C"/>
    <w:p w14:paraId="12B45668" w14:textId="77777777" w:rsidR="00F7044C" w:rsidRDefault="00F7044C" w:rsidP="00F7044C">
      <w:pPr>
        <w:pStyle w:val="Bibliography"/>
        <w:rPr>
          <w:rFonts w:ascii="Times" w:hAnsi="Times"/>
        </w:rPr>
      </w:pPr>
      <w:r w:rsidRPr="00C421E4">
        <w:rPr>
          <w:rFonts w:ascii="Times" w:hAnsi="Times"/>
        </w:rPr>
        <w:t xml:space="preserve">Mellman, T. a, Bustamante, V., Fins, A. I., Pigeon, W. R., &amp; Nolan, B. (2002). REM sleep and the early development of posttraumatic stress disorder. </w:t>
      </w:r>
      <w:r w:rsidRPr="00C421E4">
        <w:rPr>
          <w:rFonts w:ascii="Times" w:hAnsi="Times"/>
          <w:i/>
          <w:iCs/>
        </w:rPr>
        <w:t>The American Journal of Psychiatry</w:t>
      </w:r>
      <w:r w:rsidRPr="00C421E4">
        <w:rPr>
          <w:rFonts w:ascii="Times" w:hAnsi="Times"/>
        </w:rPr>
        <w:t xml:space="preserve">, </w:t>
      </w:r>
      <w:r w:rsidRPr="00C421E4">
        <w:rPr>
          <w:rFonts w:ascii="Times" w:hAnsi="Times"/>
          <w:i/>
          <w:iCs/>
        </w:rPr>
        <w:t>159</w:t>
      </w:r>
      <w:r w:rsidRPr="00C421E4">
        <w:rPr>
          <w:rFonts w:ascii="Times" w:hAnsi="Times"/>
        </w:rPr>
        <w:t>(10), 1696–701. https://doi.org/10.1176/appi.ajp.159.10.1696</w:t>
      </w:r>
    </w:p>
    <w:p w14:paraId="2B638CA7" w14:textId="77777777" w:rsidR="00F7044C" w:rsidRPr="006078DE" w:rsidRDefault="00F7044C" w:rsidP="00F7044C"/>
    <w:p w14:paraId="2517B757" w14:textId="77777777" w:rsidR="00F7044C" w:rsidRDefault="00F7044C" w:rsidP="00F7044C">
      <w:pPr>
        <w:pStyle w:val="Bibliography"/>
        <w:rPr>
          <w:rFonts w:ascii="Times" w:hAnsi="Times"/>
        </w:rPr>
      </w:pPr>
      <w:r w:rsidRPr="00C421E4">
        <w:rPr>
          <w:rFonts w:ascii="Times" w:hAnsi="Times"/>
        </w:rPr>
        <w:t xml:space="preserve">Menon, D. K., Schwab, K., Wright, D. W., &amp; Maas, A. I. (2010). Position statement: Definition of traumatic brain injury. </w:t>
      </w:r>
      <w:r w:rsidRPr="00C421E4">
        <w:rPr>
          <w:rFonts w:ascii="Times" w:hAnsi="Times"/>
          <w:i/>
          <w:iCs/>
        </w:rPr>
        <w:t>Archives of Physical Medicine and Rehabilitation</w:t>
      </w:r>
      <w:r w:rsidRPr="00C421E4">
        <w:rPr>
          <w:rFonts w:ascii="Times" w:hAnsi="Times"/>
        </w:rPr>
        <w:t>. https://doi.org/10.1016/j.apmr.2010.05.017</w:t>
      </w:r>
    </w:p>
    <w:p w14:paraId="19E141D3" w14:textId="77777777" w:rsidR="00F7044C" w:rsidRPr="002A7951" w:rsidRDefault="00F7044C" w:rsidP="00F7044C"/>
    <w:p w14:paraId="71A6FE7C" w14:textId="77777777" w:rsidR="00F7044C" w:rsidRDefault="00F7044C" w:rsidP="00F7044C">
      <w:pPr>
        <w:pStyle w:val="Bibliography"/>
        <w:rPr>
          <w:rFonts w:ascii="Times" w:hAnsi="Times"/>
        </w:rPr>
      </w:pPr>
      <w:r w:rsidRPr="00C421E4">
        <w:rPr>
          <w:rFonts w:ascii="Times" w:hAnsi="Times"/>
        </w:rPr>
        <w:lastRenderedPageBreak/>
        <w:t xml:space="preserve">Michielse, S., Coupland, N., Camicioli, R., Carter, R., Seres, P., Sabino, J., &amp; Malykhin, N. (2010). Selective effects of aging on brain white matter microstructure: a diffusion tensor imaging tractography study. </w:t>
      </w:r>
      <w:r w:rsidRPr="00C421E4">
        <w:rPr>
          <w:rFonts w:ascii="Times" w:hAnsi="Times"/>
          <w:i/>
          <w:iCs/>
        </w:rPr>
        <w:t>NeuroImage</w:t>
      </w:r>
      <w:r w:rsidRPr="00C421E4">
        <w:rPr>
          <w:rFonts w:ascii="Times" w:hAnsi="Times"/>
        </w:rPr>
        <w:t xml:space="preserve">, </w:t>
      </w:r>
      <w:r w:rsidRPr="00C421E4">
        <w:rPr>
          <w:rFonts w:ascii="Times" w:hAnsi="Times"/>
          <w:i/>
          <w:iCs/>
        </w:rPr>
        <w:t>52</w:t>
      </w:r>
      <w:r w:rsidRPr="00C421E4">
        <w:rPr>
          <w:rFonts w:ascii="Times" w:hAnsi="Times"/>
        </w:rPr>
        <w:t>(4), 1190–1201.</w:t>
      </w:r>
    </w:p>
    <w:p w14:paraId="2E7DDC26" w14:textId="77777777" w:rsidR="00F7044C" w:rsidRPr="002A7951" w:rsidRDefault="00F7044C" w:rsidP="00F7044C"/>
    <w:p w14:paraId="2D737672" w14:textId="77777777" w:rsidR="00F7044C" w:rsidRDefault="00F7044C" w:rsidP="00F7044C">
      <w:pPr>
        <w:pStyle w:val="Bibliography"/>
        <w:rPr>
          <w:rFonts w:ascii="Times" w:hAnsi="Times"/>
        </w:rPr>
      </w:pPr>
      <w:r w:rsidRPr="00C421E4">
        <w:rPr>
          <w:rFonts w:ascii="Times" w:hAnsi="Times"/>
        </w:rPr>
        <w:t xml:space="preserve">Miller, D. J., Duka, T., Stimpson, C. D., Schapiro, S. J., Baze, W. B., McArthur, M. J., … Sherwood, C. C. (2012). Prolonged myelination in human neocortical evolution. </w:t>
      </w:r>
      <w:r w:rsidRPr="00C421E4">
        <w:rPr>
          <w:rFonts w:ascii="Times" w:hAnsi="Times"/>
          <w:i/>
          <w:iCs/>
        </w:rPr>
        <w:t>Proceedings of the National Academy of Sciences of the United States of America</w:t>
      </w:r>
      <w:r w:rsidRPr="00C421E4">
        <w:rPr>
          <w:rFonts w:ascii="Times" w:hAnsi="Times"/>
        </w:rPr>
        <w:t xml:space="preserve">, </w:t>
      </w:r>
      <w:r w:rsidRPr="00C421E4">
        <w:rPr>
          <w:rFonts w:ascii="Times" w:hAnsi="Times"/>
          <w:i/>
          <w:iCs/>
        </w:rPr>
        <w:t>109</w:t>
      </w:r>
      <w:r w:rsidRPr="00C421E4">
        <w:rPr>
          <w:rFonts w:ascii="Times" w:hAnsi="Times"/>
        </w:rPr>
        <w:t>(41), 16480–5. https://doi.org/10.1073/pnas.1117943109</w:t>
      </w:r>
    </w:p>
    <w:p w14:paraId="4193C8AF" w14:textId="77777777" w:rsidR="00F7044C" w:rsidRPr="002A7951" w:rsidRDefault="00F7044C" w:rsidP="00F7044C"/>
    <w:p w14:paraId="5D86B02C" w14:textId="77777777" w:rsidR="00F7044C" w:rsidRPr="00C421E4" w:rsidRDefault="00F7044C" w:rsidP="00F7044C">
      <w:pPr>
        <w:pStyle w:val="Bibliography"/>
        <w:rPr>
          <w:rFonts w:ascii="Times" w:hAnsi="Times"/>
        </w:rPr>
      </w:pPr>
      <w:r w:rsidRPr="00C421E4">
        <w:rPr>
          <w:rFonts w:ascii="Times" w:hAnsi="Times"/>
        </w:rPr>
        <w:t xml:space="preserve">Millman, R. P. (2005). Excessive sleepiness in adolescents and young adults: causes, consequences, and treatment strategies. </w:t>
      </w:r>
      <w:r w:rsidRPr="00C421E4">
        <w:rPr>
          <w:rFonts w:ascii="Times" w:hAnsi="Times"/>
          <w:i/>
          <w:iCs/>
        </w:rPr>
        <w:t>Pediatrics</w:t>
      </w:r>
      <w:r w:rsidRPr="00C421E4">
        <w:rPr>
          <w:rFonts w:ascii="Times" w:hAnsi="Times"/>
        </w:rPr>
        <w:t xml:space="preserve">, </w:t>
      </w:r>
      <w:r w:rsidRPr="00C421E4">
        <w:rPr>
          <w:rFonts w:ascii="Times" w:hAnsi="Times"/>
          <w:i/>
          <w:iCs/>
        </w:rPr>
        <w:t>115</w:t>
      </w:r>
      <w:r w:rsidRPr="00C421E4">
        <w:rPr>
          <w:rFonts w:ascii="Times" w:hAnsi="Times"/>
        </w:rPr>
        <w:t>(6), 1774–86. https://doi.org/10.1542/peds.2005-0772</w:t>
      </w:r>
    </w:p>
    <w:p w14:paraId="13217695" w14:textId="77777777" w:rsidR="00F7044C" w:rsidRDefault="00F7044C" w:rsidP="00F7044C">
      <w:pPr>
        <w:pStyle w:val="Bibliography"/>
        <w:rPr>
          <w:rFonts w:ascii="Times" w:hAnsi="Times"/>
        </w:rPr>
      </w:pPr>
      <w:r w:rsidRPr="00C421E4">
        <w:rPr>
          <w:rFonts w:ascii="Times" w:hAnsi="Times"/>
        </w:rPr>
        <w:t xml:space="preserve">Modarres, M. H., Kuzma, N. N., Kretzmer, T., Pack, A. I., &amp; Lim, M. M. (2016a). EEG slow waves in traumatic brain injury: Convergent findings in mouse and man. </w:t>
      </w:r>
      <w:r w:rsidRPr="00C421E4">
        <w:rPr>
          <w:rFonts w:ascii="Times" w:hAnsi="Times"/>
          <w:i/>
          <w:iCs/>
        </w:rPr>
        <w:t>Neurobiology of Sleep and Circadian Rhythms</w:t>
      </w:r>
      <w:r w:rsidRPr="00C421E4">
        <w:rPr>
          <w:rFonts w:ascii="Times" w:hAnsi="Times"/>
        </w:rPr>
        <w:t xml:space="preserve">, </w:t>
      </w:r>
      <w:r w:rsidRPr="00C421E4">
        <w:rPr>
          <w:rFonts w:ascii="Times" w:hAnsi="Times"/>
          <w:i/>
          <w:iCs/>
        </w:rPr>
        <w:t>2</w:t>
      </w:r>
      <w:r w:rsidRPr="00C421E4">
        <w:rPr>
          <w:rFonts w:ascii="Times" w:hAnsi="Times"/>
        </w:rPr>
        <w:t>, 59–70.</w:t>
      </w:r>
    </w:p>
    <w:p w14:paraId="05CEE981" w14:textId="77777777" w:rsidR="00F7044C" w:rsidRPr="002A7951" w:rsidRDefault="00F7044C" w:rsidP="00F7044C"/>
    <w:p w14:paraId="6DE0B641" w14:textId="77777777" w:rsidR="00F7044C" w:rsidRDefault="00F7044C" w:rsidP="00F7044C">
      <w:pPr>
        <w:pStyle w:val="Bibliography"/>
        <w:rPr>
          <w:rFonts w:ascii="Times" w:hAnsi="Times"/>
        </w:rPr>
      </w:pPr>
      <w:r w:rsidRPr="00C421E4">
        <w:rPr>
          <w:rFonts w:ascii="Times" w:hAnsi="Times"/>
        </w:rPr>
        <w:t xml:space="preserve">Modarres, M. H., Kuzma, N. N., Kretzmer, T., Pack, A. I., &amp; Lim, M. M. (2016b). EEG slow waves in traumatic brain injury: Convergent findings in mouse and man. </w:t>
      </w:r>
      <w:r w:rsidRPr="00C421E4">
        <w:rPr>
          <w:rFonts w:ascii="Times" w:hAnsi="Times"/>
          <w:i/>
          <w:iCs/>
        </w:rPr>
        <w:t>Neurobiology of Sleep and Circadian Rhythms</w:t>
      </w:r>
      <w:r w:rsidRPr="00C421E4">
        <w:rPr>
          <w:rFonts w:ascii="Times" w:hAnsi="Times"/>
        </w:rPr>
        <w:t xml:space="preserve">, </w:t>
      </w:r>
      <w:r w:rsidRPr="00C421E4">
        <w:rPr>
          <w:rFonts w:ascii="Times" w:hAnsi="Times"/>
          <w:i/>
          <w:iCs/>
        </w:rPr>
        <w:t>2</w:t>
      </w:r>
      <w:r w:rsidRPr="00C421E4">
        <w:rPr>
          <w:rFonts w:ascii="Times" w:hAnsi="Times"/>
        </w:rPr>
        <w:t>, 59–70.</w:t>
      </w:r>
    </w:p>
    <w:p w14:paraId="60BCC4E3" w14:textId="77777777" w:rsidR="00F7044C" w:rsidRPr="002A7951" w:rsidRDefault="00F7044C" w:rsidP="00F7044C"/>
    <w:p w14:paraId="44DA1A3F" w14:textId="77777777" w:rsidR="00F7044C" w:rsidRDefault="00F7044C" w:rsidP="00F7044C">
      <w:pPr>
        <w:pStyle w:val="Bibliography"/>
        <w:rPr>
          <w:rFonts w:ascii="Times" w:hAnsi="Times"/>
        </w:rPr>
      </w:pPr>
      <w:r w:rsidRPr="00C421E4">
        <w:rPr>
          <w:rFonts w:ascii="Times" w:hAnsi="Times"/>
        </w:rPr>
        <w:t xml:space="preserve">Mosenthal, A. C., Livingston, D. H., Lavery, R. F., Knudson, M. M., Lee, S., Morabito, D., … Hoyt, D. B. (2004). The effect of age on functional outcome in mild traumatic brain injury: 6-month report of a prospective multicenter trial. </w:t>
      </w:r>
      <w:r w:rsidRPr="00C421E4">
        <w:rPr>
          <w:rFonts w:ascii="Times" w:hAnsi="Times"/>
          <w:i/>
          <w:iCs/>
        </w:rPr>
        <w:t>Journal of Trauma and Acute Care Surgery</w:t>
      </w:r>
      <w:r w:rsidRPr="00C421E4">
        <w:rPr>
          <w:rFonts w:ascii="Times" w:hAnsi="Times"/>
        </w:rPr>
        <w:t xml:space="preserve">, </w:t>
      </w:r>
      <w:r w:rsidRPr="00C421E4">
        <w:rPr>
          <w:rFonts w:ascii="Times" w:hAnsi="Times"/>
          <w:i/>
          <w:iCs/>
        </w:rPr>
        <w:t>56</w:t>
      </w:r>
      <w:r w:rsidRPr="00C421E4">
        <w:rPr>
          <w:rFonts w:ascii="Times" w:hAnsi="Times"/>
        </w:rPr>
        <w:t>(5), 1042–1048.</w:t>
      </w:r>
    </w:p>
    <w:p w14:paraId="7E2DBE4C" w14:textId="77777777" w:rsidR="00F7044C" w:rsidRPr="002A7951" w:rsidRDefault="00F7044C" w:rsidP="00F7044C"/>
    <w:p w14:paraId="3BEA5A87" w14:textId="77777777" w:rsidR="00F7044C" w:rsidRDefault="00F7044C" w:rsidP="00F7044C">
      <w:pPr>
        <w:pStyle w:val="Bibliography"/>
        <w:rPr>
          <w:rFonts w:ascii="Times" w:hAnsi="Times"/>
        </w:rPr>
      </w:pPr>
      <w:r w:rsidRPr="00C421E4">
        <w:rPr>
          <w:rFonts w:ascii="Times" w:hAnsi="Times"/>
        </w:rPr>
        <w:t xml:space="preserve">Mulder, F. E., Shek, K. L., &amp; Dietz, H. P. (2012). What’s a proper push? The Valsalva manoeuvre revisited. </w:t>
      </w:r>
      <w:r w:rsidRPr="00C421E4">
        <w:rPr>
          <w:rFonts w:ascii="Times" w:hAnsi="Times"/>
          <w:i/>
          <w:iCs/>
        </w:rPr>
        <w:t>Australian and New Zealand Journal of Obstetrics and Gynaecology</w:t>
      </w:r>
      <w:r w:rsidRPr="00C421E4">
        <w:rPr>
          <w:rFonts w:ascii="Times" w:hAnsi="Times"/>
        </w:rPr>
        <w:t xml:space="preserve">, </w:t>
      </w:r>
      <w:r w:rsidRPr="00C421E4">
        <w:rPr>
          <w:rFonts w:ascii="Times" w:hAnsi="Times"/>
          <w:i/>
          <w:iCs/>
        </w:rPr>
        <w:t>52</w:t>
      </w:r>
      <w:r w:rsidRPr="00C421E4">
        <w:rPr>
          <w:rFonts w:ascii="Times" w:hAnsi="Times"/>
        </w:rPr>
        <w:t>(3), 282–285.</w:t>
      </w:r>
    </w:p>
    <w:p w14:paraId="289FBCB2" w14:textId="77777777" w:rsidR="00F7044C" w:rsidRPr="002A7951" w:rsidRDefault="00F7044C" w:rsidP="00F7044C"/>
    <w:p w14:paraId="1316AF5D" w14:textId="77777777" w:rsidR="00F7044C" w:rsidRDefault="00F7044C" w:rsidP="00F7044C">
      <w:pPr>
        <w:pStyle w:val="Bibliography"/>
        <w:rPr>
          <w:rFonts w:ascii="Times" w:hAnsi="Times"/>
        </w:rPr>
      </w:pPr>
      <w:r w:rsidRPr="00C421E4">
        <w:rPr>
          <w:rFonts w:ascii="Times" w:hAnsi="Times"/>
        </w:rPr>
        <w:t xml:space="preserve">Natelson, B. H., Ottenweller, J. E., Cook, J. A., Pitman, D., McCarty, R., &amp; Tapp, W. N. (1988). Effect of stressor intensity on habituation of the adrenocortical stress response. </w:t>
      </w:r>
      <w:r w:rsidRPr="00C421E4">
        <w:rPr>
          <w:rFonts w:ascii="Times" w:hAnsi="Times"/>
          <w:i/>
          <w:iCs/>
        </w:rPr>
        <w:t>Physiology &amp; Behavior</w:t>
      </w:r>
      <w:r w:rsidRPr="00C421E4">
        <w:rPr>
          <w:rFonts w:ascii="Times" w:hAnsi="Times"/>
        </w:rPr>
        <w:t xml:space="preserve">, </w:t>
      </w:r>
      <w:r w:rsidRPr="00C421E4">
        <w:rPr>
          <w:rFonts w:ascii="Times" w:hAnsi="Times"/>
          <w:i/>
          <w:iCs/>
        </w:rPr>
        <w:t>43</w:t>
      </w:r>
      <w:r w:rsidRPr="00C421E4">
        <w:rPr>
          <w:rFonts w:ascii="Times" w:hAnsi="Times"/>
        </w:rPr>
        <w:t>(1), 41–46.</w:t>
      </w:r>
    </w:p>
    <w:p w14:paraId="68524D30" w14:textId="77777777" w:rsidR="00F7044C" w:rsidRPr="002A7951" w:rsidRDefault="00F7044C" w:rsidP="00F7044C"/>
    <w:p w14:paraId="38681270" w14:textId="77777777" w:rsidR="00F7044C" w:rsidRDefault="00F7044C" w:rsidP="00F7044C">
      <w:pPr>
        <w:pStyle w:val="Bibliography"/>
        <w:rPr>
          <w:rFonts w:ascii="Times" w:hAnsi="Times"/>
        </w:rPr>
      </w:pPr>
      <w:r w:rsidRPr="00C421E4">
        <w:rPr>
          <w:rFonts w:ascii="Times" w:hAnsi="Times"/>
        </w:rPr>
        <w:t>Neu, D., Mairesse, O., Hoffmann, G., Valsamis, J.-B., Verbanck, P., Linkowski, P., &amp; Le Bon, O. (2010). Do “sleepy”and “</w:t>
      </w:r>
      <w:proofErr w:type="gramStart"/>
      <w:r w:rsidRPr="00C421E4">
        <w:rPr>
          <w:rFonts w:ascii="Times" w:hAnsi="Times"/>
        </w:rPr>
        <w:t>tired”go</w:t>
      </w:r>
      <w:proofErr w:type="gramEnd"/>
      <w:r w:rsidRPr="00C421E4">
        <w:rPr>
          <w:rFonts w:ascii="Times" w:hAnsi="Times"/>
        </w:rPr>
        <w:t xml:space="preserve"> together? Rasch analysis of the relationships between sleepiness, fatigue and nonrestorative sleep complaints in a nonclinical population sample. </w:t>
      </w:r>
      <w:r w:rsidRPr="00C421E4">
        <w:rPr>
          <w:rFonts w:ascii="Times" w:hAnsi="Times"/>
          <w:i/>
          <w:iCs/>
        </w:rPr>
        <w:t>Neuroepidemiology</w:t>
      </w:r>
      <w:r w:rsidRPr="00C421E4">
        <w:rPr>
          <w:rFonts w:ascii="Times" w:hAnsi="Times"/>
        </w:rPr>
        <w:t xml:space="preserve">, </w:t>
      </w:r>
      <w:r w:rsidRPr="00C421E4">
        <w:rPr>
          <w:rFonts w:ascii="Times" w:hAnsi="Times"/>
          <w:i/>
          <w:iCs/>
        </w:rPr>
        <w:t>35</w:t>
      </w:r>
      <w:r w:rsidRPr="00C421E4">
        <w:rPr>
          <w:rFonts w:ascii="Times" w:hAnsi="Times"/>
        </w:rPr>
        <w:t>(1), 1–11.</w:t>
      </w:r>
    </w:p>
    <w:p w14:paraId="0B983107" w14:textId="77777777" w:rsidR="00F7044C" w:rsidRPr="002A7951" w:rsidRDefault="00F7044C" w:rsidP="00F7044C"/>
    <w:p w14:paraId="689D80F4" w14:textId="77777777" w:rsidR="00F7044C" w:rsidRDefault="00F7044C" w:rsidP="00F7044C">
      <w:pPr>
        <w:pStyle w:val="Bibliography"/>
        <w:rPr>
          <w:rFonts w:ascii="Times" w:hAnsi="Times"/>
        </w:rPr>
      </w:pPr>
      <w:r w:rsidRPr="00C421E4">
        <w:rPr>
          <w:rFonts w:ascii="Times" w:hAnsi="Times"/>
        </w:rPr>
        <w:t xml:space="preserve">Neumeister, A., Henry, S., Herscovitch, P., Charney, D. S., &amp; Drevets, W. C. (2006). Habituation as a Phenotypic Marker for Major Depression. </w:t>
      </w:r>
      <w:r w:rsidRPr="00C421E4">
        <w:rPr>
          <w:rFonts w:ascii="Times" w:hAnsi="Times"/>
          <w:i/>
          <w:iCs/>
        </w:rPr>
        <w:t>Neuropsychopharmacology</w:t>
      </w:r>
      <w:r w:rsidRPr="00C421E4">
        <w:rPr>
          <w:rFonts w:ascii="Times" w:hAnsi="Times"/>
        </w:rPr>
        <w:t xml:space="preserve">, </w:t>
      </w:r>
      <w:r w:rsidRPr="00C421E4">
        <w:rPr>
          <w:rFonts w:ascii="Times" w:hAnsi="Times"/>
          <w:i/>
          <w:iCs/>
        </w:rPr>
        <w:t>31</w:t>
      </w:r>
      <w:r w:rsidRPr="00C421E4">
        <w:rPr>
          <w:rFonts w:ascii="Times" w:hAnsi="Times"/>
        </w:rPr>
        <w:t>, S92–S92.</w:t>
      </w:r>
    </w:p>
    <w:p w14:paraId="7D68FF4E" w14:textId="77777777" w:rsidR="00F7044C" w:rsidRPr="002A7951" w:rsidRDefault="00F7044C" w:rsidP="00F7044C"/>
    <w:p w14:paraId="40175E67" w14:textId="77777777" w:rsidR="00F7044C" w:rsidRDefault="00F7044C" w:rsidP="00F7044C">
      <w:pPr>
        <w:pStyle w:val="Bibliography"/>
        <w:rPr>
          <w:rFonts w:ascii="Times" w:hAnsi="Times"/>
        </w:rPr>
      </w:pPr>
      <w:r w:rsidRPr="00C421E4">
        <w:rPr>
          <w:rFonts w:ascii="Times" w:hAnsi="Times"/>
        </w:rPr>
        <w:lastRenderedPageBreak/>
        <w:t xml:space="preserve">Niogi, S. N., Mukherjee, P., Ghajar, J., Johnson, C. E., Kolster, R., Lee, H., … McCandliss, B. D. (2008). Structural dissociation of attentional control and memory in adults with and without mild traumatic brain injury. </w:t>
      </w:r>
      <w:r w:rsidRPr="00C421E4">
        <w:rPr>
          <w:rFonts w:ascii="Times" w:hAnsi="Times"/>
          <w:i/>
          <w:iCs/>
        </w:rPr>
        <w:t>Brain</w:t>
      </w:r>
      <w:r w:rsidRPr="00C421E4">
        <w:rPr>
          <w:rFonts w:ascii="Times" w:hAnsi="Times"/>
        </w:rPr>
        <w:t xml:space="preserve">, </w:t>
      </w:r>
      <w:r w:rsidRPr="00C421E4">
        <w:rPr>
          <w:rFonts w:ascii="Times" w:hAnsi="Times"/>
          <w:i/>
          <w:iCs/>
        </w:rPr>
        <w:t>131</w:t>
      </w:r>
      <w:r w:rsidRPr="00C421E4">
        <w:rPr>
          <w:rFonts w:ascii="Times" w:hAnsi="Times"/>
        </w:rPr>
        <w:t>(12), 3209–3221.</w:t>
      </w:r>
    </w:p>
    <w:p w14:paraId="5B8D740D" w14:textId="77777777" w:rsidR="00F7044C" w:rsidRPr="002A7951" w:rsidRDefault="00F7044C" w:rsidP="00F7044C"/>
    <w:p w14:paraId="5CAA005F" w14:textId="77777777" w:rsidR="00F7044C" w:rsidRDefault="00F7044C" w:rsidP="00F7044C">
      <w:pPr>
        <w:pStyle w:val="Bibliography"/>
        <w:rPr>
          <w:rFonts w:ascii="Times" w:hAnsi="Times"/>
        </w:rPr>
      </w:pPr>
      <w:r w:rsidRPr="00C421E4">
        <w:rPr>
          <w:rFonts w:ascii="Times" w:hAnsi="Times"/>
        </w:rPr>
        <w:t xml:space="preserve">Nitsche, M. A., Koschack, J., Pohlers, H., Hullemann, S., Paulus, W., &amp; Happe, S. (2012). Effects of frontal transcranial direct current stimulation on emotional state and processing in healthy humans. </w:t>
      </w:r>
      <w:r w:rsidRPr="00C421E4">
        <w:rPr>
          <w:rFonts w:ascii="Times" w:hAnsi="Times"/>
          <w:i/>
          <w:iCs/>
        </w:rPr>
        <w:t>Frontiers in Psychiatry</w:t>
      </w:r>
      <w:r w:rsidRPr="00C421E4">
        <w:rPr>
          <w:rFonts w:ascii="Times" w:hAnsi="Times"/>
        </w:rPr>
        <w:t xml:space="preserve">, </w:t>
      </w:r>
      <w:r w:rsidRPr="00C421E4">
        <w:rPr>
          <w:rFonts w:ascii="Times" w:hAnsi="Times"/>
          <w:i/>
          <w:iCs/>
        </w:rPr>
        <w:t>3</w:t>
      </w:r>
      <w:r w:rsidRPr="00C421E4">
        <w:rPr>
          <w:rFonts w:ascii="Times" w:hAnsi="Times"/>
        </w:rPr>
        <w:t>.</w:t>
      </w:r>
    </w:p>
    <w:p w14:paraId="00DD1AB3" w14:textId="77777777" w:rsidR="00F7044C" w:rsidRPr="002A7951" w:rsidRDefault="00F7044C" w:rsidP="00F7044C"/>
    <w:p w14:paraId="3D5604DE" w14:textId="77777777" w:rsidR="00F7044C" w:rsidRDefault="00F7044C" w:rsidP="00F7044C">
      <w:pPr>
        <w:pStyle w:val="Bibliography"/>
        <w:rPr>
          <w:rFonts w:ascii="Times" w:hAnsi="Times"/>
        </w:rPr>
      </w:pPr>
      <w:r w:rsidRPr="00C421E4">
        <w:rPr>
          <w:rFonts w:ascii="Times" w:hAnsi="Times"/>
        </w:rPr>
        <w:t xml:space="preserve">O’Jile, J. R., Ryan, L. M., Betz, B., Parks-Levy, J., Hilsabeck, R. C., Rhudy, J. L., &amp; Gouvier, W. D. (2006). Information processing following mild head injury. </w:t>
      </w:r>
      <w:r w:rsidRPr="00C421E4">
        <w:rPr>
          <w:rFonts w:ascii="Times" w:hAnsi="Times"/>
          <w:i/>
          <w:iCs/>
        </w:rPr>
        <w:t xml:space="preserve">Archives of Clinical </w:t>
      </w:r>
      <w:proofErr w:type="gramStart"/>
      <w:r w:rsidRPr="00C421E4">
        <w:rPr>
          <w:rFonts w:ascii="Times" w:hAnsi="Times"/>
          <w:i/>
          <w:iCs/>
        </w:rPr>
        <w:t>Neuropsychology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The Official Journal of the National Academy of Neuropsychologists</w:t>
      </w:r>
      <w:r w:rsidRPr="00C421E4">
        <w:rPr>
          <w:rFonts w:ascii="Times" w:hAnsi="Times"/>
        </w:rPr>
        <w:t xml:space="preserve">, </w:t>
      </w:r>
      <w:r w:rsidRPr="00C421E4">
        <w:rPr>
          <w:rFonts w:ascii="Times" w:hAnsi="Times"/>
          <w:i/>
          <w:iCs/>
        </w:rPr>
        <w:t>21</w:t>
      </w:r>
      <w:r w:rsidRPr="00C421E4">
        <w:rPr>
          <w:rFonts w:ascii="Times" w:hAnsi="Times"/>
        </w:rPr>
        <w:t>(4), 293–296. https://doi.org/10.1016/j.acn.2006.03.003</w:t>
      </w:r>
    </w:p>
    <w:p w14:paraId="28058933" w14:textId="77777777" w:rsidR="00F7044C" w:rsidRPr="002A7951" w:rsidRDefault="00F7044C" w:rsidP="00F7044C"/>
    <w:p w14:paraId="776D3294" w14:textId="77777777" w:rsidR="00F7044C" w:rsidRDefault="00F7044C" w:rsidP="00F7044C">
      <w:pPr>
        <w:pStyle w:val="Bibliography"/>
        <w:rPr>
          <w:rFonts w:ascii="Times" w:hAnsi="Times"/>
        </w:rPr>
      </w:pPr>
      <w:r w:rsidRPr="00C421E4">
        <w:rPr>
          <w:rFonts w:ascii="Times" w:hAnsi="Times"/>
        </w:rPr>
        <w:t xml:space="preserve">Organization, W. H. (1992). </w:t>
      </w:r>
      <w:r w:rsidRPr="00C421E4">
        <w:rPr>
          <w:rFonts w:ascii="Times" w:hAnsi="Times"/>
          <w:i/>
          <w:iCs/>
        </w:rPr>
        <w:t>The ICD-10 classification of mental and behavioural disorders: clinical descriptions and diagnostic guidelines</w:t>
      </w:r>
      <w:r w:rsidRPr="00C421E4">
        <w:rPr>
          <w:rFonts w:ascii="Times" w:hAnsi="Times"/>
        </w:rPr>
        <w:t xml:space="preserve"> (Vol. 1). World Health Organization.</w:t>
      </w:r>
    </w:p>
    <w:p w14:paraId="333A5BCA" w14:textId="77777777" w:rsidR="00F7044C" w:rsidRPr="002A7951" w:rsidRDefault="00F7044C" w:rsidP="00F7044C"/>
    <w:p w14:paraId="60E03051" w14:textId="77777777" w:rsidR="00F7044C" w:rsidRDefault="00F7044C" w:rsidP="00F7044C">
      <w:pPr>
        <w:pStyle w:val="Bibliography"/>
        <w:rPr>
          <w:rFonts w:ascii="Times" w:hAnsi="Times"/>
        </w:rPr>
      </w:pPr>
      <w:r w:rsidRPr="00C421E4">
        <w:rPr>
          <w:rFonts w:ascii="Times" w:hAnsi="Times"/>
        </w:rPr>
        <w:t xml:space="preserve">Ouellet, M.-C., &amp; Morin, C. M. (2006). Fatigue Following Traumatic Brain Injury: Frequency, Characteristics, and Associated Factors. </w:t>
      </w:r>
      <w:r w:rsidRPr="00C421E4">
        <w:rPr>
          <w:rFonts w:ascii="Times" w:hAnsi="Times"/>
          <w:i/>
          <w:iCs/>
        </w:rPr>
        <w:t>Rehabilitation Psychology</w:t>
      </w:r>
      <w:r w:rsidRPr="00C421E4">
        <w:rPr>
          <w:rFonts w:ascii="Times" w:hAnsi="Times"/>
        </w:rPr>
        <w:t xml:space="preserve">, </w:t>
      </w:r>
      <w:r w:rsidRPr="00C421E4">
        <w:rPr>
          <w:rFonts w:ascii="Times" w:hAnsi="Times"/>
          <w:i/>
          <w:iCs/>
        </w:rPr>
        <w:t>51</w:t>
      </w:r>
      <w:r w:rsidRPr="00C421E4">
        <w:rPr>
          <w:rFonts w:ascii="Times" w:hAnsi="Times"/>
        </w:rPr>
        <w:t>(2), 140–149. https://doi.org/10.1037/0090-5550.51.2.140</w:t>
      </w:r>
    </w:p>
    <w:p w14:paraId="13AA8EC3" w14:textId="77777777" w:rsidR="00F7044C" w:rsidRPr="002A7951" w:rsidRDefault="00F7044C" w:rsidP="00F7044C"/>
    <w:p w14:paraId="11338192" w14:textId="77777777" w:rsidR="00F7044C" w:rsidRDefault="00F7044C" w:rsidP="00F7044C">
      <w:pPr>
        <w:pStyle w:val="Bibliography"/>
        <w:rPr>
          <w:rFonts w:ascii="Times" w:hAnsi="Times"/>
        </w:rPr>
      </w:pPr>
      <w:r w:rsidRPr="00C421E4">
        <w:rPr>
          <w:rFonts w:ascii="Times" w:hAnsi="Times"/>
        </w:rPr>
        <w:t xml:space="preserve">Pace-Schott, E. F., Shepherd, E., Spencer, R. M. C., Marcello, M., Tucker, M., Propper, R. E., &amp; Stickgold, R. (2011). Napping promotes inter-session habituation to emotional stimuli. </w:t>
      </w:r>
      <w:r w:rsidRPr="00C421E4">
        <w:rPr>
          <w:rFonts w:ascii="Times" w:hAnsi="Times"/>
          <w:i/>
          <w:iCs/>
        </w:rPr>
        <w:t>Neurobiology of Learning and Memory</w:t>
      </w:r>
      <w:r w:rsidRPr="00C421E4">
        <w:rPr>
          <w:rFonts w:ascii="Times" w:hAnsi="Times"/>
        </w:rPr>
        <w:t xml:space="preserve">, </w:t>
      </w:r>
      <w:r w:rsidRPr="00C421E4">
        <w:rPr>
          <w:rFonts w:ascii="Times" w:hAnsi="Times"/>
          <w:i/>
          <w:iCs/>
        </w:rPr>
        <w:t>95</w:t>
      </w:r>
      <w:r w:rsidRPr="00C421E4">
        <w:rPr>
          <w:rFonts w:ascii="Times" w:hAnsi="Times"/>
        </w:rPr>
        <w:t>(1), 24–36. https://doi.org/10.1016/j.nlm.2010.10.006</w:t>
      </w:r>
    </w:p>
    <w:p w14:paraId="7FFE7063" w14:textId="77777777" w:rsidR="00F7044C" w:rsidRPr="002A7951" w:rsidRDefault="00F7044C" w:rsidP="00F7044C"/>
    <w:p w14:paraId="5F2A8890" w14:textId="77777777" w:rsidR="00F7044C" w:rsidRDefault="00F7044C" w:rsidP="00F7044C">
      <w:pPr>
        <w:pStyle w:val="Bibliography"/>
        <w:rPr>
          <w:rFonts w:ascii="Times" w:hAnsi="Times"/>
        </w:rPr>
      </w:pPr>
      <w:r w:rsidRPr="00C421E4">
        <w:rPr>
          <w:rFonts w:ascii="Times" w:hAnsi="Times"/>
        </w:rPr>
        <w:t xml:space="preserve">Parcell, D. L., Ponsford, J. L., Rajaratnam, S. M., &amp; Redman, J. R. (2006). Self-reported changes to nighttime sleep after traumatic brain injury. </w:t>
      </w:r>
      <w:r w:rsidRPr="00C421E4">
        <w:rPr>
          <w:rFonts w:ascii="Times" w:hAnsi="Times"/>
          <w:i/>
          <w:iCs/>
        </w:rPr>
        <w:t>Archives of Physical Medicine and Rehabilitation</w:t>
      </w:r>
      <w:r w:rsidRPr="00C421E4">
        <w:rPr>
          <w:rFonts w:ascii="Times" w:hAnsi="Times"/>
        </w:rPr>
        <w:t xml:space="preserve">, </w:t>
      </w:r>
      <w:r w:rsidRPr="00C421E4">
        <w:rPr>
          <w:rFonts w:ascii="Times" w:hAnsi="Times"/>
          <w:i/>
          <w:iCs/>
        </w:rPr>
        <w:t>87</w:t>
      </w:r>
      <w:r w:rsidRPr="00C421E4">
        <w:rPr>
          <w:rFonts w:ascii="Times" w:hAnsi="Times"/>
        </w:rPr>
        <w:t>(2), 278–285. https://doi.org/10.1016/j.apmr.2005.10.024</w:t>
      </w:r>
    </w:p>
    <w:p w14:paraId="7DC5ED3A" w14:textId="77777777" w:rsidR="00F7044C" w:rsidRPr="002A7951" w:rsidRDefault="00F7044C" w:rsidP="00F7044C"/>
    <w:p w14:paraId="2D2AC002" w14:textId="77777777" w:rsidR="00F7044C" w:rsidRDefault="00F7044C" w:rsidP="00F7044C">
      <w:pPr>
        <w:pStyle w:val="Bibliography"/>
        <w:rPr>
          <w:rFonts w:ascii="Times" w:hAnsi="Times"/>
        </w:rPr>
      </w:pPr>
      <w:r w:rsidRPr="00C421E4">
        <w:rPr>
          <w:rFonts w:ascii="Times" w:hAnsi="Times"/>
        </w:rPr>
        <w:t xml:space="preserve">Parcell, D. L., Ponsford, J. L., Redman, J. R., &amp; Rajaratnam, S. M. (2008). Poor sleep quality and changes in objectively recorded sleep after traumatic brain injury: a preliminary study. </w:t>
      </w:r>
      <w:r w:rsidRPr="00C421E4">
        <w:rPr>
          <w:rFonts w:ascii="Times" w:hAnsi="Times"/>
          <w:i/>
          <w:iCs/>
        </w:rPr>
        <w:t>Archives of Physical Medicine and Rehabilitation</w:t>
      </w:r>
      <w:r w:rsidRPr="00C421E4">
        <w:rPr>
          <w:rFonts w:ascii="Times" w:hAnsi="Times"/>
        </w:rPr>
        <w:t xml:space="preserve">, </w:t>
      </w:r>
      <w:r w:rsidRPr="00C421E4">
        <w:rPr>
          <w:rFonts w:ascii="Times" w:hAnsi="Times"/>
          <w:i/>
          <w:iCs/>
        </w:rPr>
        <w:t>89</w:t>
      </w:r>
      <w:r w:rsidRPr="00C421E4">
        <w:rPr>
          <w:rFonts w:ascii="Times" w:hAnsi="Times"/>
        </w:rPr>
        <w:t>(5), 843–50. https://doi.org/10.1016/j.apmr.2007.09.057</w:t>
      </w:r>
    </w:p>
    <w:p w14:paraId="5C14E2F8" w14:textId="77777777" w:rsidR="00F7044C" w:rsidRPr="002A7951" w:rsidRDefault="00F7044C" w:rsidP="00F7044C"/>
    <w:p w14:paraId="2854208F" w14:textId="77777777" w:rsidR="00F7044C" w:rsidRDefault="00F7044C" w:rsidP="00F7044C">
      <w:pPr>
        <w:pStyle w:val="Bibliography"/>
        <w:rPr>
          <w:rFonts w:ascii="Times" w:hAnsi="Times"/>
        </w:rPr>
      </w:pPr>
      <w:r w:rsidRPr="00C421E4">
        <w:rPr>
          <w:rFonts w:ascii="Times" w:hAnsi="Times"/>
        </w:rPr>
        <w:t xml:space="preserve">Pascual-Leone, A., Rubio, B., Pallardó, F., &amp; Catalá, M. D. (1996). Rapid-rate transcranial magnetic stimulation of left dorsolateral prefrontal cortex in drug-resistant depression. </w:t>
      </w:r>
      <w:r w:rsidRPr="00C421E4">
        <w:rPr>
          <w:rFonts w:ascii="Times" w:hAnsi="Times"/>
          <w:i/>
          <w:iCs/>
        </w:rPr>
        <w:t>Lancet</w:t>
      </w:r>
      <w:r w:rsidRPr="00C421E4">
        <w:rPr>
          <w:rFonts w:ascii="Times" w:hAnsi="Times"/>
        </w:rPr>
        <w:t xml:space="preserve">, </w:t>
      </w:r>
      <w:r w:rsidRPr="00C421E4">
        <w:rPr>
          <w:rFonts w:ascii="Times" w:hAnsi="Times"/>
          <w:i/>
          <w:iCs/>
        </w:rPr>
        <w:t>348</w:t>
      </w:r>
      <w:r w:rsidRPr="00C421E4">
        <w:rPr>
          <w:rFonts w:ascii="Times" w:hAnsi="Times"/>
        </w:rPr>
        <w:t>(9022), 233–237. https://doi.org/10.1016/S0140-6736(96)01219-6</w:t>
      </w:r>
    </w:p>
    <w:p w14:paraId="3E71C6F8" w14:textId="77777777" w:rsidR="00F7044C" w:rsidRPr="002A7951" w:rsidRDefault="00F7044C" w:rsidP="00F7044C"/>
    <w:p w14:paraId="2DEAFAB3" w14:textId="77777777" w:rsidR="00F7044C" w:rsidRDefault="00F7044C" w:rsidP="00F7044C">
      <w:pPr>
        <w:pStyle w:val="Bibliography"/>
        <w:rPr>
          <w:rFonts w:ascii="Times" w:hAnsi="Times"/>
        </w:rPr>
      </w:pPr>
      <w:r w:rsidRPr="00C421E4">
        <w:rPr>
          <w:rFonts w:ascii="Times" w:hAnsi="Times"/>
        </w:rPr>
        <w:lastRenderedPageBreak/>
        <w:t xml:space="preserve">Payne, J. D., Kensinger, E. A., Wamsley, E. J., Spreng, R. N., Alger, S. E., Gibler, K., … Stickgold, R. (2015). Napping and the selective consolidation of negative aspects of scenes. </w:t>
      </w:r>
      <w:r w:rsidRPr="00C421E4">
        <w:rPr>
          <w:rFonts w:ascii="Times" w:hAnsi="Times"/>
          <w:i/>
          <w:iCs/>
        </w:rPr>
        <w:t>Emotion (Washington, D.C.)</w:t>
      </w:r>
      <w:r w:rsidRPr="00C421E4">
        <w:rPr>
          <w:rFonts w:ascii="Times" w:hAnsi="Times"/>
        </w:rPr>
        <w:t xml:space="preserve">, </w:t>
      </w:r>
      <w:r w:rsidRPr="00C421E4">
        <w:rPr>
          <w:rFonts w:ascii="Times" w:hAnsi="Times"/>
          <w:i/>
          <w:iCs/>
        </w:rPr>
        <w:t>15</w:t>
      </w:r>
      <w:r w:rsidRPr="00C421E4">
        <w:rPr>
          <w:rFonts w:ascii="Times" w:hAnsi="Times"/>
        </w:rPr>
        <w:t>(2), 176–86. https://doi.org/10.1037/a0038683</w:t>
      </w:r>
    </w:p>
    <w:p w14:paraId="2AA0805E" w14:textId="77777777" w:rsidR="00F7044C" w:rsidRPr="002A7951" w:rsidRDefault="00F7044C" w:rsidP="00F7044C"/>
    <w:p w14:paraId="6A6959BB" w14:textId="77777777" w:rsidR="00F7044C" w:rsidRDefault="00F7044C" w:rsidP="00F7044C">
      <w:pPr>
        <w:pStyle w:val="Bibliography"/>
        <w:rPr>
          <w:rFonts w:ascii="Times" w:hAnsi="Times"/>
        </w:rPr>
      </w:pPr>
      <w:r w:rsidRPr="00C421E4">
        <w:rPr>
          <w:rFonts w:ascii="Times" w:hAnsi="Times"/>
        </w:rPr>
        <w:t xml:space="preserve">Payne, J. D., Stickgold, R., Swanberg, K., &amp; Kensinger, E. A. (2008). Sleep preferentially enhances memory for emotional components of scenes. </w:t>
      </w:r>
      <w:r w:rsidRPr="00C421E4">
        <w:rPr>
          <w:rFonts w:ascii="Times" w:hAnsi="Times"/>
          <w:i/>
          <w:iCs/>
        </w:rPr>
        <w:t>Psychological Science</w:t>
      </w:r>
      <w:r w:rsidRPr="00C421E4">
        <w:rPr>
          <w:rFonts w:ascii="Times" w:hAnsi="Times"/>
        </w:rPr>
        <w:t xml:space="preserve">, </w:t>
      </w:r>
      <w:r w:rsidRPr="00C421E4">
        <w:rPr>
          <w:rFonts w:ascii="Times" w:hAnsi="Times"/>
          <w:i/>
          <w:iCs/>
        </w:rPr>
        <w:t>19</w:t>
      </w:r>
      <w:r w:rsidRPr="00C421E4">
        <w:rPr>
          <w:rFonts w:ascii="Times" w:hAnsi="Times"/>
        </w:rPr>
        <w:t>(8), 781–788. https://doi.org/10.1111/j.1467-9280.2008.02157.x</w:t>
      </w:r>
    </w:p>
    <w:p w14:paraId="66A454FD" w14:textId="77777777" w:rsidR="00F7044C" w:rsidRPr="002A7951" w:rsidRDefault="00F7044C" w:rsidP="00F7044C"/>
    <w:p w14:paraId="495D69FE" w14:textId="77777777" w:rsidR="00F7044C" w:rsidRDefault="00F7044C" w:rsidP="00F7044C">
      <w:pPr>
        <w:pStyle w:val="Bibliography"/>
        <w:rPr>
          <w:rFonts w:ascii="Times" w:hAnsi="Times"/>
        </w:rPr>
      </w:pPr>
      <w:r w:rsidRPr="00C421E4">
        <w:rPr>
          <w:rFonts w:ascii="Times" w:hAnsi="Times"/>
        </w:rPr>
        <w:t xml:space="preserve">Peña-Gómez, C., Vidal-Piñeiro, D., Clemente, I. C., Pascual-Leone, Á., &amp; Bartrés-Faz, D. (2011). Down-regulation of negative emotional processing by transcranial direct current stimulation: effects of personality characteristics. </w:t>
      </w:r>
      <w:r w:rsidRPr="00C421E4">
        <w:rPr>
          <w:rFonts w:ascii="Times" w:hAnsi="Times"/>
          <w:i/>
          <w:iCs/>
        </w:rPr>
        <w:t>PloS One</w:t>
      </w:r>
      <w:r w:rsidRPr="00C421E4">
        <w:rPr>
          <w:rFonts w:ascii="Times" w:hAnsi="Times"/>
        </w:rPr>
        <w:t xml:space="preserve">, </w:t>
      </w:r>
      <w:r w:rsidRPr="00C421E4">
        <w:rPr>
          <w:rFonts w:ascii="Times" w:hAnsi="Times"/>
          <w:i/>
          <w:iCs/>
        </w:rPr>
        <w:t>6</w:t>
      </w:r>
      <w:r w:rsidRPr="00C421E4">
        <w:rPr>
          <w:rFonts w:ascii="Times" w:hAnsi="Times"/>
        </w:rPr>
        <w:t>(7), e22812.</w:t>
      </w:r>
    </w:p>
    <w:p w14:paraId="1FB80752" w14:textId="77777777" w:rsidR="00F7044C" w:rsidRDefault="00F7044C" w:rsidP="00F7044C"/>
    <w:p w14:paraId="71FDAAA7" w14:textId="77777777" w:rsidR="00F7044C" w:rsidRDefault="00F7044C" w:rsidP="00F7044C"/>
    <w:p w14:paraId="2B88CF04" w14:textId="77777777" w:rsidR="00F7044C" w:rsidRPr="002A7951" w:rsidRDefault="00F7044C" w:rsidP="00F7044C"/>
    <w:p w14:paraId="3A7A9A28" w14:textId="77777777" w:rsidR="00F7044C" w:rsidRDefault="00F7044C" w:rsidP="00F7044C">
      <w:pPr>
        <w:pStyle w:val="Bibliography"/>
        <w:rPr>
          <w:rFonts w:ascii="Times" w:hAnsi="Times"/>
        </w:rPr>
      </w:pPr>
      <w:r w:rsidRPr="00C421E4">
        <w:rPr>
          <w:rFonts w:ascii="Times" w:hAnsi="Times"/>
        </w:rPr>
        <w:t xml:space="preserve">Perry, M. G., Kirwan, J. R., Jessop, D. S., &amp; Hunt, L. P. (2008). Overnight variations in cortisol, interleukin 6, tumour necrosis factor   and other cytokines in people with rheumatoid arthritis. </w:t>
      </w:r>
      <w:r w:rsidRPr="00C421E4">
        <w:rPr>
          <w:rFonts w:ascii="Times" w:hAnsi="Times"/>
          <w:i/>
          <w:iCs/>
        </w:rPr>
        <w:t>Annals of the Rheumatic Diseases</w:t>
      </w:r>
      <w:r w:rsidRPr="00C421E4">
        <w:rPr>
          <w:rFonts w:ascii="Times" w:hAnsi="Times"/>
        </w:rPr>
        <w:t xml:space="preserve">, </w:t>
      </w:r>
      <w:r w:rsidRPr="00C421E4">
        <w:rPr>
          <w:rFonts w:ascii="Times" w:hAnsi="Times"/>
          <w:i/>
          <w:iCs/>
        </w:rPr>
        <w:t>68</w:t>
      </w:r>
      <w:r w:rsidRPr="00C421E4">
        <w:rPr>
          <w:rFonts w:ascii="Times" w:hAnsi="Times"/>
        </w:rPr>
        <w:t>(1), 63–68. https://doi.org/10.1136/ard.2007.086561</w:t>
      </w:r>
    </w:p>
    <w:p w14:paraId="0C78B1DF" w14:textId="77777777" w:rsidR="00F7044C" w:rsidRPr="002A7951" w:rsidRDefault="00F7044C" w:rsidP="00F7044C"/>
    <w:p w14:paraId="0D4C7A7A" w14:textId="77777777" w:rsidR="00F7044C" w:rsidRDefault="00F7044C" w:rsidP="00F7044C">
      <w:pPr>
        <w:pStyle w:val="Bibliography"/>
        <w:rPr>
          <w:rFonts w:ascii="Times" w:hAnsi="Times"/>
        </w:rPr>
      </w:pPr>
      <w:r w:rsidRPr="00C421E4">
        <w:rPr>
          <w:rFonts w:ascii="Times" w:hAnsi="Times"/>
        </w:rPr>
        <w:t xml:space="preserve">Pollatos, O., Herbert, B. M., Matthias, E., &amp; Schandry, R. (2007). Heart rate response after emotional picture presentation is modulated by interoceptive awareness. </w:t>
      </w:r>
      <w:r w:rsidRPr="00C421E4">
        <w:rPr>
          <w:rFonts w:ascii="Times" w:hAnsi="Times"/>
          <w:i/>
          <w:iCs/>
        </w:rPr>
        <w:t>International Journal of Psychophysiology</w:t>
      </w:r>
      <w:r w:rsidRPr="00C421E4">
        <w:rPr>
          <w:rFonts w:ascii="Times" w:hAnsi="Times"/>
        </w:rPr>
        <w:t xml:space="preserve">, </w:t>
      </w:r>
      <w:r w:rsidRPr="00C421E4">
        <w:rPr>
          <w:rFonts w:ascii="Times" w:hAnsi="Times"/>
          <w:i/>
          <w:iCs/>
        </w:rPr>
        <w:t>63</w:t>
      </w:r>
      <w:r w:rsidRPr="00C421E4">
        <w:rPr>
          <w:rFonts w:ascii="Times" w:hAnsi="Times"/>
        </w:rPr>
        <w:t>(1), 117–124.</w:t>
      </w:r>
    </w:p>
    <w:p w14:paraId="4A035237" w14:textId="77777777" w:rsidR="00F7044C" w:rsidRPr="002A7951" w:rsidRDefault="00F7044C" w:rsidP="00F7044C"/>
    <w:p w14:paraId="7C75F526" w14:textId="77777777" w:rsidR="00F7044C" w:rsidRDefault="00F7044C" w:rsidP="00F7044C">
      <w:pPr>
        <w:pStyle w:val="Bibliography"/>
        <w:rPr>
          <w:rFonts w:ascii="Times" w:hAnsi="Times"/>
        </w:rPr>
      </w:pPr>
      <w:r w:rsidRPr="00C421E4">
        <w:rPr>
          <w:rFonts w:ascii="Times" w:hAnsi="Times"/>
        </w:rPr>
        <w:t xml:space="preserve">Ponsford, J. L., Parcell, D. L., Sinclair, K. L., Roper, M., &amp; Rajaratnam, S. M. W. (2013). Changes in sleep patterns following traumatic brain injury: a controlled study. </w:t>
      </w:r>
      <w:r w:rsidRPr="00C421E4">
        <w:rPr>
          <w:rFonts w:ascii="Times" w:hAnsi="Times"/>
          <w:i/>
          <w:iCs/>
        </w:rPr>
        <w:t>Neurorehabilitation and Neural Repair</w:t>
      </w:r>
      <w:r w:rsidRPr="00C421E4">
        <w:rPr>
          <w:rFonts w:ascii="Times" w:hAnsi="Times"/>
        </w:rPr>
        <w:t xml:space="preserve">, </w:t>
      </w:r>
      <w:r w:rsidRPr="00C421E4">
        <w:rPr>
          <w:rFonts w:ascii="Times" w:hAnsi="Times"/>
          <w:i/>
          <w:iCs/>
        </w:rPr>
        <w:t>27</w:t>
      </w:r>
      <w:r w:rsidRPr="00C421E4">
        <w:rPr>
          <w:rFonts w:ascii="Times" w:hAnsi="Times"/>
        </w:rPr>
        <w:t>(7), 613–21. https://doi.org/10.1177/1545968313481283</w:t>
      </w:r>
    </w:p>
    <w:p w14:paraId="544AA598" w14:textId="77777777" w:rsidR="00F7044C" w:rsidRPr="002A7951" w:rsidRDefault="00F7044C" w:rsidP="00F7044C"/>
    <w:p w14:paraId="4EBF9C8C" w14:textId="77777777" w:rsidR="00F7044C" w:rsidRDefault="00F7044C" w:rsidP="00F7044C">
      <w:pPr>
        <w:pStyle w:val="Bibliography"/>
        <w:rPr>
          <w:rFonts w:ascii="Times" w:hAnsi="Times"/>
        </w:rPr>
      </w:pPr>
      <w:r w:rsidRPr="00C421E4">
        <w:rPr>
          <w:rFonts w:ascii="Times" w:hAnsi="Times"/>
        </w:rPr>
        <w:t xml:space="preserve">Potter, S., Leigh, E., Wade, D., &amp; Fleminger, S. (2006). The Rivermead Post Concussion Symptoms Questionnaire: A confirmatory factor analysis. </w:t>
      </w:r>
      <w:r w:rsidRPr="00C421E4">
        <w:rPr>
          <w:rFonts w:ascii="Times" w:hAnsi="Times"/>
          <w:i/>
          <w:iCs/>
        </w:rPr>
        <w:t>Journal of Neurology</w:t>
      </w:r>
      <w:r w:rsidRPr="00C421E4">
        <w:rPr>
          <w:rFonts w:ascii="Times" w:hAnsi="Times"/>
        </w:rPr>
        <w:t xml:space="preserve">, </w:t>
      </w:r>
      <w:r w:rsidRPr="00C421E4">
        <w:rPr>
          <w:rFonts w:ascii="Times" w:hAnsi="Times"/>
          <w:i/>
          <w:iCs/>
        </w:rPr>
        <w:t>253</w:t>
      </w:r>
      <w:r w:rsidRPr="00C421E4">
        <w:rPr>
          <w:rFonts w:ascii="Times" w:hAnsi="Times"/>
        </w:rPr>
        <w:t>(12), 1603–1614. https://doi.org/10.1007/s00415-006-0275-z</w:t>
      </w:r>
    </w:p>
    <w:p w14:paraId="27E58904" w14:textId="77777777" w:rsidR="00F7044C" w:rsidRPr="002A7951" w:rsidRDefault="00F7044C" w:rsidP="00F7044C"/>
    <w:p w14:paraId="2BC63658" w14:textId="77777777" w:rsidR="00F7044C" w:rsidRDefault="00F7044C" w:rsidP="00F7044C">
      <w:pPr>
        <w:pStyle w:val="Bibliography"/>
        <w:rPr>
          <w:rFonts w:ascii="Times" w:hAnsi="Times"/>
        </w:rPr>
      </w:pPr>
      <w:r w:rsidRPr="00C421E4">
        <w:rPr>
          <w:rFonts w:ascii="Times" w:hAnsi="Times"/>
        </w:rPr>
        <w:t xml:space="preserve">Quoidbach, J., Berry, E. V., Hansenne, M., &amp; Mikolajczak, M. (2010). Positive emotion regulation and well-being: Comparing the impact of eight savoring and dampening strategies. </w:t>
      </w:r>
      <w:r w:rsidRPr="00C421E4">
        <w:rPr>
          <w:rFonts w:ascii="Times" w:hAnsi="Times"/>
          <w:i/>
          <w:iCs/>
        </w:rPr>
        <w:t>Personality and Individual Differences</w:t>
      </w:r>
      <w:r w:rsidRPr="00C421E4">
        <w:rPr>
          <w:rFonts w:ascii="Times" w:hAnsi="Times"/>
        </w:rPr>
        <w:t xml:space="preserve">, </w:t>
      </w:r>
      <w:r w:rsidRPr="00C421E4">
        <w:rPr>
          <w:rFonts w:ascii="Times" w:hAnsi="Times"/>
          <w:i/>
          <w:iCs/>
        </w:rPr>
        <w:t>49</w:t>
      </w:r>
      <w:r w:rsidRPr="00C421E4">
        <w:rPr>
          <w:rFonts w:ascii="Times" w:hAnsi="Times"/>
        </w:rPr>
        <w:t>(5), 368–373.</w:t>
      </w:r>
    </w:p>
    <w:p w14:paraId="6E1FAA47" w14:textId="77777777" w:rsidR="00F7044C" w:rsidRPr="002A7951" w:rsidRDefault="00F7044C" w:rsidP="00F7044C"/>
    <w:p w14:paraId="4FD45D9A" w14:textId="77777777" w:rsidR="00F7044C" w:rsidRDefault="00F7044C" w:rsidP="00F7044C">
      <w:pPr>
        <w:pStyle w:val="Bibliography"/>
        <w:rPr>
          <w:rFonts w:ascii="Times" w:hAnsi="Times"/>
        </w:rPr>
      </w:pPr>
      <w:r w:rsidRPr="00C421E4">
        <w:rPr>
          <w:rFonts w:ascii="Times" w:hAnsi="Times"/>
        </w:rPr>
        <w:t xml:space="preserve">Ramirez, C. E., Shuey, M. M., Milne, G. L., Gilbert, K., Hui, N., Yu, C., … Brown, N. J. (2014). Arg287Gln variant of EPHX2 and epoxyeicosatrienoic acids are associated with insulin sensitivity in humans. </w:t>
      </w:r>
      <w:r w:rsidRPr="00C421E4">
        <w:rPr>
          <w:rFonts w:ascii="Times" w:hAnsi="Times"/>
          <w:i/>
          <w:iCs/>
        </w:rPr>
        <w:t>Prostaglandins &amp; Other Lipid Mediators</w:t>
      </w:r>
      <w:r w:rsidRPr="00C421E4">
        <w:rPr>
          <w:rFonts w:ascii="Times" w:hAnsi="Times"/>
        </w:rPr>
        <w:t xml:space="preserve">, </w:t>
      </w:r>
      <w:r w:rsidRPr="00C421E4">
        <w:rPr>
          <w:rFonts w:ascii="Times" w:hAnsi="Times"/>
          <w:i/>
          <w:iCs/>
        </w:rPr>
        <w:t>113</w:t>
      </w:r>
      <w:r w:rsidRPr="00C421E4">
        <w:rPr>
          <w:rFonts w:ascii="Times" w:hAnsi="Times"/>
        </w:rPr>
        <w:t>, 38–44.</w:t>
      </w:r>
    </w:p>
    <w:p w14:paraId="2117C7DF" w14:textId="77777777" w:rsidR="00F7044C" w:rsidRPr="002A7951" w:rsidRDefault="00F7044C" w:rsidP="00F7044C"/>
    <w:p w14:paraId="285B7135" w14:textId="77777777" w:rsidR="00F7044C" w:rsidRDefault="00F7044C" w:rsidP="00F7044C">
      <w:pPr>
        <w:pStyle w:val="Bibliography"/>
        <w:rPr>
          <w:rFonts w:ascii="Times" w:hAnsi="Times"/>
        </w:rPr>
      </w:pPr>
      <w:r w:rsidRPr="00C421E4">
        <w:rPr>
          <w:rFonts w:ascii="Times" w:hAnsi="Times"/>
        </w:rPr>
        <w:lastRenderedPageBreak/>
        <w:t xml:space="preserve">Rao, V., Bertrand, M., Rosenberg, P., Makley, M., Schretlen, D. J., Brandt, J., &amp; Mielke, M. M. (2010). Predictors of new-onset depression after mild traumatic brain injury. </w:t>
      </w:r>
      <w:r w:rsidRPr="00C421E4">
        <w:rPr>
          <w:rFonts w:ascii="Times" w:hAnsi="Times"/>
          <w:i/>
          <w:iCs/>
        </w:rPr>
        <w:t>J Neuropsychiatry Clin.Neurosci.</w:t>
      </w:r>
      <w:r w:rsidRPr="00C421E4">
        <w:rPr>
          <w:rFonts w:ascii="Times" w:hAnsi="Times"/>
        </w:rPr>
        <w:t xml:space="preserve">, </w:t>
      </w:r>
      <w:r w:rsidRPr="00C421E4">
        <w:rPr>
          <w:rFonts w:ascii="Times" w:hAnsi="Times"/>
          <w:i/>
          <w:iCs/>
        </w:rPr>
        <w:t>22</w:t>
      </w:r>
      <w:r w:rsidRPr="00C421E4">
        <w:rPr>
          <w:rFonts w:ascii="Times" w:hAnsi="Times"/>
        </w:rPr>
        <w:t>(1), 100–4. https://doi.org/10.1176/appi.neuropsych.22.1.100</w:t>
      </w:r>
    </w:p>
    <w:p w14:paraId="5712C4C3" w14:textId="77777777" w:rsidR="00F7044C" w:rsidRPr="002A7951" w:rsidRDefault="00F7044C" w:rsidP="00F7044C"/>
    <w:p w14:paraId="061343C3" w14:textId="77777777" w:rsidR="00F7044C" w:rsidRDefault="00F7044C" w:rsidP="00F7044C">
      <w:pPr>
        <w:pStyle w:val="Bibliography"/>
        <w:rPr>
          <w:rFonts w:ascii="Times" w:hAnsi="Times"/>
        </w:rPr>
      </w:pPr>
      <w:r w:rsidRPr="00C421E4">
        <w:rPr>
          <w:rFonts w:ascii="Times" w:hAnsi="Times"/>
        </w:rPr>
        <w:t xml:space="preserve">Rasch, B., Büchel, C., Gais, S., &amp; Born, J. (2007). Odor cues during slow-wave sleep prompt declarative memory consolidation. </w:t>
      </w:r>
      <w:r w:rsidRPr="00C421E4">
        <w:rPr>
          <w:rFonts w:ascii="Times" w:hAnsi="Times"/>
          <w:i/>
          <w:iCs/>
        </w:rPr>
        <w:t>Science (New York, N.Y.)</w:t>
      </w:r>
      <w:r w:rsidRPr="00C421E4">
        <w:rPr>
          <w:rFonts w:ascii="Times" w:hAnsi="Times"/>
        </w:rPr>
        <w:t xml:space="preserve">, </w:t>
      </w:r>
      <w:r w:rsidRPr="00C421E4">
        <w:rPr>
          <w:rFonts w:ascii="Times" w:hAnsi="Times"/>
          <w:i/>
          <w:iCs/>
        </w:rPr>
        <w:t>315</w:t>
      </w:r>
      <w:r w:rsidRPr="00C421E4">
        <w:rPr>
          <w:rFonts w:ascii="Times" w:hAnsi="Times"/>
        </w:rPr>
        <w:t>(5817), 1426–1429. https://doi.org/10.1126/science.1138581</w:t>
      </w:r>
    </w:p>
    <w:p w14:paraId="2C1B37EE" w14:textId="77777777" w:rsidR="00F7044C" w:rsidRPr="002A7951" w:rsidRDefault="00F7044C" w:rsidP="00F7044C"/>
    <w:p w14:paraId="2B3D5FC2" w14:textId="77777777" w:rsidR="00F7044C" w:rsidRDefault="00F7044C" w:rsidP="00F7044C">
      <w:pPr>
        <w:pStyle w:val="Bibliography"/>
        <w:rPr>
          <w:rFonts w:ascii="Times" w:hAnsi="Times"/>
        </w:rPr>
      </w:pPr>
      <w:r w:rsidRPr="00C421E4">
        <w:rPr>
          <w:rFonts w:ascii="Times" w:hAnsi="Times"/>
        </w:rPr>
        <w:t xml:space="preserve">Rizvi, S. J., Salomons, T. V., Konarski, J. Z., Downar, J., Giacobbe, P., McIntyre, R. S., &amp; Kennedy, S. H. (2013). Neural response to emotional stimuli associated with successful antidepressant treatment and behavioral activation. </w:t>
      </w:r>
      <w:r w:rsidRPr="00C421E4">
        <w:rPr>
          <w:rFonts w:ascii="Times" w:hAnsi="Times"/>
          <w:i/>
          <w:iCs/>
        </w:rPr>
        <w:t>Journal of Affective Disorders</w:t>
      </w:r>
      <w:r w:rsidRPr="00C421E4">
        <w:rPr>
          <w:rFonts w:ascii="Times" w:hAnsi="Times"/>
        </w:rPr>
        <w:t xml:space="preserve">, </w:t>
      </w:r>
      <w:r w:rsidRPr="00C421E4">
        <w:rPr>
          <w:rFonts w:ascii="Times" w:hAnsi="Times"/>
          <w:i/>
          <w:iCs/>
        </w:rPr>
        <w:t>151</w:t>
      </w:r>
      <w:r w:rsidRPr="00C421E4">
        <w:rPr>
          <w:rFonts w:ascii="Times" w:hAnsi="Times"/>
        </w:rPr>
        <w:t>(2), 573–581. https://doi.org/10.1016/j.jad.2013.06.050</w:t>
      </w:r>
    </w:p>
    <w:p w14:paraId="6C8F5517" w14:textId="77777777" w:rsidR="00F7044C" w:rsidRPr="002A7951" w:rsidRDefault="00F7044C" w:rsidP="00F7044C"/>
    <w:p w14:paraId="51C0355C" w14:textId="77777777" w:rsidR="00F7044C" w:rsidRDefault="00F7044C" w:rsidP="00F7044C">
      <w:pPr>
        <w:pStyle w:val="Bibliography"/>
        <w:rPr>
          <w:rFonts w:ascii="Times" w:hAnsi="Times"/>
        </w:rPr>
      </w:pPr>
      <w:r w:rsidRPr="00C421E4">
        <w:rPr>
          <w:rFonts w:ascii="Times" w:hAnsi="Times"/>
        </w:rPr>
        <w:t xml:space="preserve">Rohling, M. L., Larrabee, G. J., &amp; Millis, S. R. (2012). The “Miserable Minority” following mild traumatic brain injury: Who are they and do meta-analyses hide them? </w:t>
      </w:r>
      <w:r w:rsidRPr="00C421E4">
        <w:rPr>
          <w:rFonts w:ascii="Times" w:hAnsi="Times"/>
          <w:i/>
          <w:iCs/>
        </w:rPr>
        <w:t>The Clinical Neuropsychologist</w:t>
      </w:r>
      <w:r w:rsidRPr="00C421E4">
        <w:rPr>
          <w:rFonts w:ascii="Times" w:hAnsi="Times"/>
        </w:rPr>
        <w:t xml:space="preserve">, </w:t>
      </w:r>
      <w:r w:rsidRPr="00C421E4">
        <w:rPr>
          <w:rFonts w:ascii="Times" w:hAnsi="Times"/>
          <w:i/>
          <w:iCs/>
        </w:rPr>
        <w:t>26</w:t>
      </w:r>
      <w:r w:rsidRPr="00C421E4">
        <w:rPr>
          <w:rFonts w:ascii="Times" w:hAnsi="Times"/>
        </w:rPr>
        <w:t>(2), 197–213.</w:t>
      </w:r>
    </w:p>
    <w:p w14:paraId="55CBFABD" w14:textId="77777777" w:rsidR="00F7044C" w:rsidRPr="002A7951" w:rsidRDefault="00F7044C" w:rsidP="00F7044C"/>
    <w:p w14:paraId="0D5F0938" w14:textId="77777777" w:rsidR="00F7044C" w:rsidRDefault="00F7044C" w:rsidP="00F7044C">
      <w:pPr>
        <w:pStyle w:val="Bibliography"/>
        <w:rPr>
          <w:rFonts w:ascii="Times" w:hAnsi="Times"/>
        </w:rPr>
      </w:pPr>
      <w:r w:rsidRPr="00C421E4">
        <w:rPr>
          <w:rFonts w:ascii="Times" w:hAnsi="Times"/>
        </w:rPr>
        <w:t xml:space="preserve">Rottenberg, J., Kasch, K. L., Gross, J. J., &amp; Gotlib, I. H. (2002). Sadness and amusement reactivity differentially predict concurrent and prospective functioning in major depressive disorder. </w:t>
      </w:r>
      <w:r w:rsidRPr="00C421E4">
        <w:rPr>
          <w:rFonts w:ascii="Times" w:hAnsi="Times"/>
          <w:i/>
          <w:iCs/>
        </w:rPr>
        <w:t>Emotion</w:t>
      </w:r>
      <w:r w:rsidRPr="00C421E4">
        <w:rPr>
          <w:rFonts w:ascii="Times" w:hAnsi="Times"/>
        </w:rPr>
        <w:t xml:space="preserve">, </w:t>
      </w:r>
      <w:r w:rsidRPr="00C421E4">
        <w:rPr>
          <w:rFonts w:ascii="Times" w:hAnsi="Times"/>
          <w:i/>
          <w:iCs/>
        </w:rPr>
        <w:t>2</w:t>
      </w:r>
      <w:r w:rsidRPr="00C421E4">
        <w:rPr>
          <w:rFonts w:ascii="Times" w:hAnsi="Times"/>
        </w:rPr>
        <w:t>(2), 135–146. https://doi.org/10.1037/1528-3542.2.2.135</w:t>
      </w:r>
    </w:p>
    <w:p w14:paraId="11F153AE" w14:textId="77777777" w:rsidR="00F7044C" w:rsidRPr="002A7951" w:rsidRDefault="00F7044C" w:rsidP="00F7044C"/>
    <w:p w14:paraId="722405BC" w14:textId="77777777" w:rsidR="00F7044C" w:rsidRDefault="00F7044C" w:rsidP="00F7044C">
      <w:pPr>
        <w:pStyle w:val="Bibliography"/>
        <w:rPr>
          <w:rFonts w:ascii="Times" w:hAnsi="Times"/>
        </w:rPr>
      </w:pPr>
      <w:r w:rsidRPr="00C421E4">
        <w:rPr>
          <w:rFonts w:ascii="Times" w:hAnsi="Times"/>
        </w:rPr>
        <w:t xml:space="preserve">Ruff, R. (2005). Two decades of advances in understanding of mild traumatic brain injury. </w:t>
      </w:r>
      <w:r w:rsidRPr="00C421E4">
        <w:rPr>
          <w:rFonts w:ascii="Times" w:hAnsi="Times"/>
          <w:i/>
          <w:iCs/>
        </w:rPr>
        <w:t>The Journal of Head Trauma Rehabilitation</w:t>
      </w:r>
      <w:r w:rsidRPr="00C421E4">
        <w:rPr>
          <w:rFonts w:ascii="Times" w:hAnsi="Times"/>
        </w:rPr>
        <w:t xml:space="preserve">, </w:t>
      </w:r>
      <w:r w:rsidRPr="00C421E4">
        <w:rPr>
          <w:rFonts w:ascii="Times" w:hAnsi="Times"/>
          <w:i/>
          <w:iCs/>
        </w:rPr>
        <w:t>20</w:t>
      </w:r>
      <w:r w:rsidRPr="00C421E4">
        <w:rPr>
          <w:rFonts w:ascii="Times" w:hAnsi="Times"/>
        </w:rPr>
        <w:t>(1), 5–18.</w:t>
      </w:r>
    </w:p>
    <w:p w14:paraId="6AFD0118" w14:textId="77777777" w:rsidR="00F7044C" w:rsidRPr="002A7951" w:rsidRDefault="00F7044C" w:rsidP="00F7044C"/>
    <w:p w14:paraId="071FE30B" w14:textId="77777777" w:rsidR="00F7044C" w:rsidRDefault="00F7044C" w:rsidP="00F7044C">
      <w:pPr>
        <w:pStyle w:val="Bibliography"/>
        <w:rPr>
          <w:rFonts w:ascii="Times" w:hAnsi="Times"/>
        </w:rPr>
      </w:pPr>
      <w:r w:rsidRPr="00C421E4">
        <w:rPr>
          <w:rFonts w:ascii="Times" w:hAnsi="Times"/>
        </w:rPr>
        <w:t xml:space="preserve">Ruff, R. M. (2011). Mild traumatic brain injury and neural recovery: rethinking the debate. </w:t>
      </w:r>
      <w:r w:rsidRPr="00C421E4">
        <w:rPr>
          <w:rFonts w:ascii="Times" w:hAnsi="Times"/>
          <w:i/>
          <w:iCs/>
        </w:rPr>
        <w:t>NeuroRehabilitation</w:t>
      </w:r>
      <w:r w:rsidRPr="00C421E4">
        <w:rPr>
          <w:rFonts w:ascii="Times" w:hAnsi="Times"/>
        </w:rPr>
        <w:t xml:space="preserve">, </w:t>
      </w:r>
      <w:r w:rsidRPr="00C421E4">
        <w:rPr>
          <w:rFonts w:ascii="Times" w:hAnsi="Times"/>
          <w:i/>
          <w:iCs/>
        </w:rPr>
        <w:t>28</w:t>
      </w:r>
      <w:r w:rsidRPr="00C421E4">
        <w:rPr>
          <w:rFonts w:ascii="Times" w:hAnsi="Times"/>
        </w:rPr>
        <w:t>(3), 167–180.</w:t>
      </w:r>
    </w:p>
    <w:p w14:paraId="6D55D112" w14:textId="77777777" w:rsidR="00F7044C" w:rsidRPr="002A7951" w:rsidRDefault="00F7044C" w:rsidP="00F7044C"/>
    <w:p w14:paraId="10428299" w14:textId="77777777" w:rsidR="00F7044C" w:rsidRDefault="00F7044C" w:rsidP="00F7044C">
      <w:pPr>
        <w:pStyle w:val="Bibliography"/>
        <w:rPr>
          <w:rFonts w:ascii="Times" w:hAnsi="Times"/>
        </w:rPr>
      </w:pPr>
      <w:r w:rsidRPr="00C421E4">
        <w:rPr>
          <w:rFonts w:ascii="Times" w:hAnsi="Times"/>
        </w:rPr>
        <w:t xml:space="preserve">Ruff, R. M., Crouch, J. A., </w:t>
      </w:r>
      <w:proofErr w:type="gramStart"/>
      <w:r w:rsidRPr="00C421E4">
        <w:rPr>
          <w:rFonts w:ascii="Times" w:hAnsi="Times"/>
        </w:rPr>
        <w:t>Tröster,  a</w:t>
      </w:r>
      <w:proofErr w:type="gramEnd"/>
      <w:r w:rsidRPr="00C421E4">
        <w:rPr>
          <w:rFonts w:ascii="Times" w:hAnsi="Times"/>
        </w:rPr>
        <w:t xml:space="preserve"> I., Marshall, L. F., Buchsbaum, M. S., Lottenberg, S., &amp; Somers, L. M. (1994). Selected cases of poor outcome following a minor brain trauma: comparing neuropsychological and positron emission tomography assessment. </w:t>
      </w:r>
      <w:r w:rsidRPr="00C421E4">
        <w:rPr>
          <w:rFonts w:ascii="Times" w:hAnsi="Times"/>
          <w:i/>
          <w:iCs/>
        </w:rPr>
        <w:t xml:space="preserve">Brain </w:t>
      </w:r>
      <w:proofErr w:type="gramStart"/>
      <w:r w:rsidRPr="00C421E4">
        <w:rPr>
          <w:rFonts w:ascii="Times" w:hAnsi="Times"/>
          <w:i/>
          <w:iCs/>
        </w:rPr>
        <w:t>Injury</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[BI]</w:t>
      </w:r>
      <w:r w:rsidRPr="00C421E4">
        <w:rPr>
          <w:rFonts w:ascii="Times" w:hAnsi="Times"/>
        </w:rPr>
        <w:t xml:space="preserve">, </w:t>
      </w:r>
      <w:r w:rsidRPr="00C421E4">
        <w:rPr>
          <w:rFonts w:ascii="Times" w:hAnsi="Times"/>
          <w:i/>
          <w:iCs/>
        </w:rPr>
        <w:t>8</w:t>
      </w:r>
      <w:r w:rsidRPr="00C421E4">
        <w:rPr>
          <w:rFonts w:ascii="Times" w:hAnsi="Times"/>
        </w:rPr>
        <w:t>(4), 297–308. https://doi.org/10.3109/02699059409150981</w:t>
      </w:r>
    </w:p>
    <w:p w14:paraId="6298E027" w14:textId="77777777" w:rsidR="00F7044C" w:rsidRPr="002A7951" w:rsidRDefault="00F7044C" w:rsidP="00F7044C"/>
    <w:p w14:paraId="1DDC1754" w14:textId="77777777" w:rsidR="00F7044C" w:rsidRDefault="00F7044C" w:rsidP="00F7044C">
      <w:pPr>
        <w:pStyle w:val="Bibliography"/>
        <w:rPr>
          <w:rFonts w:ascii="Times" w:hAnsi="Times"/>
        </w:rPr>
      </w:pPr>
      <w:r w:rsidRPr="00C421E4">
        <w:rPr>
          <w:rFonts w:ascii="Times" w:hAnsi="Times"/>
        </w:rPr>
        <w:t xml:space="preserve">Rutland-Brown, W., Langlois, J. A., Thomas, K. E., &amp; Xi, Y. L. (2006). Incidence of traumatic brain injury in the United States, 2003. </w:t>
      </w:r>
      <w:r w:rsidRPr="00C421E4">
        <w:rPr>
          <w:rFonts w:ascii="Times" w:hAnsi="Times"/>
          <w:i/>
          <w:iCs/>
        </w:rPr>
        <w:t>J Head Trauma Rehabil</w:t>
      </w:r>
      <w:r w:rsidRPr="00C421E4">
        <w:rPr>
          <w:rFonts w:ascii="Times" w:hAnsi="Times"/>
        </w:rPr>
        <w:t xml:space="preserve">, </w:t>
      </w:r>
      <w:r w:rsidRPr="00C421E4">
        <w:rPr>
          <w:rFonts w:ascii="Times" w:hAnsi="Times"/>
          <w:i/>
          <w:iCs/>
        </w:rPr>
        <w:t>21</w:t>
      </w:r>
      <w:r w:rsidRPr="00C421E4">
        <w:rPr>
          <w:rFonts w:ascii="Times" w:hAnsi="Times"/>
        </w:rPr>
        <w:t>(6), 544–548. https://doi.org/00001199-200611000-00009 [pii]</w:t>
      </w:r>
    </w:p>
    <w:p w14:paraId="1F77BF38" w14:textId="77777777" w:rsidR="00F7044C" w:rsidRPr="002A7951" w:rsidRDefault="00F7044C" w:rsidP="00F7044C"/>
    <w:p w14:paraId="4FEF88AE" w14:textId="77777777" w:rsidR="00F7044C" w:rsidRDefault="00F7044C" w:rsidP="00F7044C">
      <w:pPr>
        <w:pStyle w:val="Bibliography"/>
        <w:rPr>
          <w:rFonts w:ascii="Times" w:hAnsi="Times"/>
        </w:rPr>
      </w:pPr>
      <w:r w:rsidRPr="00C421E4">
        <w:rPr>
          <w:rFonts w:ascii="Times" w:hAnsi="Times"/>
        </w:rPr>
        <w:t xml:space="preserve">Salthouse, T. A. (2004). What and when of cognitive aging. </w:t>
      </w:r>
      <w:r w:rsidRPr="00C421E4">
        <w:rPr>
          <w:rFonts w:ascii="Times" w:hAnsi="Times"/>
          <w:i/>
          <w:iCs/>
        </w:rPr>
        <w:t>Current Directions in Psychological Science</w:t>
      </w:r>
      <w:r w:rsidRPr="00C421E4">
        <w:rPr>
          <w:rFonts w:ascii="Times" w:hAnsi="Times"/>
        </w:rPr>
        <w:t xml:space="preserve">, </w:t>
      </w:r>
      <w:r w:rsidRPr="00C421E4">
        <w:rPr>
          <w:rFonts w:ascii="Times" w:hAnsi="Times"/>
          <w:i/>
          <w:iCs/>
        </w:rPr>
        <w:t>13</w:t>
      </w:r>
      <w:r w:rsidRPr="00C421E4">
        <w:rPr>
          <w:rFonts w:ascii="Times" w:hAnsi="Times"/>
        </w:rPr>
        <w:t>(4), 140–144.</w:t>
      </w:r>
    </w:p>
    <w:p w14:paraId="335B6409" w14:textId="77777777" w:rsidR="00F7044C" w:rsidRPr="002A7951" w:rsidRDefault="00F7044C" w:rsidP="00F7044C"/>
    <w:p w14:paraId="54198B87" w14:textId="77777777" w:rsidR="00F7044C" w:rsidRDefault="00F7044C" w:rsidP="00F7044C">
      <w:pPr>
        <w:pStyle w:val="Bibliography"/>
        <w:rPr>
          <w:rFonts w:ascii="Times" w:hAnsi="Times"/>
        </w:rPr>
      </w:pPr>
      <w:r w:rsidRPr="00C421E4">
        <w:rPr>
          <w:rFonts w:ascii="Times" w:hAnsi="Times"/>
        </w:rPr>
        <w:t xml:space="preserve">Sande, A., &amp; West, C. (2010). Traumatic brain injury: A review of pathophysiology and management. </w:t>
      </w:r>
      <w:r w:rsidRPr="00C421E4">
        <w:rPr>
          <w:rFonts w:ascii="Times" w:hAnsi="Times"/>
          <w:i/>
          <w:iCs/>
        </w:rPr>
        <w:t>Journal of Veterinary Emergency and Critical Care</w:t>
      </w:r>
      <w:r w:rsidRPr="00C421E4">
        <w:rPr>
          <w:rFonts w:ascii="Times" w:hAnsi="Times"/>
        </w:rPr>
        <w:t>. https://doi.org/10.1111/j.1476-4431.2010.00527.x</w:t>
      </w:r>
    </w:p>
    <w:p w14:paraId="730AA736" w14:textId="77777777" w:rsidR="00F7044C" w:rsidRPr="002A7951" w:rsidRDefault="00F7044C" w:rsidP="00F7044C"/>
    <w:p w14:paraId="7ABDB567" w14:textId="77777777" w:rsidR="00F7044C" w:rsidRDefault="00F7044C" w:rsidP="00F7044C">
      <w:pPr>
        <w:pStyle w:val="Bibliography"/>
        <w:rPr>
          <w:rFonts w:ascii="Times" w:hAnsi="Times"/>
        </w:rPr>
      </w:pPr>
      <w:r w:rsidRPr="00C421E4">
        <w:rPr>
          <w:rFonts w:ascii="Times" w:hAnsi="Times"/>
        </w:rPr>
        <w:t xml:space="preserve">Schabus, M., Gruber, G., Parapatics, S., Sauter, C., Klösch, G., Anderer, P., … Zeitlhofer, J. (2004). Sleep spindles and their significance for declarative memory consolidation. </w:t>
      </w:r>
      <w:r w:rsidRPr="00C421E4">
        <w:rPr>
          <w:rFonts w:ascii="Times" w:hAnsi="Times"/>
          <w:i/>
          <w:iCs/>
        </w:rPr>
        <w:t>Sleep</w:t>
      </w:r>
      <w:r w:rsidRPr="00C421E4">
        <w:rPr>
          <w:rFonts w:ascii="Times" w:hAnsi="Times"/>
        </w:rPr>
        <w:t xml:space="preserve">, </w:t>
      </w:r>
      <w:r w:rsidRPr="00C421E4">
        <w:rPr>
          <w:rFonts w:ascii="Times" w:hAnsi="Times"/>
          <w:i/>
          <w:iCs/>
        </w:rPr>
        <w:t>27</w:t>
      </w:r>
      <w:r w:rsidRPr="00C421E4">
        <w:rPr>
          <w:rFonts w:ascii="Times" w:hAnsi="Times"/>
        </w:rPr>
        <w:t>(8), 1479–1485.</w:t>
      </w:r>
    </w:p>
    <w:p w14:paraId="5AE53B1C" w14:textId="77777777" w:rsidR="00F7044C" w:rsidRPr="002A7951" w:rsidRDefault="00F7044C" w:rsidP="00F7044C"/>
    <w:p w14:paraId="27198368" w14:textId="77777777" w:rsidR="00F7044C" w:rsidRDefault="00F7044C" w:rsidP="00F7044C">
      <w:pPr>
        <w:pStyle w:val="Bibliography"/>
        <w:rPr>
          <w:rFonts w:ascii="Times" w:hAnsi="Times"/>
        </w:rPr>
      </w:pPr>
      <w:r w:rsidRPr="00C421E4">
        <w:rPr>
          <w:rFonts w:ascii="Times" w:hAnsi="Times"/>
        </w:rPr>
        <w:t xml:space="preserve">Schaefer, H. S., Putnam, K. M., Benca, R. M., &amp; Davidson, R. J. (2006). Event-Related Functional Magnetic Resonance Imaging Measures of Neural Activity to Positive Social Stimuli in Pre- and Post-Treatment Depression. </w:t>
      </w:r>
      <w:r w:rsidRPr="00C421E4">
        <w:rPr>
          <w:rFonts w:ascii="Times" w:hAnsi="Times"/>
          <w:i/>
          <w:iCs/>
        </w:rPr>
        <w:t>Biological Psychiatry</w:t>
      </w:r>
      <w:r w:rsidRPr="00C421E4">
        <w:rPr>
          <w:rFonts w:ascii="Times" w:hAnsi="Times"/>
        </w:rPr>
        <w:t xml:space="preserve">, </w:t>
      </w:r>
      <w:r w:rsidRPr="00C421E4">
        <w:rPr>
          <w:rFonts w:ascii="Times" w:hAnsi="Times"/>
          <w:i/>
          <w:iCs/>
        </w:rPr>
        <w:t>60</w:t>
      </w:r>
      <w:r w:rsidRPr="00C421E4">
        <w:rPr>
          <w:rFonts w:ascii="Times" w:hAnsi="Times"/>
        </w:rPr>
        <w:t>(9), 974–986. https://doi.org/10.1016/j.biopsych.2006.03.024</w:t>
      </w:r>
    </w:p>
    <w:p w14:paraId="18D2E548" w14:textId="77777777" w:rsidR="00F7044C" w:rsidRPr="002A7951" w:rsidRDefault="00F7044C" w:rsidP="00F7044C"/>
    <w:p w14:paraId="6DB2ACFB" w14:textId="77777777" w:rsidR="00F7044C" w:rsidRDefault="00F7044C" w:rsidP="00F7044C">
      <w:pPr>
        <w:pStyle w:val="Bibliography"/>
        <w:rPr>
          <w:rFonts w:ascii="Times" w:hAnsi="Times"/>
        </w:rPr>
      </w:pPr>
      <w:r w:rsidRPr="00C421E4">
        <w:rPr>
          <w:rFonts w:ascii="Times" w:hAnsi="Times"/>
        </w:rPr>
        <w:t xml:space="preserve">Schatz, P., Moser, R. S., Covassin, T., &amp; Karpf, R. (2011). Early Indicators of Enduring Symptoms in High School Athletes </w:t>
      </w:r>
      <w:proofErr w:type="gramStart"/>
      <w:r w:rsidRPr="00C421E4">
        <w:rPr>
          <w:rFonts w:ascii="Times" w:hAnsi="Times"/>
        </w:rPr>
        <w:t>With</w:t>
      </w:r>
      <w:proofErr w:type="gramEnd"/>
      <w:r w:rsidRPr="00C421E4">
        <w:rPr>
          <w:rFonts w:ascii="Times" w:hAnsi="Times"/>
        </w:rPr>
        <w:t xml:space="preserve"> Multiple Previous Concussions. </w:t>
      </w:r>
      <w:r w:rsidRPr="00C421E4">
        <w:rPr>
          <w:rFonts w:ascii="Times" w:hAnsi="Times"/>
          <w:i/>
          <w:iCs/>
        </w:rPr>
        <w:t>Neurosugery</w:t>
      </w:r>
      <w:r w:rsidRPr="00C421E4">
        <w:rPr>
          <w:rFonts w:ascii="Times" w:hAnsi="Times"/>
        </w:rPr>
        <w:t xml:space="preserve">, </w:t>
      </w:r>
      <w:r w:rsidRPr="00C421E4">
        <w:rPr>
          <w:rFonts w:ascii="Times" w:hAnsi="Times"/>
          <w:i/>
          <w:iCs/>
        </w:rPr>
        <w:t>68</w:t>
      </w:r>
      <w:r w:rsidRPr="00C421E4">
        <w:rPr>
          <w:rFonts w:ascii="Times" w:hAnsi="Times"/>
        </w:rPr>
        <w:t>(6), 1562–1567.</w:t>
      </w:r>
    </w:p>
    <w:p w14:paraId="7AA3115E" w14:textId="77777777" w:rsidR="00F7044C" w:rsidRPr="002A7951" w:rsidRDefault="00F7044C" w:rsidP="00F7044C"/>
    <w:p w14:paraId="5CDE2A79" w14:textId="77777777" w:rsidR="00F7044C" w:rsidRDefault="00F7044C" w:rsidP="00F7044C">
      <w:pPr>
        <w:pStyle w:val="Bibliography"/>
        <w:rPr>
          <w:rFonts w:ascii="Times" w:hAnsi="Times"/>
        </w:rPr>
      </w:pPr>
      <w:r w:rsidRPr="00C421E4">
        <w:rPr>
          <w:rFonts w:ascii="Times" w:hAnsi="Times"/>
        </w:rPr>
        <w:t xml:space="preserve">Schiller, D., &amp; Delgado, M. R. (2010). Overlapping neural systems mediating extinction, reversal and regulation of fear. </w:t>
      </w:r>
      <w:r w:rsidRPr="00C421E4">
        <w:rPr>
          <w:rFonts w:ascii="Times" w:hAnsi="Times"/>
          <w:i/>
          <w:iCs/>
        </w:rPr>
        <w:t>Trends in Cognitive Sciences</w:t>
      </w:r>
      <w:r w:rsidRPr="00C421E4">
        <w:rPr>
          <w:rFonts w:ascii="Times" w:hAnsi="Times"/>
        </w:rPr>
        <w:t>. https://doi.org/10.1016/j.tics.2010.04.002</w:t>
      </w:r>
    </w:p>
    <w:p w14:paraId="52105061" w14:textId="77777777" w:rsidR="00F7044C" w:rsidRPr="002A7951" w:rsidRDefault="00F7044C" w:rsidP="00F7044C"/>
    <w:p w14:paraId="56E86CB5" w14:textId="77777777" w:rsidR="00F7044C" w:rsidRDefault="00F7044C" w:rsidP="00F7044C">
      <w:pPr>
        <w:pStyle w:val="Bibliography"/>
        <w:rPr>
          <w:rFonts w:ascii="Times" w:hAnsi="Times"/>
        </w:rPr>
      </w:pPr>
      <w:r w:rsidRPr="00C421E4">
        <w:rPr>
          <w:rFonts w:ascii="Times" w:hAnsi="Times"/>
        </w:rPr>
        <w:t xml:space="preserve">Scholten, A. C., Haagsma, J. A., Cnossen, M. C., Olff, M., Van Beeck, E. F., &amp; Polinder, S. (2016). Prevalence and risk factors of anxiety and depressive disorders following traumatic brain injury: a systematic review. </w:t>
      </w:r>
      <w:r w:rsidRPr="00C421E4">
        <w:rPr>
          <w:rFonts w:ascii="Times" w:hAnsi="Times"/>
          <w:i/>
          <w:iCs/>
        </w:rPr>
        <w:t>Journal of Neurotrauma</w:t>
      </w:r>
      <w:r w:rsidRPr="00C421E4">
        <w:rPr>
          <w:rFonts w:ascii="Times" w:hAnsi="Times"/>
        </w:rPr>
        <w:t>. https://doi.org/10.1089/neu.2015.4252</w:t>
      </w:r>
    </w:p>
    <w:p w14:paraId="2D9F42EE" w14:textId="77777777" w:rsidR="00F7044C" w:rsidRPr="002A7951" w:rsidRDefault="00F7044C" w:rsidP="00F7044C"/>
    <w:p w14:paraId="51D782DF" w14:textId="77777777" w:rsidR="00F7044C" w:rsidRDefault="00F7044C" w:rsidP="00F7044C">
      <w:pPr>
        <w:pStyle w:val="Bibliography"/>
        <w:rPr>
          <w:rFonts w:ascii="Times" w:hAnsi="Times"/>
        </w:rPr>
      </w:pPr>
      <w:r w:rsidRPr="00C421E4">
        <w:rPr>
          <w:rFonts w:ascii="Times" w:hAnsi="Times"/>
        </w:rPr>
        <w:t xml:space="preserve">Shah, S. G., Klumpp, H., Angstadt, M., Nathan, P. J., &amp; Phan, K. L. (2009). Amygdala and insula response to emotional images in patients with generalized social anxiety disorder. </w:t>
      </w:r>
      <w:r w:rsidRPr="00C421E4">
        <w:rPr>
          <w:rFonts w:ascii="Times" w:hAnsi="Times"/>
          <w:i/>
          <w:iCs/>
        </w:rPr>
        <w:t xml:space="preserve">Journal of Psychiatry &amp; </w:t>
      </w:r>
      <w:proofErr w:type="gramStart"/>
      <w:r w:rsidRPr="00C421E4">
        <w:rPr>
          <w:rFonts w:ascii="Times" w:hAnsi="Times"/>
          <w:i/>
          <w:iCs/>
        </w:rPr>
        <w:t>Neuroscience</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JPN</w:t>
      </w:r>
      <w:r w:rsidRPr="00C421E4">
        <w:rPr>
          <w:rFonts w:ascii="Times" w:hAnsi="Times"/>
        </w:rPr>
        <w:t xml:space="preserve">, </w:t>
      </w:r>
      <w:r w:rsidRPr="00C421E4">
        <w:rPr>
          <w:rFonts w:ascii="Times" w:hAnsi="Times"/>
          <w:i/>
          <w:iCs/>
        </w:rPr>
        <w:t>34</w:t>
      </w:r>
      <w:r w:rsidRPr="00C421E4">
        <w:rPr>
          <w:rFonts w:ascii="Times" w:hAnsi="Times"/>
        </w:rPr>
        <w:t>(4), 296–302.</w:t>
      </w:r>
    </w:p>
    <w:p w14:paraId="53C479C1" w14:textId="77777777" w:rsidR="00F7044C" w:rsidRPr="002A7951" w:rsidRDefault="00F7044C" w:rsidP="00F7044C"/>
    <w:p w14:paraId="337FCBAA" w14:textId="77777777" w:rsidR="00F7044C" w:rsidRDefault="00F7044C" w:rsidP="00F7044C">
      <w:pPr>
        <w:pStyle w:val="Bibliography"/>
        <w:rPr>
          <w:rFonts w:ascii="Times" w:hAnsi="Times"/>
        </w:rPr>
      </w:pPr>
      <w:r w:rsidRPr="00C421E4">
        <w:rPr>
          <w:rFonts w:ascii="Times" w:hAnsi="Times"/>
        </w:rPr>
        <w:t xml:space="preserve">Shekleton, J. A., Parcell, D. L., Redman, J. R., Phipps-Nelson, J., Ponsford, J. L., &amp; Rajaratnam, S. M. W. (2010). Sleep disturbance and melatonin levels following traumatic brain injury. </w:t>
      </w:r>
      <w:r w:rsidRPr="00C421E4">
        <w:rPr>
          <w:rFonts w:ascii="Times" w:hAnsi="Times"/>
          <w:i/>
          <w:iCs/>
        </w:rPr>
        <w:t>Neurology</w:t>
      </w:r>
      <w:r w:rsidRPr="00C421E4">
        <w:rPr>
          <w:rFonts w:ascii="Times" w:hAnsi="Times"/>
        </w:rPr>
        <w:t xml:space="preserve">, </w:t>
      </w:r>
      <w:r w:rsidRPr="00C421E4">
        <w:rPr>
          <w:rFonts w:ascii="Times" w:hAnsi="Times"/>
          <w:i/>
          <w:iCs/>
        </w:rPr>
        <w:t>74</w:t>
      </w:r>
      <w:r w:rsidRPr="00C421E4">
        <w:rPr>
          <w:rFonts w:ascii="Times" w:hAnsi="Times"/>
        </w:rPr>
        <w:t>(21), 1732–1738. https://doi.org/10.1212/WNL.0b013e3181e0438b</w:t>
      </w:r>
    </w:p>
    <w:p w14:paraId="48B4F779" w14:textId="77777777" w:rsidR="00F7044C" w:rsidRPr="002A7951" w:rsidRDefault="00F7044C" w:rsidP="00F7044C"/>
    <w:p w14:paraId="6186B811" w14:textId="77777777" w:rsidR="00F7044C" w:rsidRDefault="00F7044C" w:rsidP="00F7044C">
      <w:pPr>
        <w:pStyle w:val="Bibliography"/>
        <w:rPr>
          <w:rFonts w:ascii="Times" w:hAnsi="Times"/>
        </w:rPr>
      </w:pPr>
      <w:r w:rsidRPr="00C421E4">
        <w:rPr>
          <w:rFonts w:ascii="Times" w:hAnsi="Times"/>
        </w:rPr>
        <w:t xml:space="preserve">Shin, L. M., Wright, C. I., Cannistraro, P. A., Wedig, M. M., McMullin, K., Martis, B., … Rauch, S. L. (2005). A Functional Magnetic Resonance Imaging Study of Amygdala and Medial Prefrontal Cortex Responses to Overtly Presented Fearful Faces in Posttraumatic Stress Disorder. </w:t>
      </w:r>
      <w:r w:rsidRPr="00C421E4">
        <w:rPr>
          <w:rFonts w:ascii="Times" w:hAnsi="Times"/>
          <w:i/>
          <w:iCs/>
        </w:rPr>
        <w:t>Archives of General Psychiatry</w:t>
      </w:r>
      <w:r w:rsidRPr="00C421E4">
        <w:rPr>
          <w:rFonts w:ascii="Times" w:hAnsi="Times"/>
        </w:rPr>
        <w:t xml:space="preserve">, </w:t>
      </w:r>
      <w:r w:rsidRPr="00C421E4">
        <w:rPr>
          <w:rFonts w:ascii="Times" w:hAnsi="Times"/>
          <w:i/>
          <w:iCs/>
        </w:rPr>
        <w:t>62</w:t>
      </w:r>
      <w:r w:rsidRPr="00C421E4">
        <w:rPr>
          <w:rFonts w:ascii="Times" w:hAnsi="Times"/>
        </w:rPr>
        <w:t>(3), 273–281. https://doi.org/10.1001/archpsyc.62.3.273</w:t>
      </w:r>
    </w:p>
    <w:p w14:paraId="08505F96" w14:textId="77777777" w:rsidR="00F7044C" w:rsidRPr="002A7951" w:rsidRDefault="00F7044C" w:rsidP="00F7044C"/>
    <w:p w14:paraId="0E6FB731" w14:textId="77777777" w:rsidR="00F7044C" w:rsidRDefault="00F7044C" w:rsidP="00F7044C">
      <w:pPr>
        <w:pStyle w:val="Bibliography"/>
        <w:rPr>
          <w:rFonts w:ascii="Times" w:hAnsi="Times"/>
        </w:rPr>
      </w:pPr>
      <w:r w:rsidRPr="00C421E4">
        <w:rPr>
          <w:rFonts w:ascii="Times" w:hAnsi="Times"/>
        </w:rPr>
        <w:t xml:space="preserve">Silber, M. H., Ancoli-Israel, S., &amp; Bonnet, M. H. (2007). The visual scoring of sleep in adults. </w:t>
      </w:r>
      <w:r w:rsidRPr="00C421E4">
        <w:rPr>
          <w:rFonts w:ascii="Times" w:hAnsi="Times"/>
          <w:i/>
          <w:iCs/>
        </w:rPr>
        <w:t>Journal of Clinical Sleep Medicine</w:t>
      </w:r>
      <w:r w:rsidRPr="00C421E4">
        <w:rPr>
          <w:rFonts w:ascii="Times" w:hAnsi="Times"/>
        </w:rPr>
        <w:t xml:space="preserve">, </w:t>
      </w:r>
      <w:r w:rsidRPr="00C421E4">
        <w:rPr>
          <w:rFonts w:ascii="Times" w:hAnsi="Times"/>
          <w:i/>
          <w:iCs/>
        </w:rPr>
        <w:t>3</w:t>
      </w:r>
      <w:r w:rsidRPr="00C421E4">
        <w:rPr>
          <w:rFonts w:ascii="Times" w:hAnsi="Times"/>
        </w:rPr>
        <w:t>, 121–131.</w:t>
      </w:r>
    </w:p>
    <w:p w14:paraId="6ED38107" w14:textId="77777777" w:rsidR="00F7044C" w:rsidRPr="002A7951" w:rsidRDefault="00F7044C" w:rsidP="00F7044C"/>
    <w:p w14:paraId="4309EC85" w14:textId="77777777" w:rsidR="00F7044C" w:rsidRDefault="00F7044C" w:rsidP="00F7044C">
      <w:pPr>
        <w:pStyle w:val="Bibliography"/>
        <w:rPr>
          <w:rFonts w:ascii="Times" w:hAnsi="Times"/>
        </w:rPr>
      </w:pPr>
      <w:r w:rsidRPr="00C421E4">
        <w:rPr>
          <w:rFonts w:ascii="Times" w:hAnsi="Times"/>
        </w:rPr>
        <w:t xml:space="preserve">Silbersweig, D., Clarkin, J. F., Goldstein, M., Kernberg, O. F., Tuescher, O., Levy, K. N., … Stern, E. (2007). Failure of frontolimbic inhibitory function in the context of negative emotion in borderline personality disorder. </w:t>
      </w:r>
      <w:r w:rsidRPr="00C421E4">
        <w:rPr>
          <w:rFonts w:ascii="Times" w:hAnsi="Times"/>
          <w:i/>
          <w:iCs/>
        </w:rPr>
        <w:t>American Journal of Psychiatry</w:t>
      </w:r>
      <w:r w:rsidRPr="00C421E4">
        <w:rPr>
          <w:rFonts w:ascii="Times" w:hAnsi="Times"/>
        </w:rPr>
        <w:t xml:space="preserve">, </w:t>
      </w:r>
      <w:r w:rsidRPr="00C421E4">
        <w:rPr>
          <w:rFonts w:ascii="Times" w:hAnsi="Times"/>
          <w:i/>
          <w:iCs/>
        </w:rPr>
        <w:t>164</w:t>
      </w:r>
      <w:r w:rsidRPr="00C421E4">
        <w:rPr>
          <w:rFonts w:ascii="Times" w:hAnsi="Times"/>
        </w:rPr>
        <w:t>(12), 1832–1841. https://doi.org/10.1176/appi.ajp.2007.06010126</w:t>
      </w:r>
    </w:p>
    <w:p w14:paraId="6EC37145" w14:textId="77777777" w:rsidR="00F7044C" w:rsidRPr="002A7951" w:rsidRDefault="00F7044C" w:rsidP="00F7044C"/>
    <w:p w14:paraId="5ADD64CB" w14:textId="77777777" w:rsidR="00F7044C" w:rsidRDefault="00F7044C" w:rsidP="00F7044C">
      <w:pPr>
        <w:pStyle w:val="Bibliography"/>
        <w:rPr>
          <w:rFonts w:ascii="Times" w:hAnsi="Times"/>
        </w:rPr>
      </w:pPr>
      <w:r w:rsidRPr="00C421E4">
        <w:rPr>
          <w:rFonts w:ascii="Times" w:hAnsi="Times"/>
        </w:rPr>
        <w:t xml:space="preserve">Silver, J. M., McAllister, T. W., &amp; Yudofsky, S. C. (2005). </w:t>
      </w:r>
      <w:r w:rsidRPr="00C421E4">
        <w:rPr>
          <w:rFonts w:ascii="Times" w:hAnsi="Times"/>
          <w:i/>
          <w:iCs/>
        </w:rPr>
        <w:t>Textbook of traumatic brain injury</w:t>
      </w:r>
      <w:r w:rsidRPr="00C421E4">
        <w:rPr>
          <w:rFonts w:ascii="Times" w:hAnsi="Times"/>
        </w:rPr>
        <w:t xml:space="preserve">. </w:t>
      </w:r>
      <w:r w:rsidRPr="00C421E4">
        <w:rPr>
          <w:rFonts w:ascii="Times" w:hAnsi="Times"/>
          <w:i/>
          <w:iCs/>
        </w:rPr>
        <w:t xml:space="preserve">Jama The Journal </w:t>
      </w:r>
      <w:proofErr w:type="gramStart"/>
      <w:r w:rsidRPr="00C421E4">
        <w:rPr>
          <w:rFonts w:ascii="Times" w:hAnsi="Times"/>
          <w:i/>
          <w:iCs/>
        </w:rPr>
        <w:t>Of</w:t>
      </w:r>
      <w:proofErr w:type="gramEnd"/>
      <w:r w:rsidRPr="00C421E4">
        <w:rPr>
          <w:rFonts w:ascii="Times" w:hAnsi="Times"/>
          <w:i/>
          <w:iCs/>
        </w:rPr>
        <w:t xml:space="preserve"> The American Medical Association</w:t>
      </w:r>
      <w:r w:rsidRPr="00C421E4">
        <w:rPr>
          <w:rFonts w:ascii="Times" w:hAnsi="Times"/>
        </w:rPr>
        <w:t xml:space="preserve"> (Vol. 293). https://doi.org/10.1001/jama.293.17.2161-a</w:t>
      </w:r>
    </w:p>
    <w:p w14:paraId="7A709BFB" w14:textId="77777777" w:rsidR="00F7044C" w:rsidRPr="002A7951" w:rsidRDefault="00F7044C" w:rsidP="00F7044C"/>
    <w:p w14:paraId="4D1CDD06" w14:textId="77777777" w:rsidR="00F7044C" w:rsidRDefault="00F7044C" w:rsidP="00F7044C">
      <w:pPr>
        <w:pStyle w:val="Bibliography"/>
        <w:rPr>
          <w:rFonts w:ascii="Times" w:hAnsi="Times"/>
        </w:rPr>
      </w:pPr>
      <w:r w:rsidRPr="00C421E4">
        <w:rPr>
          <w:rFonts w:ascii="Times" w:hAnsi="Times"/>
        </w:rPr>
        <w:t xml:space="preserve">Sonni, A., &amp; Spencer, R. M. C. (2015). Sleep protects memories from interference in older adults. </w:t>
      </w:r>
      <w:r w:rsidRPr="00C421E4">
        <w:rPr>
          <w:rFonts w:ascii="Times" w:hAnsi="Times"/>
          <w:i/>
          <w:iCs/>
        </w:rPr>
        <w:t>Neurobiology of Aging</w:t>
      </w:r>
      <w:r w:rsidRPr="00C421E4">
        <w:rPr>
          <w:rFonts w:ascii="Times" w:hAnsi="Times"/>
        </w:rPr>
        <w:t xml:space="preserve">, </w:t>
      </w:r>
      <w:r w:rsidRPr="00C421E4">
        <w:rPr>
          <w:rFonts w:ascii="Times" w:hAnsi="Times"/>
          <w:i/>
          <w:iCs/>
        </w:rPr>
        <w:t>36</w:t>
      </w:r>
      <w:r w:rsidRPr="00C421E4">
        <w:rPr>
          <w:rFonts w:ascii="Times" w:hAnsi="Times"/>
        </w:rPr>
        <w:t>(7). https://doi.org/10.1016/j.neurobiolaging.2015.03.010</w:t>
      </w:r>
    </w:p>
    <w:p w14:paraId="67581E4C" w14:textId="77777777" w:rsidR="00F7044C" w:rsidRPr="002A7951" w:rsidRDefault="00F7044C" w:rsidP="00F7044C"/>
    <w:p w14:paraId="3A8F31C3" w14:textId="77777777" w:rsidR="00F7044C" w:rsidRDefault="00F7044C" w:rsidP="00F7044C">
      <w:pPr>
        <w:pStyle w:val="Bibliography"/>
        <w:rPr>
          <w:rFonts w:ascii="Times" w:hAnsi="Times"/>
        </w:rPr>
      </w:pPr>
      <w:r w:rsidRPr="00C421E4">
        <w:rPr>
          <w:rFonts w:ascii="Times" w:hAnsi="Times"/>
        </w:rPr>
        <w:t xml:space="preserve">Spielberger, C. D. (1987). State-Trait Anxiety Inventory. </w:t>
      </w:r>
      <w:r w:rsidRPr="00C421E4">
        <w:rPr>
          <w:rFonts w:ascii="Times" w:hAnsi="Times"/>
          <w:i/>
          <w:iCs/>
        </w:rPr>
        <w:t>Anxiety</w:t>
      </w:r>
      <w:r w:rsidRPr="00C421E4">
        <w:rPr>
          <w:rFonts w:ascii="Times" w:hAnsi="Times"/>
        </w:rPr>
        <w:t>. https://doi.org/10.1037/t06496-000</w:t>
      </w:r>
    </w:p>
    <w:p w14:paraId="2274CBC0" w14:textId="77777777" w:rsidR="00F7044C" w:rsidRPr="002A7951" w:rsidRDefault="00F7044C" w:rsidP="00F7044C"/>
    <w:p w14:paraId="75B94A48" w14:textId="77777777" w:rsidR="00F7044C" w:rsidRDefault="00F7044C" w:rsidP="00F7044C">
      <w:pPr>
        <w:pStyle w:val="Bibliography"/>
        <w:rPr>
          <w:rFonts w:ascii="Times" w:hAnsi="Times"/>
        </w:rPr>
      </w:pPr>
      <w:r w:rsidRPr="00C421E4">
        <w:rPr>
          <w:rFonts w:ascii="Times" w:hAnsi="Times"/>
        </w:rPr>
        <w:t xml:space="preserve">Spira, J. L., Lathan, C. E., Bleiberg, J., &amp; Tsao, J. W. (2014a). The Impact of Multiple Concussions on Emotional Distress, Post-Concussive Symptoms, and Neurocognitive Functioning in Active Duty United States Marines Independent of Combat Exposure or Emotional Distress. </w:t>
      </w:r>
      <w:r w:rsidRPr="00C421E4">
        <w:rPr>
          <w:rFonts w:ascii="Times" w:hAnsi="Times"/>
          <w:i/>
          <w:iCs/>
        </w:rPr>
        <w:t>Journal of Neurotrauma</w:t>
      </w:r>
      <w:r w:rsidRPr="00C421E4">
        <w:rPr>
          <w:rFonts w:ascii="Times" w:hAnsi="Times"/>
        </w:rPr>
        <w:t xml:space="preserve">, </w:t>
      </w:r>
      <w:r w:rsidRPr="00C421E4">
        <w:rPr>
          <w:rFonts w:ascii="Times" w:hAnsi="Times"/>
          <w:i/>
          <w:iCs/>
        </w:rPr>
        <w:t>31</w:t>
      </w:r>
      <w:r w:rsidRPr="00C421E4">
        <w:rPr>
          <w:rFonts w:ascii="Times" w:hAnsi="Times"/>
        </w:rPr>
        <w:t>(22), 1823–1834.</w:t>
      </w:r>
    </w:p>
    <w:p w14:paraId="60639B93" w14:textId="77777777" w:rsidR="00F7044C" w:rsidRPr="002A7951" w:rsidRDefault="00F7044C" w:rsidP="00F7044C"/>
    <w:p w14:paraId="68543423" w14:textId="77777777" w:rsidR="00F7044C" w:rsidRDefault="00F7044C" w:rsidP="00F7044C">
      <w:pPr>
        <w:pStyle w:val="Bibliography"/>
        <w:rPr>
          <w:rFonts w:ascii="Times" w:hAnsi="Times"/>
        </w:rPr>
      </w:pPr>
      <w:r w:rsidRPr="00C421E4">
        <w:rPr>
          <w:rFonts w:ascii="Times" w:hAnsi="Times"/>
        </w:rPr>
        <w:t xml:space="preserve">Spira, J. L., Lathan, C. E., Bleiberg, J., &amp; Tsao, J. W. (2014b). The Impact of Multiple Concussions on Emotional Distress, Post-Concussive Symptoms, and Neurocognitive Functioning in Active Duty United States Marines Independent of Combat Exposure or Emotional Distress. </w:t>
      </w:r>
      <w:r w:rsidRPr="00C421E4">
        <w:rPr>
          <w:rFonts w:ascii="Times" w:hAnsi="Times"/>
          <w:i/>
          <w:iCs/>
        </w:rPr>
        <w:t>Journal of Neurotrauma</w:t>
      </w:r>
      <w:r w:rsidRPr="00C421E4">
        <w:rPr>
          <w:rFonts w:ascii="Times" w:hAnsi="Times"/>
        </w:rPr>
        <w:t xml:space="preserve">, </w:t>
      </w:r>
      <w:r w:rsidRPr="00C421E4">
        <w:rPr>
          <w:rFonts w:ascii="Times" w:hAnsi="Times"/>
          <w:i/>
          <w:iCs/>
        </w:rPr>
        <w:t>31</w:t>
      </w:r>
      <w:r w:rsidRPr="00C421E4">
        <w:rPr>
          <w:rFonts w:ascii="Times" w:hAnsi="Times"/>
        </w:rPr>
        <w:t>(22), 1823–1834.</w:t>
      </w:r>
    </w:p>
    <w:p w14:paraId="01610579" w14:textId="77777777" w:rsidR="00F7044C" w:rsidRPr="002A7951" w:rsidRDefault="00F7044C" w:rsidP="00F7044C"/>
    <w:p w14:paraId="021BB5DF" w14:textId="77777777" w:rsidR="00F7044C" w:rsidRDefault="00F7044C" w:rsidP="00F7044C">
      <w:pPr>
        <w:pStyle w:val="Bibliography"/>
        <w:rPr>
          <w:rFonts w:ascii="Times" w:hAnsi="Times"/>
        </w:rPr>
      </w:pPr>
      <w:r w:rsidRPr="00C421E4">
        <w:rPr>
          <w:rFonts w:ascii="Times" w:hAnsi="Times"/>
        </w:rPr>
        <w:t xml:space="preserve">Spottiswoode, S. J. P., &amp; May, E. C. (2003). Skin conductance prestimulus response: Analyses, artifacts and a pilot study. </w:t>
      </w:r>
      <w:r w:rsidRPr="00C421E4">
        <w:rPr>
          <w:rFonts w:ascii="Times" w:hAnsi="Times"/>
          <w:i/>
          <w:iCs/>
        </w:rPr>
        <w:t>Journal of Scientific Exploration</w:t>
      </w:r>
      <w:r w:rsidRPr="00C421E4">
        <w:rPr>
          <w:rFonts w:ascii="Times" w:hAnsi="Times"/>
        </w:rPr>
        <w:t xml:space="preserve">, </w:t>
      </w:r>
      <w:r w:rsidRPr="00C421E4">
        <w:rPr>
          <w:rFonts w:ascii="Times" w:hAnsi="Times"/>
          <w:i/>
          <w:iCs/>
        </w:rPr>
        <w:t>17</w:t>
      </w:r>
      <w:r w:rsidRPr="00C421E4">
        <w:rPr>
          <w:rFonts w:ascii="Times" w:hAnsi="Times"/>
        </w:rPr>
        <w:t>(4), 617–641.</w:t>
      </w:r>
    </w:p>
    <w:p w14:paraId="7C1CE75A" w14:textId="77777777" w:rsidR="00F7044C" w:rsidRPr="002A7951" w:rsidRDefault="00F7044C" w:rsidP="00F7044C"/>
    <w:p w14:paraId="7BE46E00" w14:textId="77777777" w:rsidR="00F7044C" w:rsidRDefault="00F7044C" w:rsidP="00F7044C">
      <w:pPr>
        <w:pStyle w:val="Bibliography"/>
        <w:rPr>
          <w:rFonts w:ascii="Times" w:hAnsi="Times"/>
        </w:rPr>
      </w:pPr>
      <w:r w:rsidRPr="00C421E4">
        <w:rPr>
          <w:rFonts w:ascii="Times" w:hAnsi="Times"/>
        </w:rPr>
        <w:t xml:space="preserve">St. Jacques, P. L., Dolcos, F., &amp; Cabeza, R. (2009). Effects of aging on functional connectivity of the amygdala for subsequent memory of negative pictures: A network analysis of functional magnetic resonance imaging data. </w:t>
      </w:r>
      <w:r w:rsidRPr="00C421E4">
        <w:rPr>
          <w:rFonts w:ascii="Times" w:hAnsi="Times"/>
          <w:i/>
          <w:iCs/>
        </w:rPr>
        <w:t>Psychological Science</w:t>
      </w:r>
      <w:r w:rsidRPr="00C421E4">
        <w:rPr>
          <w:rFonts w:ascii="Times" w:hAnsi="Times"/>
        </w:rPr>
        <w:t xml:space="preserve">, </w:t>
      </w:r>
      <w:r w:rsidRPr="00C421E4">
        <w:rPr>
          <w:rFonts w:ascii="Times" w:hAnsi="Times"/>
          <w:i/>
          <w:iCs/>
        </w:rPr>
        <w:t>20</w:t>
      </w:r>
      <w:r w:rsidRPr="00C421E4">
        <w:rPr>
          <w:rFonts w:ascii="Times" w:hAnsi="Times"/>
        </w:rPr>
        <w:t>(1), 74–84. https://doi.org/10.1111/j.1467-9280.2008.02258.x</w:t>
      </w:r>
    </w:p>
    <w:p w14:paraId="055CE2BA" w14:textId="77777777" w:rsidR="00F7044C" w:rsidRPr="002A7951" w:rsidRDefault="00F7044C" w:rsidP="00F7044C"/>
    <w:p w14:paraId="57729C43" w14:textId="77777777" w:rsidR="00F7044C" w:rsidRDefault="00F7044C" w:rsidP="00F7044C">
      <w:pPr>
        <w:pStyle w:val="Bibliography"/>
        <w:rPr>
          <w:rFonts w:ascii="Times" w:hAnsi="Times"/>
        </w:rPr>
      </w:pPr>
      <w:r w:rsidRPr="00C421E4">
        <w:rPr>
          <w:rFonts w:ascii="Times" w:hAnsi="Times"/>
        </w:rPr>
        <w:t xml:space="preserve">Stein, M. B., &amp; McAllister, T. W. (2009). Exploring the convergence of posttraumatic stress disorder and mild traumatic brain injury. </w:t>
      </w:r>
      <w:r w:rsidRPr="00C421E4">
        <w:rPr>
          <w:rFonts w:ascii="Times" w:hAnsi="Times"/>
          <w:i/>
          <w:iCs/>
        </w:rPr>
        <w:t>American Journal of Psychiatry</w:t>
      </w:r>
      <w:r w:rsidRPr="00C421E4">
        <w:rPr>
          <w:rFonts w:ascii="Times" w:hAnsi="Times"/>
        </w:rPr>
        <w:t xml:space="preserve">, </w:t>
      </w:r>
      <w:r w:rsidRPr="00C421E4">
        <w:rPr>
          <w:rFonts w:ascii="Times" w:hAnsi="Times"/>
          <w:i/>
          <w:iCs/>
        </w:rPr>
        <w:t>166</w:t>
      </w:r>
      <w:r w:rsidRPr="00C421E4">
        <w:rPr>
          <w:rFonts w:ascii="Times" w:hAnsi="Times"/>
        </w:rPr>
        <w:t>(7), 768–776.</w:t>
      </w:r>
    </w:p>
    <w:p w14:paraId="62E19400" w14:textId="77777777" w:rsidR="00F7044C" w:rsidRPr="002A7951" w:rsidRDefault="00F7044C" w:rsidP="00F7044C"/>
    <w:p w14:paraId="02F79FCB" w14:textId="77777777" w:rsidR="00F7044C" w:rsidRDefault="00F7044C" w:rsidP="00F7044C">
      <w:pPr>
        <w:pStyle w:val="Bibliography"/>
        <w:rPr>
          <w:rFonts w:ascii="Times" w:hAnsi="Times"/>
        </w:rPr>
      </w:pPr>
      <w:r w:rsidRPr="00C421E4">
        <w:rPr>
          <w:rFonts w:ascii="Times" w:hAnsi="Times"/>
        </w:rPr>
        <w:t xml:space="preserve">Sterr, A., Herron, K. a, Hayward, C., &amp; Montaldi, D. (2006). Are mild head injuries as mild as we think? Neurobehavioral concomitants of chronic post-concussion syndrome. </w:t>
      </w:r>
      <w:r w:rsidRPr="00C421E4">
        <w:rPr>
          <w:rFonts w:ascii="Times" w:hAnsi="Times"/>
          <w:i/>
          <w:iCs/>
        </w:rPr>
        <w:t>BMC Neurology</w:t>
      </w:r>
      <w:r w:rsidRPr="00C421E4">
        <w:rPr>
          <w:rFonts w:ascii="Times" w:hAnsi="Times"/>
        </w:rPr>
        <w:t xml:space="preserve">, </w:t>
      </w:r>
      <w:r w:rsidRPr="00C421E4">
        <w:rPr>
          <w:rFonts w:ascii="Times" w:hAnsi="Times"/>
          <w:i/>
          <w:iCs/>
        </w:rPr>
        <w:t>6</w:t>
      </w:r>
      <w:r w:rsidRPr="00C421E4">
        <w:rPr>
          <w:rFonts w:ascii="Times" w:hAnsi="Times"/>
        </w:rPr>
        <w:t>, 7. https://doi.org/10.1186/1471-2377-6-7</w:t>
      </w:r>
    </w:p>
    <w:p w14:paraId="70B9CF6A" w14:textId="77777777" w:rsidR="00F7044C" w:rsidRPr="002A7951" w:rsidRDefault="00F7044C" w:rsidP="00F7044C"/>
    <w:p w14:paraId="2356F6D8" w14:textId="77777777" w:rsidR="00F7044C" w:rsidRDefault="00F7044C" w:rsidP="00F7044C">
      <w:pPr>
        <w:pStyle w:val="Bibliography"/>
        <w:rPr>
          <w:rFonts w:ascii="Times" w:hAnsi="Times"/>
        </w:rPr>
      </w:pPr>
      <w:r w:rsidRPr="00C421E4">
        <w:rPr>
          <w:rFonts w:ascii="Times" w:hAnsi="Times"/>
        </w:rPr>
        <w:t xml:space="preserve">Stroop, J. R. (1935). Stroop color word test. </w:t>
      </w:r>
      <w:r w:rsidRPr="00C421E4">
        <w:rPr>
          <w:rFonts w:ascii="Times" w:hAnsi="Times"/>
          <w:i/>
          <w:iCs/>
        </w:rPr>
        <w:t>J. Exp. Physiol.</w:t>
      </w:r>
      <w:r w:rsidRPr="00C421E4">
        <w:rPr>
          <w:rFonts w:ascii="Times" w:hAnsi="Times"/>
        </w:rPr>
        <w:t>, (18), 643–662. https://doi.org/10.1007/978-0-387-79948-3</w:t>
      </w:r>
    </w:p>
    <w:p w14:paraId="5A488513" w14:textId="77777777" w:rsidR="00F7044C" w:rsidRPr="002A7951" w:rsidRDefault="00F7044C" w:rsidP="00F7044C"/>
    <w:p w14:paraId="2B26041E" w14:textId="77777777" w:rsidR="00F7044C" w:rsidRDefault="00F7044C" w:rsidP="00F7044C">
      <w:pPr>
        <w:pStyle w:val="Bibliography"/>
        <w:rPr>
          <w:rFonts w:ascii="Times" w:hAnsi="Times"/>
        </w:rPr>
      </w:pPr>
      <w:r w:rsidRPr="00C421E4">
        <w:rPr>
          <w:rFonts w:ascii="Times" w:hAnsi="Times"/>
        </w:rPr>
        <w:lastRenderedPageBreak/>
        <w:t xml:space="preserve">Teasdale, J. D. (1988). Cognitive vulnerability to persistent depression. </w:t>
      </w:r>
      <w:r w:rsidRPr="00C421E4">
        <w:rPr>
          <w:rFonts w:ascii="Times" w:hAnsi="Times"/>
          <w:i/>
          <w:iCs/>
        </w:rPr>
        <w:t>Cognition and Emotion</w:t>
      </w:r>
      <w:r w:rsidRPr="00C421E4">
        <w:rPr>
          <w:rFonts w:ascii="Times" w:hAnsi="Times"/>
        </w:rPr>
        <w:t xml:space="preserve">, </w:t>
      </w:r>
      <w:r w:rsidRPr="00C421E4">
        <w:rPr>
          <w:rFonts w:ascii="Times" w:hAnsi="Times"/>
          <w:i/>
          <w:iCs/>
        </w:rPr>
        <w:t>2</w:t>
      </w:r>
      <w:r w:rsidRPr="00C421E4">
        <w:rPr>
          <w:rFonts w:ascii="Times" w:hAnsi="Times"/>
        </w:rPr>
        <w:t>(3), 247–274. https://doi.org/10.1080/02699938808410927</w:t>
      </w:r>
    </w:p>
    <w:p w14:paraId="6C78C10C" w14:textId="77777777" w:rsidR="00F7044C" w:rsidRPr="002A7951" w:rsidRDefault="00F7044C" w:rsidP="00F7044C"/>
    <w:p w14:paraId="6F92D481" w14:textId="77777777" w:rsidR="00F7044C" w:rsidRDefault="00F7044C" w:rsidP="00F7044C">
      <w:pPr>
        <w:pStyle w:val="Bibliography"/>
        <w:rPr>
          <w:rFonts w:ascii="Times" w:hAnsi="Times"/>
        </w:rPr>
      </w:pPr>
      <w:r w:rsidRPr="00C421E4">
        <w:rPr>
          <w:rFonts w:ascii="Times" w:hAnsi="Times"/>
        </w:rPr>
        <w:t xml:space="preserve">Terribilli, D., Schaufelberger, M. S., Duran, F. L., Zanetti, M. V., Curiati, P. K., Menezes, P. R., … Busatto, G. F. (2011). Age-related gray matter volume changes in the brain during non-elderly adulthood. </w:t>
      </w:r>
      <w:r w:rsidRPr="00C421E4">
        <w:rPr>
          <w:rFonts w:ascii="Times" w:hAnsi="Times"/>
          <w:i/>
          <w:iCs/>
        </w:rPr>
        <w:t>Neurobiology of Aging</w:t>
      </w:r>
      <w:r w:rsidRPr="00C421E4">
        <w:rPr>
          <w:rFonts w:ascii="Times" w:hAnsi="Times"/>
        </w:rPr>
        <w:t xml:space="preserve">, </w:t>
      </w:r>
      <w:r w:rsidRPr="00C421E4">
        <w:rPr>
          <w:rFonts w:ascii="Times" w:hAnsi="Times"/>
          <w:i/>
          <w:iCs/>
        </w:rPr>
        <w:t>32</w:t>
      </w:r>
      <w:r w:rsidRPr="00C421E4">
        <w:rPr>
          <w:rFonts w:ascii="Times" w:hAnsi="Times"/>
        </w:rPr>
        <w:t>(2), 354–368.</w:t>
      </w:r>
    </w:p>
    <w:p w14:paraId="6EEF4F79" w14:textId="77777777" w:rsidR="00F7044C" w:rsidRPr="002A7951" w:rsidRDefault="00F7044C" w:rsidP="00F7044C"/>
    <w:p w14:paraId="6DC8C379" w14:textId="77777777" w:rsidR="00F7044C" w:rsidRDefault="00F7044C" w:rsidP="00F7044C">
      <w:pPr>
        <w:pStyle w:val="Bibliography"/>
        <w:rPr>
          <w:rFonts w:ascii="Times" w:hAnsi="Times"/>
        </w:rPr>
      </w:pPr>
      <w:r w:rsidRPr="00C421E4">
        <w:rPr>
          <w:rFonts w:ascii="Times" w:hAnsi="Times"/>
        </w:rPr>
        <w:t xml:space="preserve">Terrio, H., Brenner, L. A., Ivins, B. J., Cho, J. M., Helmick, K., Schwab, K., … Warden, D. (2009). Traumatic brain injury screening: preliminary findings in a US Army Brigade Combat Team. </w:t>
      </w:r>
      <w:r w:rsidRPr="00C421E4">
        <w:rPr>
          <w:rFonts w:ascii="Times" w:hAnsi="Times"/>
          <w:i/>
          <w:iCs/>
        </w:rPr>
        <w:t>The Journal of Head Trauma Rehabilitation</w:t>
      </w:r>
      <w:r w:rsidRPr="00C421E4">
        <w:rPr>
          <w:rFonts w:ascii="Times" w:hAnsi="Times"/>
        </w:rPr>
        <w:t xml:space="preserve">, </w:t>
      </w:r>
      <w:r w:rsidRPr="00C421E4">
        <w:rPr>
          <w:rFonts w:ascii="Times" w:hAnsi="Times"/>
          <w:i/>
          <w:iCs/>
        </w:rPr>
        <w:t>24</w:t>
      </w:r>
      <w:r w:rsidRPr="00C421E4">
        <w:rPr>
          <w:rFonts w:ascii="Times" w:hAnsi="Times"/>
        </w:rPr>
        <w:t>(1), 14–23.</w:t>
      </w:r>
    </w:p>
    <w:p w14:paraId="49FFF629" w14:textId="77777777" w:rsidR="00F7044C" w:rsidRPr="002A7951" w:rsidRDefault="00F7044C" w:rsidP="00F7044C"/>
    <w:p w14:paraId="7B9370D0" w14:textId="77777777" w:rsidR="00F7044C" w:rsidRDefault="00F7044C" w:rsidP="00F7044C">
      <w:pPr>
        <w:pStyle w:val="Bibliography"/>
        <w:rPr>
          <w:rFonts w:ascii="Times" w:hAnsi="Times"/>
        </w:rPr>
      </w:pPr>
      <w:r w:rsidRPr="00C421E4">
        <w:rPr>
          <w:rFonts w:ascii="Times" w:hAnsi="Times"/>
        </w:rPr>
        <w:t xml:space="preserve">Thompson, R. F., &amp; Spencer, W. A. (1966). Habituation: a model phenomenon for the study of neuronal substrates of behavior. </w:t>
      </w:r>
      <w:r w:rsidRPr="00C421E4">
        <w:rPr>
          <w:rFonts w:ascii="Times" w:hAnsi="Times"/>
          <w:i/>
          <w:iCs/>
        </w:rPr>
        <w:t>Psychological Review</w:t>
      </w:r>
      <w:r w:rsidRPr="00C421E4">
        <w:rPr>
          <w:rFonts w:ascii="Times" w:hAnsi="Times"/>
        </w:rPr>
        <w:t xml:space="preserve">, </w:t>
      </w:r>
      <w:r w:rsidRPr="00C421E4">
        <w:rPr>
          <w:rFonts w:ascii="Times" w:hAnsi="Times"/>
          <w:i/>
          <w:iCs/>
        </w:rPr>
        <w:t>73</w:t>
      </w:r>
      <w:r w:rsidRPr="00C421E4">
        <w:rPr>
          <w:rFonts w:ascii="Times" w:hAnsi="Times"/>
        </w:rPr>
        <w:t>(1), 16.</w:t>
      </w:r>
    </w:p>
    <w:p w14:paraId="625BC74F" w14:textId="77777777" w:rsidR="00F7044C" w:rsidRPr="002A7951" w:rsidRDefault="00F7044C" w:rsidP="00F7044C"/>
    <w:p w14:paraId="75FA0354" w14:textId="77777777" w:rsidR="00F7044C" w:rsidRDefault="00F7044C" w:rsidP="00F7044C">
      <w:pPr>
        <w:pStyle w:val="Bibliography"/>
        <w:rPr>
          <w:rFonts w:ascii="Times" w:hAnsi="Times"/>
        </w:rPr>
      </w:pPr>
      <w:r w:rsidRPr="00C421E4">
        <w:rPr>
          <w:rFonts w:ascii="Times" w:hAnsi="Times"/>
        </w:rPr>
        <w:t xml:space="preserve">Tononi, G., &amp; Cirelli, C. (2003). Sleep and synaptic homeostasis: A hypothesis. </w:t>
      </w:r>
      <w:r w:rsidRPr="00C421E4">
        <w:rPr>
          <w:rFonts w:ascii="Times" w:hAnsi="Times"/>
          <w:i/>
          <w:iCs/>
        </w:rPr>
        <w:t>Brain Research Bulletin</w:t>
      </w:r>
      <w:r w:rsidRPr="00C421E4">
        <w:rPr>
          <w:rFonts w:ascii="Times" w:hAnsi="Times"/>
        </w:rPr>
        <w:t>. https://doi.org/10.1016/j.brainresbull.2003.09.004</w:t>
      </w:r>
    </w:p>
    <w:p w14:paraId="135EA15C" w14:textId="77777777" w:rsidR="00F7044C" w:rsidRPr="002A7951" w:rsidRDefault="00F7044C" w:rsidP="00F7044C"/>
    <w:p w14:paraId="3060F301" w14:textId="77777777" w:rsidR="00F7044C" w:rsidRDefault="00F7044C" w:rsidP="00F7044C">
      <w:pPr>
        <w:pStyle w:val="Bibliography"/>
        <w:rPr>
          <w:rFonts w:ascii="Times" w:hAnsi="Times"/>
        </w:rPr>
      </w:pPr>
      <w:r w:rsidRPr="00C421E4">
        <w:rPr>
          <w:rFonts w:ascii="Times" w:hAnsi="Times"/>
        </w:rPr>
        <w:t xml:space="preserve">Tucker, A. M., Feuerstein, R., Mende-Siedlecki, P., Ochsner, K. N., &amp; Stern, Y. (2012). Double dissociation: circadian off-peak times increase emotional reactivity; aging impairs emotion regulation via reappraisal. </w:t>
      </w:r>
      <w:r w:rsidRPr="00C421E4">
        <w:rPr>
          <w:rFonts w:ascii="Times" w:hAnsi="Times"/>
          <w:i/>
          <w:iCs/>
        </w:rPr>
        <w:t>Emotion</w:t>
      </w:r>
      <w:r w:rsidRPr="00C421E4">
        <w:rPr>
          <w:rFonts w:ascii="Times" w:hAnsi="Times"/>
        </w:rPr>
        <w:t xml:space="preserve">, </w:t>
      </w:r>
      <w:r w:rsidRPr="00C421E4">
        <w:rPr>
          <w:rFonts w:ascii="Times" w:hAnsi="Times"/>
          <w:i/>
          <w:iCs/>
        </w:rPr>
        <w:t>12</w:t>
      </w:r>
      <w:r w:rsidRPr="00C421E4">
        <w:rPr>
          <w:rFonts w:ascii="Times" w:hAnsi="Times"/>
        </w:rPr>
        <w:t>(5), 869–74. https://doi.org/10.1037/a0028207</w:t>
      </w:r>
    </w:p>
    <w:p w14:paraId="12574A21" w14:textId="77777777" w:rsidR="00F7044C" w:rsidRPr="002A7951" w:rsidRDefault="00F7044C" w:rsidP="00F7044C"/>
    <w:p w14:paraId="39C38285" w14:textId="77777777" w:rsidR="00F7044C" w:rsidRDefault="00F7044C" w:rsidP="00F7044C">
      <w:pPr>
        <w:pStyle w:val="Bibliography"/>
        <w:rPr>
          <w:rFonts w:ascii="Times" w:hAnsi="Times"/>
        </w:rPr>
      </w:pPr>
      <w:r w:rsidRPr="00C421E4">
        <w:rPr>
          <w:rFonts w:ascii="Times" w:hAnsi="Times"/>
        </w:rPr>
        <w:t xml:space="preserve">Tugade, M. M., &amp; Fredrickson, B. L. (2004). Resilient individuals use positive emotions to bounce back from negative emotional experiences. </w:t>
      </w:r>
      <w:r w:rsidRPr="00C421E4">
        <w:rPr>
          <w:rFonts w:ascii="Times" w:hAnsi="Times"/>
          <w:i/>
          <w:iCs/>
        </w:rPr>
        <w:t>Journal of Personality and Social Psychology</w:t>
      </w:r>
      <w:r w:rsidRPr="00C421E4">
        <w:rPr>
          <w:rFonts w:ascii="Times" w:hAnsi="Times"/>
        </w:rPr>
        <w:t xml:space="preserve">, </w:t>
      </w:r>
      <w:r w:rsidRPr="00C421E4">
        <w:rPr>
          <w:rFonts w:ascii="Times" w:hAnsi="Times"/>
          <w:i/>
          <w:iCs/>
        </w:rPr>
        <w:t>86</w:t>
      </w:r>
      <w:r w:rsidRPr="00C421E4">
        <w:rPr>
          <w:rFonts w:ascii="Times" w:hAnsi="Times"/>
        </w:rPr>
        <w:t>(2), 320.</w:t>
      </w:r>
    </w:p>
    <w:p w14:paraId="1C72FA71" w14:textId="77777777" w:rsidR="00F7044C" w:rsidRPr="002A7951" w:rsidRDefault="00F7044C" w:rsidP="00F7044C"/>
    <w:p w14:paraId="01FE7787" w14:textId="77777777" w:rsidR="00F7044C" w:rsidRDefault="00F7044C" w:rsidP="00F7044C">
      <w:pPr>
        <w:pStyle w:val="Bibliography"/>
        <w:rPr>
          <w:rFonts w:ascii="Times" w:hAnsi="Times"/>
        </w:rPr>
      </w:pPr>
      <w:r w:rsidRPr="00C421E4">
        <w:rPr>
          <w:rFonts w:ascii="Times" w:hAnsi="Times"/>
        </w:rPr>
        <w:t xml:space="preserve">Valentine, V. M., Harada, N. D., Washington, D., &amp; Damron-Rodriguez, J. (2002). Health and functioning among four war eras of U.S. Veterans: Examining the impact of war cohort membership, socioeconomic status, mental health, and disease prevalence. </w:t>
      </w:r>
      <w:r w:rsidRPr="00C421E4">
        <w:rPr>
          <w:rFonts w:ascii="Times" w:hAnsi="Times"/>
          <w:i/>
          <w:iCs/>
        </w:rPr>
        <w:t>Military Medicine</w:t>
      </w:r>
      <w:r w:rsidRPr="00C421E4">
        <w:rPr>
          <w:rFonts w:ascii="Times" w:hAnsi="Times"/>
        </w:rPr>
        <w:t xml:space="preserve">, </w:t>
      </w:r>
      <w:r w:rsidRPr="00C421E4">
        <w:rPr>
          <w:rFonts w:ascii="Times" w:hAnsi="Times"/>
          <w:i/>
          <w:iCs/>
        </w:rPr>
        <w:t>167</w:t>
      </w:r>
      <w:r w:rsidRPr="00C421E4">
        <w:rPr>
          <w:rFonts w:ascii="Times" w:hAnsi="Times"/>
        </w:rPr>
        <w:t>(9).</w:t>
      </w:r>
    </w:p>
    <w:p w14:paraId="1A3C2B8B" w14:textId="77777777" w:rsidR="00F7044C" w:rsidRPr="002A7951" w:rsidRDefault="00F7044C" w:rsidP="00F7044C"/>
    <w:p w14:paraId="115F4181" w14:textId="77777777" w:rsidR="00F7044C" w:rsidRDefault="00F7044C" w:rsidP="00F7044C">
      <w:pPr>
        <w:pStyle w:val="Bibliography"/>
        <w:rPr>
          <w:rFonts w:ascii="Times" w:hAnsi="Times"/>
        </w:rPr>
      </w:pPr>
      <w:r w:rsidRPr="00C421E4">
        <w:rPr>
          <w:rFonts w:ascii="Times" w:hAnsi="Times"/>
        </w:rPr>
        <w:t xml:space="preserve">van der Helm, E., Yao, J., Dutt, S., Rao, V., Saletin, J. M., &amp; Walker, M. P. (2011). REM sleep depotentiates amygdala activity to previous emotional experiences. </w:t>
      </w:r>
      <w:r w:rsidRPr="00C421E4">
        <w:rPr>
          <w:rFonts w:ascii="Times" w:hAnsi="Times"/>
          <w:i/>
          <w:iCs/>
        </w:rPr>
        <w:t>Current Biology</w:t>
      </w:r>
      <w:r w:rsidRPr="00C421E4">
        <w:rPr>
          <w:rFonts w:ascii="Times" w:hAnsi="Times"/>
        </w:rPr>
        <w:t xml:space="preserve">, </w:t>
      </w:r>
      <w:r w:rsidRPr="00C421E4">
        <w:rPr>
          <w:rFonts w:ascii="Times" w:hAnsi="Times"/>
          <w:i/>
          <w:iCs/>
        </w:rPr>
        <w:t>21</w:t>
      </w:r>
      <w:r w:rsidRPr="00C421E4">
        <w:rPr>
          <w:rFonts w:ascii="Times" w:hAnsi="Times"/>
        </w:rPr>
        <w:t>(23), 2029–2032.</w:t>
      </w:r>
    </w:p>
    <w:p w14:paraId="0E60995B" w14:textId="77777777" w:rsidR="00F7044C" w:rsidRPr="002A7951" w:rsidRDefault="00F7044C" w:rsidP="00F7044C"/>
    <w:p w14:paraId="2AE7E0F9" w14:textId="77777777" w:rsidR="00F7044C" w:rsidRDefault="00F7044C" w:rsidP="00F7044C">
      <w:pPr>
        <w:pStyle w:val="Bibliography"/>
        <w:rPr>
          <w:rFonts w:ascii="Times" w:hAnsi="Times"/>
        </w:rPr>
      </w:pPr>
      <w:r w:rsidRPr="00C421E4">
        <w:rPr>
          <w:rFonts w:ascii="Times" w:hAnsi="Times"/>
        </w:rPr>
        <w:t xml:space="preserve">van der Horn, H. J., Liemburg, E. J., Aleman, A., Spikman, J. M., &amp; van der Naalt, J. (2016). Brain Networks Subserving Emotion Regulation and Adaptation after Mild Traumatic Brain Injury. </w:t>
      </w:r>
      <w:r w:rsidRPr="00C421E4">
        <w:rPr>
          <w:rFonts w:ascii="Times" w:hAnsi="Times"/>
          <w:i/>
          <w:iCs/>
        </w:rPr>
        <w:t>Journal of Neurotrauma</w:t>
      </w:r>
      <w:r w:rsidRPr="00C421E4">
        <w:rPr>
          <w:rFonts w:ascii="Times" w:hAnsi="Times"/>
        </w:rPr>
        <w:t xml:space="preserve">, </w:t>
      </w:r>
      <w:r w:rsidRPr="00C421E4">
        <w:rPr>
          <w:rFonts w:ascii="Times" w:hAnsi="Times"/>
          <w:i/>
          <w:iCs/>
        </w:rPr>
        <w:t>33</w:t>
      </w:r>
      <w:r w:rsidRPr="00C421E4">
        <w:rPr>
          <w:rFonts w:ascii="Times" w:hAnsi="Times"/>
        </w:rPr>
        <w:t>(1), 1–9. https://doi.org/10.1089/neu.2015.3905</w:t>
      </w:r>
    </w:p>
    <w:p w14:paraId="1CAE6AAE" w14:textId="77777777" w:rsidR="00F7044C" w:rsidRPr="002A7951" w:rsidRDefault="00F7044C" w:rsidP="00F7044C"/>
    <w:p w14:paraId="6A3F4DDB" w14:textId="77777777" w:rsidR="00F7044C" w:rsidRDefault="00F7044C" w:rsidP="00F7044C">
      <w:pPr>
        <w:pStyle w:val="Bibliography"/>
        <w:rPr>
          <w:rFonts w:ascii="Times" w:hAnsi="Times"/>
        </w:rPr>
      </w:pPr>
      <w:r w:rsidRPr="00C421E4">
        <w:rPr>
          <w:rFonts w:ascii="Times" w:hAnsi="Times"/>
        </w:rPr>
        <w:t xml:space="preserve">Van IJzendoorn, M., &amp; Schuengel, C. (1996). The measurement of dissociation in normal and clinical populations: Meta-analytic validation of the Dissociative Experiences Scale. </w:t>
      </w:r>
      <w:r w:rsidRPr="00C421E4">
        <w:rPr>
          <w:rFonts w:ascii="Times" w:hAnsi="Times"/>
          <w:i/>
          <w:iCs/>
        </w:rPr>
        <w:t>Clinical Psychology Review</w:t>
      </w:r>
      <w:r w:rsidRPr="00C421E4">
        <w:rPr>
          <w:rFonts w:ascii="Times" w:hAnsi="Times"/>
        </w:rPr>
        <w:t xml:space="preserve">, </w:t>
      </w:r>
      <w:r w:rsidRPr="00C421E4">
        <w:rPr>
          <w:rFonts w:ascii="Times" w:hAnsi="Times"/>
          <w:i/>
          <w:iCs/>
        </w:rPr>
        <w:t>16</w:t>
      </w:r>
      <w:r w:rsidRPr="00C421E4">
        <w:rPr>
          <w:rFonts w:ascii="Times" w:hAnsi="Times"/>
        </w:rPr>
        <w:t>(5), 365–382.</w:t>
      </w:r>
    </w:p>
    <w:p w14:paraId="199AB0B0" w14:textId="77777777" w:rsidR="00F7044C" w:rsidRPr="002A7951" w:rsidRDefault="00F7044C" w:rsidP="00F7044C"/>
    <w:p w14:paraId="5E791984" w14:textId="77777777" w:rsidR="00F7044C" w:rsidRDefault="00F7044C" w:rsidP="00F7044C">
      <w:pPr>
        <w:pStyle w:val="Bibliography"/>
        <w:rPr>
          <w:rFonts w:ascii="Times" w:hAnsi="Times"/>
        </w:rPr>
      </w:pPr>
      <w:r w:rsidRPr="00C421E4">
        <w:rPr>
          <w:rFonts w:ascii="Times" w:hAnsi="Times"/>
        </w:rPr>
        <w:t xml:space="preserve">van Noordt, S., &amp; Good, D. (2011a). Mild head injury and sympathetic arousal: investigating relationships with decision-making and neuropsychological performance in university students. </w:t>
      </w:r>
      <w:r w:rsidRPr="00C421E4">
        <w:rPr>
          <w:rFonts w:ascii="Times" w:hAnsi="Times"/>
          <w:i/>
          <w:iCs/>
        </w:rPr>
        <w:t>Brain Injury</w:t>
      </w:r>
      <w:r w:rsidRPr="00C421E4">
        <w:rPr>
          <w:rFonts w:ascii="Times" w:hAnsi="Times"/>
        </w:rPr>
        <w:t xml:space="preserve">, </w:t>
      </w:r>
      <w:r w:rsidRPr="00C421E4">
        <w:rPr>
          <w:rFonts w:ascii="Times" w:hAnsi="Times"/>
          <w:i/>
          <w:iCs/>
        </w:rPr>
        <w:t>25</w:t>
      </w:r>
      <w:r w:rsidRPr="00C421E4">
        <w:rPr>
          <w:rFonts w:ascii="Times" w:hAnsi="Times"/>
        </w:rPr>
        <w:t>(7–8), 707–16. https://doi.org/10.3109/02699052.2011.580312</w:t>
      </w:r>
    </w:p>
    <w:p w14:paraId="66D4C507" w14:textId="77777777" w:rsidR="00F7044C" w:rsidRPr="002A7951" w:rsidRDefault="00F7044C" w:rsidP="00F7044C"/>
    <w:p w14:paraId="0B9782D9" w14:textId="77777777" w:rsidR="00F7044C" w:rsidRDefault="00F7044C" w:rsidP="00F7044C">
      <w:pPr>
        <w:pStyle w:val="Bibliography"/>
        <w:rPr>
          <w:rFonts w:ascii="Times" w:hAnsi="Times"/>
        </w:rPr>
      </w:pPr>
      <w:r w:rsidRPr="00C421E4">
        <w:rPr>
          <w:rFonts w:ascii="Times" w:hAnsi="Times"/>
        </w:rPr>
        <w:t xml:space="preserve">van Noordt, S., &amp; Good, D. (2011b). Mild head injury and sympathetic arousal: investigating relationships with decision-making and neuropsychological performance in university students. </w:t>
      </w:r>
      <w:r w:rsidRPr="00C421E4">
        <w:rPr>
          <w:rFonts w:ascii="Times" w:hAnsi="Times"/>
          <w:i/>
          <w:iCs/>
        </w:rPr>
        <w:t>Brain Injury</w:t>
      </w:r>
      <w:r w:rsidRPr="00C421E4">
        <w:rPr>
          <w:rFonts w:ascii="Times" w:hAnsi="Times"/>
        </w:rPr>
        <w:t xml:space="preserve">, </w:t>
      </w:r>
      <w:r w:rsidRPr="00C421E4">
        <w:rPr>
          <w:rFonts w:ascii="Times" w:hAnsi="Times"/>
          <w:i/>
          <w:iCs/>
        </w:rPr>
        <w:t>25</w:t>
      </w:r>
      <w:r w:rsidRPr="00C421E4">
        <w:rPr>
          <w:rFonts w:ascii="Times" w:hAnsi="Times"/>
        </w:rPr>
        <w:t>(7–8), 707–16. https://doi.org/10.3109/02699052.2011.580312</w:t>
      </w:r>
    </w:p>
    <w:p w14:paraId="4E83887C" w14:textId="77777777" w:rsidR="00F7044C" w:rsidRPr="002A7951" w:rsidRDefault="00F7044C" w:rsidP="00F7044C"/>
    <w:p w14:paraId="2717EC18" w14:textId="77777777" w:rsidR="00F7044C" w:rsidRDefault="00F7044C" w:rsidP="00F7044C">
      <w:pPr>
        <w:pStyle w:val="Bibliography"/>
        <w:rPr>
          <w:rFonts w:ascii="Times" w:hAnsi="Times"/>
        </w:rPr>
      </w:pPr>
      <w:r w:rsidRPr="00C421E4">
        <w:rPr>
          <w:rFonts w:ascii="Times" w:hAnsi="Times"/>
        </w:rPr>
        <w:t xml:space="preserve">Vandekerckhove, M., &amp; Cluydts, R. (2010). The emotional brain and sleep: An intimate relationship. </w:t>
      </w:r>
      <w:r w:rsidRPr="00C421E4">
        <w:rPr>
          <w:rFonts w:ascii="Times" w:hAnsi="Times"/>
          <w:i/>
          <w:iCs/>
        </w:rPr>
        <w:t>Sleep Medicine Reviews</w:t>
      </w:r>
      <w:r w:rsidRPr="00C421E4">
        <w:rPr>
          <w:rFonts w:ascii="Times" w:hAnsi="Times"/>
        </w:rPr>
        <w:t>. https://doi.org/10.1016/j.smrv.2010.01.002</w:t>
      </w:r>
    </w:p>
    <w:p w14:paraId="5BC90F89" w14:textId="77777777" w:rsidR="00F7044C" w:rsidRPr="002A7951" w:rsidRDefault="00F7044C" w:rsidP="00F7044C"/>
    <w:p w14:paraId="4B65EB29" w14:textId="77777777" w:rsidR="00F7044C" w:rsidRDefault="00F7044C" w:rsidP="00F7044C">
      <w:pPr>
        <w:pStyle w:val="Bibliography"/>
        <w:rPr>
          <w:rFonts w:ascii="Times" w:hAnsi="Times"/>
        </w:rPr>
      </w:pPr>
      <w:r w:rsidRPr="00C421E4">
        <w:rPr>
          <w:rFonts w:ascii="Times" w:hAnsi="Times"/>
        </w:rPr>
        <w:t xml:space="preserve">Vanderploeg, R. D., Curtiss, G., Luis, C. a, &amp; Salazar, A. M. (2007). Long-term morbidities following self-reported mild traumatic brain injury. </w:t>
      </w:r>
      <w:r w:rsidRPr="00C421E4">
        <w:rPr>
          <w:rFonts w:ascii="Times" w:hAnsi="Times"/>
          <w:i/>
          <w:iCs/>
        </w:rPr>
        <w:t>Journal of Clinical and Experimental Neuropsychology</w:t>
      </w:r>
      <w:r w:rsidRPr="00C421E4">
        <w:rPr>
          <w:rFonts w:ascii="Times" w:hAnsi="Times"/>
        </w:rPr>
        <w:t xml:space="preserve">, </w:t>
      </w:r>
      <w:r w:rsidRPr="00C421E4">
        <w:rPr>
          <w:rFonts w:ascii="Times" w:hAnsi="Times"/>
          <w:i/>
          <w:iCs/>
        </w:rPr>
        <w:t>29</w:t>
      </w:r>
      <w:r w:rsidRPr="00C421E4">
        <w:rPr>
          <w:rFonts w:ascii="Times" w:hAnsi="Times"/>
        </w:rPr>
        <w:t>(6), 585–98. https://doi.org/10.1080/13803390600826587</w:t>
      </w:r>
    </w:p>
    <w:p w14:paraId="1FFB6F6B" w14:textId="77777777" w:rsidR="00F7044C" w:rsidRPr="002A7951" w:rsidRDefault="00F7044C" w:rsidP="00F7044C"/>
    <w:p w14:paraId="0BEE2874" w14:textId="77777777" w:rsidR="00F7044C" w:rsidRDefault="00F7044C" w:rsidP="00F7044C">
      <w:pPr>
        <w:pStyle w:val="Bibliography"/>
        <w:rPr>
          <w:rFonts w:ascii="Times" w:hAnsi="Times"/>
        </w:rPr>
      </w:pPr>
      <w:r w:rsidRPr="00C421E4">
        <w:rPr>
          <w:rFonts w:ascii="Times" w:hAnsi="Times"/>
        </w:rPr>
        <w:t xml:space="preserve">Vasterling, J. J., Verfaellie, M., &amp; Sullivan, K. D. (2009). Mild traumatic brain injury and posttraumatic stress disorder in returning veterans: perspectives from cognitive neuroscience. </w:t>
      </w:r>
      <w:r w:rsidRPr="00C421E4">
        <w:rPr>
          <w:rFonts w:ascii="Times" w:hAnsi="Times"/>
          <w:i/>
          <w:iCs/>
        </w:rPr>
        <w:t>Clinical Psychology Review</w:t>
      </w:r>
      <w:r w:rsidRPr="00C421E4">
        <w:rPr>
          <w:rFonts w:ascii="Times" w:hAnsi="Times"/>
        </w:rPr>
        <w:t xml:space="preserve">, </w:t>
      </w:r>
      <w:r w:rsidRPr="00C421E4">
        <w:rPr>
          <w:rFonts w:ascii="Times" w:hAnsi="Times"/>
          <w:i/>
          <w:iCs/>
        </w:rPr>
        <w:t>29</w:t>
      </w:r>
      <w:r w:rsidRPr="00C421E4">
        <w:rPr>
          <w:rFonts w:ascii="Times" w:hAnsi="Times"/>
        </w:rPr>
        <w:t>(8), 674–684.</w:t>
      </w:r>
    </w:p>
    <w:p w14:paraId="4A928FAE" w14:textId="77777777" w:rsidR="00F7044C" w:rsidRPr="002A7951" w:rsidRDefault="00F7044C" w:rsidP="00F7044C"/>
    <w:p w14:paraId="739EE01F" w14:textId="77777777" w:rsidR="00F7044C" w:rsidRDefault="00F7044C" w:rsidP="00F7044C">
      <w:pPr>
        <w:pStyle w:val="Bibliography"/>
        <w:rPr>
          <w:rFonts w:ascii="Times" w:hAnsi="Times"/>
        </w:rPr>
      </w:pPr>
      <w:r w:rsidRPr="00C421E4">
        <w:rPr>
          <w:rFonts w:ascii="Times" w:hAnsi="Times"/>
        </w:rPr>
        <w:t xml:space="preserve">Wagner, U., Fischer, S., &amp; Born, J. (2002). Changes in emotional responses to aversive pictures across periods rich in slow-wave sleep versus rapid eye movement sleep. </w:t>
      </w:r>
      <w:r w:rsidRPr="00C421E4">
        <w:rPr>
          <w:rFonts w:ascii="Times" w:hAnsi="Times"/>
          <w:i/>
          <w:iCs/>
        </w:rPr>
        <w:t>Psychosomatic Medicine</w:t>
      </w:r>
      <w:r w:rsidRPr="00C421E4">
        <w:rPr>
          <w:rFonts w:ascii="Times" w:hAnsi="Times"/>
        </w:rPr>
        <w:t xml:space="preserve">, </w:t>
      </w:r>
      <w:r w:rsidRPr="00C421E4">
        <w:rPr>
          <w:rFonts w:ascii="Times" w:hAnsi="Times"/>
          <w:i/>
          <w:iCs/>
        </w:rPr>
        <w:t>64</w:t>
      </w:r>
      <w:r w:rsidRPr="00C421E4">
        <w:rPr>
          <w:rFonts w:ascii="Times" w:hAnsi="Times"/>
        </w:rPr>
        <w:t>, 627–634. https://doi.org/10.1097/01.PSY.0000021940.35402.51</w:t>
      </w:r>
    </w:p>
    <w:p w14:paraId="31090444" w14:textId="77777777" w:rsidR="00F7044C" w:rsidRPr="002A7951" w:rsidRDefault="00F7044C" w:rsidP="00F7044C"/>
    <w:p w14:paraId="41F57A0C" w14:textId="77777777" w:rsidR="00F7044C" w:rsidRDefault="00F7044C" w:rsidP="00F7044C">
      <w:pPr>
        <w:pStyle w:val="Bibliography"/>
        <w:rPr>
          <w:rFonts w:ascii="Times" w:hAnsi="Times"/>
        </w:rPr>
      </w:pPr>
      <w:r w:rsidRPr="00C421E4">
        <w:rPr>
          <w:rFonts w:ascii="Times" w:hAnsi="Times"/>
        </w:rPr>
        <w:t xml:space="preserve">Walker, M. P., &amp; van der Helm, E. (2009). Overnight therapy? The role of sleep in emotional brain processing. </w:t>
      </w:r>
      <w:r w:rsidRPr="00C421E4">
        <w:rPr>
          <w:rFonts w:ascii="Times" w:hAnsi="Times"/>
          <w:i/>
          <w:iCs/>
        </w:rPr>
        <w:t>Psychological Bulletin</w:t>
      </w:r>
      <w:r w:rsidRPr="00C421E4">
        <w:rPr>
          <w:rFonts w:ascii="Times" w:hAnsi="Times"/>
        </w:rPr>
        <w:t xml:space="preserve">, </w:t>
      </w:r>
      <w:r w:rsidRPr="00C421E4">
        <w:rPr>
          <w:rFonts w:ascii="Times" w:hAnsi="Times"/>
          <w:i/>
          <w:iCs/>
        </w:rPr>
        <w:t>135</w:t>
      </w:r>
      <w:r w:rsidRPr="00C421E4">
        <w:rPr>
          <w:rFonts w:ascii="Times" w:hAnsi="Times"/>
        </w:rPr>
        <w:t>(5), 731–48. https://doi.org/10.1037/a0016570</w:t>
      </w:r>
    </w:p>
    <w:p w14:paraId="0157F3EE" w14:textId="77777777" w:rsidR="00F7044C" w:rsidRPr="002A7951" w:rsidRDefault="00F7044C" w:rsidP="00F7044C"/>
    <w:p w14:paraId="2635B593" w14:textId="77777777" w:rsidR="00F7044C" w:rsidRDefault="00F7044C" w:rsidP="00F7044C">
      <w:pPr>
        <w:pStyle w:val="Bibliography"/>
        <w:rPr>
          <w:rFonts w:ascii="Times" w:hAnsi="Times"/>
        </w:rPr>
      </w:pPr>
      <w:r w:rsidRPr="00C421E4">
        <w:rPr>
          <w:rFonts w:ascii="Times" w:hAnsi="Times"/>
        </w:rPr>
        <w:t xml:space="preserve">Wang, Y. P., &amp; Gorenstein, C. (2013). Psychometric properties of the Beck Depression Inventory-II: A comprehensive review. </w:t>
      </w:r>
      <w:r w:rsidRPr="00C421E4">
        <w:rPr>
          <w:rFonts w:ascii="Times" w:hAnsi="Times"/>
          <w:i/>
          <w:iCs/>
        </w:rPr>
        <w:t>Revista Brasileira de Psiquiatria</w:t>
      </w:r>
      <w:r w:rsidRPr="00C421E4">
        <w:rPr>
          <w:rFonts w:ascii="Times" w:hAnsi="Times"/>
        </w:rPr>
        <w:t>. https://doi.org/10.1590/1516-4446-2012-1048</w:t>
      </w:r>
    </w:p>
    <w:p w14:paraId="75838026" w14:textId="77777777" w:rsidR="00F7044C" w:rsidRPr="002A7951" w:rsidRDefault="00F7044C" w:rsidP="00F7044C"/>
    <w:p w14:paraId="50D81C8A" w14:textId="77777777" w:rsidR="00F7044C" w:rsidRDefault="00F7044C" w:rsidP="00F7044C">
      <w:pPr>
        <w:pStyle w:val="Bibliography"/>
        <w:rPr>
          <w:rFonts w:ascii="Times" w:hAnsi="Times"/>
        </w:rPr>
      </w:pPr>
      <w:r w:rsidRPr="00C421E4">
        <w:rPr>
          <w:rFonts w:ascii="Times" w:hAnsi="Times"/>
        </w:rPr>
        <w:t xml:space="preserve">Warriner, E. M., &amp; Velikonja, D. (2006). Psychiatric disturbances after traumatic brain injury: neurobehavioral and personality changes. </w:t>
      </w:r>
      <w:r w:rsidRPr="00C421E4">
        <w:rPr>
          <w:rFonts w:ascii="Times" w:hAnsi="Times"/>
          <w:i/>
          <w:iCs/>
        </w:rPr>
        <w:t>Current Psychiatry Reports</w:t>
      </w:r>
      <w:r w:rsidRPr="00C421E4">
        <w:rPr>
          <w:rFonts w:ascii="Times" w:hAnsi="Times"/>
        </w:rPr>
        <w:t xml:space="preserve">, </w:t>
      </w:r>
      <w:r w:rsidRPr="00C421E4">
        <w:rPr>
          <w:rFonts w:ascii="Times" w:hAnsi="Times"/>
          <w:i/>
          <w:iCs/>
        </w:rPr>
        <w:t>8</w:t>
      </w:r>
      <w:r w:rsidRPr="00C421E4">
        <w:rPr>
          <w:rFonts w:ascii="Times" w:hAnsi="Times"/>
        </w:rPr>
        <w:t>(1), 73–80. https://doi.org/10.1007/s11920-006-0083-2</w:t>
      </w:r>
    </w:p>
    <w:p w14:paraId="0DCBBD91" w14:textId="77777777" w:rsidR="00F7044C" w:rsidRPr="002A7951" w:rsidRDefault="00F7044C" w:rsidP="00F7044C"/>
    <w:p w14:paraId="5C341893" w14:textId="77777777" w:rsidR="00F7044C" w:rsidRDefault="00F7044C" w:rsidP="00F7044C">
      <w:pPr>
        <w:pStyle w:val="Bibliography"/>
        <w:rPr>
          <w:rFonts w:ascii="Times" w:hAnsi="Times"/>
        </w:rPr>
      </w:pPr>
      <w:r w:rsidRPr="00C421E4">
        <w:rPr>
          <w:rFonts w:ascii="Times" w:hAnsi="Times"/>
        </w:rPr>
        <w:t xml:space="preserve">Wechsler, D. (2008). Wechsler adult intelligence scale - Fourth Edition (WAIS-IV). </w:t>
      </w:r>
      <w:r w:rsidRPr="00C421E4">
        <w:rPr>
          <w:rFonts w:ascii="Times" w:hAnsi="Times"/>
          <w:i/>
          <w:iCs/>
        </w:rPr>
        <w:t>San Antonio</w:t>
      </w:r>
      <w:r w:rsidRPr="00C421E4">
        <w:rPr>
          <w:rFonts w:ascii="Times" w:hAnsi="Times"/>
        </w:rPr>
        <w:t>, 1–3.</w:t>
      </w:r>
    </w:p>
    <w:p w14:paraId="559FA262" w14:textId="77777777" w:rsidR="00F7044C" w:rsidRPr="002A7951" w:rsidRDefault="00F7044C" w:rsidP="00F7044C"/>
    <w:p w14:paraId="6825616A" w14:textId="77777777" w:rsidR="00F7044C" w:rsidRDefault="00F7044C" w:rsidP="00F7044C">
      <w:pPr>
        <w:pStyle w:val="Bibliography"/>
        <w:rPr>
          <w:rFonts w:ascii="Times" w:hAnsi="Times"/>
        </w:rPr>
      </w:pPr>
      <w:r w:rsidRPr="00C421E4">
        <w:rPr>
          <w:rFonts w:ascii="Times" w:hAnsi="Times"/>
        </w:rPr>
        <w:lastRenderedPageBreak/>
        <w:t xml:space="preserve">Wedig, M. M., Rauch, S. L., Albert, M. S., &amp; Wright, C. I. (2005). Differential amygdala habituation to neutral faces in young and elderly adults. </w:t>
      </w:r>
      <w:r w:rsidRPr="00C421E4">
        <w:rPr>
          <w:rFonts w:ascii="Times" w:hAnsi="Times"/>
          <w:i/>
          <w:iCs/>
        </w:rPr>
        <w:t>Neuroscience Letters</w:t>
      </w:r>
      <w:r w:rsidRPr="00C421E4">
        <w:rPr>
          <w:rFonts w:ascii="Times" w:hAnsi="Times"/>
        </w:rPr>
        <w:t xml:space="preserve">, </w:t>
      </w:r>
      <w:r w:rsidRPr="00C421E4">
        <w:rPr>
          <w:rFonts w:ascii="Times" w:hAnsi="Times"/>
          <w:i/>
          <w:iCs/>
        </w:rPr>
        <w:t>385</w:t>
      </w:r>
      <w:r w:rsidRPr="00C421E4">
        <w:rPr>
          <w:rFonts w:ascii="Times" w:hAnsi="Times"/>
        </w:rPr>
        <w:t>(2), 114–119. https://doi.org/10.1016/j.neulet.2005.05.039</w:t>
      </w:r>
    </w:p>
    <w:p w14:paraId="7D171B36" w14:textId="77777777" w:rsidR="00F7044C" w:rsidRPr="002A7951" w:rsidRDefault="00F7044C" w:rsidP="00F7044C"/>
    <w:p w14:paraId="7A7BE28C" w14:textId="77777777" w:rsidR="00F7044C" w:rsidRDefault="00F7044C" w:rsidP="00F7044C">
      <w:pPr>
        <w:pStyle w:val="Bibliography"/>
        <w:rPr>
          <w:rFonts w:ascii="Times" w:hAnsi="Times"/>
        </w:rPr>
      </w:pPr>
      <w:r w:rsidRPr="00C421E4">
        <w:rPr>
          <w:rFonts w:ascii="Times" w:hAnsi="Times"/>
        </w:rPr>
        <w:t xml:space="preserve">Wickwire, E. M., Williams, S. G., Roth, T., Capaldi, V. F., Jaffe, M., Moline, M., … Lettieri, C. J. (2016). Sleep, Sleep Disorders, and Mild Traumatic Brain Injury. What We Know and What We Need to Know: Findings from a National Working Group. </w:t>
      </w:r>
      <w:proofErr w:type="gramStart"/>
      <w:r w:rsidRPr="00C421E4">
        <w:rPr>
          <w:rFonts w:ascii="Times" w:hAnsi="Times"/>
          <w:i/>
          <w:iCs/>
        </w:rPr>
        <w:t>Neurotherapeutics</w:t>
      </w:r>
      <w:r w:rsidRPr="00C421E4">
        <w:rPr>
          <w:rFonts w:ascii="Calibri" w:eastAsia="Calibri" w:hAnsi="Calibri" w:cs="Calibri"/>
          <w:i/>
          <w:iCs/>
        </w:rPr>
        <w:t> </w:t>
      </w:r>
      <w:r w:rsidRPr="00C421E4">
        <w:rPr>
          <w:rFonts w:ascii="Times" w:hAnsi="Times"/>
          <w:i/>
          <w:iCs/>
        </w:rPr>
        <w:t>:</w:t>
      </w:r>
      <w:proofErr w:type="gramEnd"/>
      <w:r w:rsidRPr="00C421E4">
        <w:rPr>
          <w:rFonts w:ascii="Times" w:hAnsi="Times"/>
          <w:i/>
          <w:iCs/>
        </w:rPr>
        <w:t xml:space="preserve"> The Journal of the American Society for Experimental NeuroTherapeutics</w:t>
      </w:r>
      <w:r w:rsidRPr="00C421E4">
        <w:rPr>
          <w:rFonts w:ascii="Times" w:hAnsi="Times"/>
        </w:rPr>
        <w:t>, 403–417. https://doi.org/10.1007/s13311-016-0429-3</w:t>
      </w:r>
    </w:p>
    <w:p w14:paraId="7DAEFF7B" w14:textId="77777777" w:rsidR="00F7044C" w:rsidRPr="00763A5A" w:rsidRDefault="00F7044C" w:rsidP="00F7044C"/>
    <w:p w14:paraId="3D8BFDCE" w14:textId="77777777" w:rsidR="00F7044C" w:rsidRDefault="00F7044C" w:rsidP="00F7044C">
      <w:pPr>
        <w:pStyle w:val="Bibliography"/>
        <w:rPr>
          <w:rFonts w:ascii="Times" w:hAnsi="Times"/>
        </w:rPr>
      </w:pPr>
      <w:r w:rsidRPr="00C421E4">
        <w:rPr>
          <w:rFonts w:ascii="Times" w:hAnsi="Times"/>
        </w:rPr>
        <w:t xml:space="preserve">Williams, L. M., Phillips, M. L., Brammer, M. J., Skerrett, D., Lagopoulos, J., Rennie, C., … Peduto, A. (2001). Arousal dissociates amygdala and hippocampal fear responses: evidence from simultaneous fMRI and skin conductance recording. </w:t>
      </w:r>
      <w:r w:rsidRPr="00C421E4">
        <w:rPr>
          <w:rFonts w:ascii="Times" w:hAnsi="Times"/>
          <w:i/>
          <w:iCs/>
        </w:rPr>
        <w:t>Neuroimage</w:t>
      </w:r>
      <w:r w:rsidRPr="00C421E4">
        <w:rPr>
          <w:rFonts w:ascii="Times" w:hAnsi="Times"/>
        </w:rPr>
        <w:t xml:space="preserve">, </w:t>
      </w:r>
      <w:r w:rsidRPr="00C421E4">
        <w:rPr>
          <w:rFonts w:ascii="Times" w:hAnsi="Times"/>
          <w:i/>
          <w:iCs/>
        </w:rPr>
        <w:t>14</w:t>
      </w:r>
      <w:r w:rsidRPr="00C421E4">
        <w:rPr>
          <w:rFonts w:ascii="Times" w:hAnsi="Times"/>
        </w:rPr>
        <w:t>(5), 1070–1079.</w:t>
      </w:r>
    </w:p>
    <w:p w14:paraId="3E94A5DF" w14:textId="77777777" w:rsidR="00F7044C" w:rsidRPr="002A7951" w:rsidRDefault="00F7044C" w:rsidP="00F7044C"/>
    <w:p w14:paraId="67AC3446" w14:textId="77777777" w:rsidR="00F7044C" w:rsidRDefault="00F7044C" w:rsidP="00F7044C">
      <w:pPr>
        <w:pStyle w:val="Bibliography"/>
        <w:rPr>
          <w:rFonts w:ascii="Times" w:hAnsi="Times"/>
        </w:rPr>
      </w:pPr>
      <w:r w:rsidRPr="00C421E4">
        <w:rPr>
          <w:rFonts w:ascii="Times" w:hAnsi="Times"/>
        </w:rPr>
        <w:t xml:space="preserve">Wilson, J. K., Baran, B., Pace-Schott, E. F., Ivry, R. B., &amp; Spencer, R. M. C. (2012). Sleep modulates word-pair learning but not motor sequence learning in healthy older adults. </w:t>
      </w:r>
      <w:r w:rsidRPr="00C421E4">
        <w:rPr>
          <w:rFonts w:ascii="Times" w:hAnsi="Times"/>
          <w:i/>
          <w:iCs/>
        </w:rPr>
        <w:t>Neurobiology of Aging</w:t>
      </w:r>
      <w:r w:rsidRPr="00C421E4">
        <w:rPr>
          <w:rFonts w:ascii="Times" w:hAnsi="Times"/>
        </w:rPr>
        <w:t xml:space="preserve">, </w:t>
      </w:r>
      <w:r w:rsidRPr="00C421E4">
        <w:rPr>
          <w:rFonts w:ascii="Times" w:hAnsi="Times"/>
          <w:i/>
          <w:iCs/>
        </w:rPr>
        <w:t>33</w:t>
      </w:r>
      <w:r w:rsidRPr="00C421E4">
        <w:rPr>
          <w:rFonts w:ascii="Times" w:hAnsi="Times"/>
        </w:rPr>
        <w:t>, 991–1000. https://doi.org/10.1016/j.neurobiolaging.2011.06.029</w:t>
      </w:r>
    </w:p>
    <w:p w14:paraId="545E6095" w14:textId="77777777" w:rsidR="00F7044C" w:rsidRPr="00763A5A" w:rsidRDefault="00F7044C" w:rsidP="00F7044C"/>
    <w:p w14:paraId="43AC1756" w14:textId="77777777" w:rsidR="00F7044C" w:rsidRDefault="00F7044C" w:rsidP="00F7044C">
      <w:pPr>
        <w:pStyle w:val="Bibliography"/>
        <w:rPr>
          <w:rFonts w:ascii="Times" w:hAnsi="Times"/>
        </w:rPr>
      </w:pPr>
      <w:r w:rsidRPr="00C421E4">
        <w:rPr>
          <w:rFonts w:ascii="Times" w:hAnsi="Times"/>
        </w:rPr>
        <w:t xml:space="preserve">Wilson, M. A., &amp; McNaughton, B. L. (1994). Reactivation of hippocampal ensemble memories during sleep. </w:t>
      </w:r>
      <w:r w:rsidRPr="00C421E4">
        <w:rPr>
          <w:rFonts w:ascii="Times" w:hAnsi="Times"/>
          <w:i/>
          <w:iCs/>
        </w:rPr>
        <w:t>Science (New York, N.Y.)</w:t>
      </w:r>
      <w:r w:rsidRPr="00C421E4">
        <w:rPr>
          <w:rFonts w:ascii="Times" w:hAnsi="Times"/>
        </w:rPr>
        <w:t xml:space="preserve">, </w:t>
      </w:r>
      <w:r w:rsidRPr="00C421E4">
        <w:rPr>
          <w:rFonts w:ascii="Times" w:hAnsi="Times"/>
          <w:i/>
          <w:iCs/>
        </w:rPr>
        <w:t>265</w:t>
      </w:r>
      <w:r w:rsidRPr="00C421E4">
        <w:rPr>
          <w:rFonts w:ascii="Times" w:hAnsi="Times"/>
        </w:rPr>
        <w:t>(5172), 676–679. https://doi.org/10.1126/science.8036517</w:t>
      </w:r>
    </w:p>
    <w:p w14:paraId="3C08049A" w14:textId="77777777" w:rsidR="00F7044C" w:rsidRPr="00763A5A" w:rsidRDefault="00F7044C" w:rsidP="00F7044C"/>
    <w:p w14:paraId="1AA550EE" w14:textId="77777777" w:rsidR="00F7044C" w:rsidRDefault="00F7044C" w:rsidP="00F7044C">
      <w:pPr>
        <w:pStyle w:val="Bibliography"/>
        <w:rPr>
          <w:rFonts w:ascii="Times" w:hAnsi="Times"/>
        </w:rPr>
      </w:pPr>
      <w:r w:rsidRPr="00C421E4">
        <w:rPr>
          <w:rFonts w:ascii="Times" w:hAnsi="Times"/>
        </w:rPr>
        <w:t xml:space="preserve">Wright, C. I., Fischer, H., Whalen, P. J., McInerney, S. C., Shin, L. M., &amp; Rauch, S. L. (2001). Differential prefrontal cortex and amygdala habituation to repeatedly presented emotional stimuli. </w:t>
      </w:r>
      <w:r w:rsidRPr="00C421E4">
        <w:rPr>
          <w:rFonts w:ascii="Times" w:hAnsi="Times"/>
          <w:i/>
          <w:iCs/>
        </w:rPr>
        <w:t>Neuroreport</w:t>
      </w:r>
      <w:r w:rsidRPr="00C421E4">
        <w:rPr>
          <w:rFonts w:ascii="Times" w:hAnsi="Times"/>
        </w:rPr>
        <w:t xml:space="preserve">, </w:t>
      </w:r>
      <w:r w:rsidRPr="00C421E4">
        <w:rPr>
          <w:rFonts w:ascii="Times" w:hAnsi="Times"/>
          <w:i/>
          <w:iCs/>
        </w:rPr>
        <w:t>12</w:t>
      </w:r>
      <w:r w:rsidRPr="00C421E4">
        <w:rPr>
          <w:rFonts w:ascii="Times" w:hAnsi="Times"/>
        </w:rPr>
        <w:t>(2), 379–383.</w:t>
      </w:r>
    </w:p>
    <w:p w14:paraId="531E6ACA" w14:textId="77777777" w:rsidR="00F7044C" w:rsidRPr="00763A5A" w:rsidRDefault="00F7044C" w:rsidP="00F7044C"/>
    <w:p w14:paraId="50F3A74A" w14:textId="77777777" w:rsidR="00F7044C" w:rsidRDefault="00F7044C" w:rsidP="00F7044C">
      <w:pPr>
        <w:pStyle w:val="Bibliography"/>
        <w:rPr>
          <w:rFonts w:ascii="Times" w:hAnsi="Times"/>
        </w:rPr>
      </w:pPr>
      <w:r w:rsidRPr="00C421E4">
        <w:rPr>
          <w:rFonts w:ascii="Times" w:hAnsi="Times"/>
        </w:rPr>
        <w:t xml:space="preserve">Zald, D. H. (2003). The human amygdala and the emotional evaluation of sensory stimuli. </w:t>
      </w:r>
      <w:r w:rsidRPr="00C421E4">
        <w:rPr>
          <w:rFonts w:ascii="Times" w:hAnsi="Times"/>
          <w:i/>
          <w:iCs/>
        </w:rPr>
        <w:t>Brain Research Reviews</w:t>
      </w:r>
      <w:r w:rsidRPr="00C421E4">
        <w:rPr>
          <w:rFonts w:ascii="Times" w:hAnsi="Times"/>
        </w:rPr>
        <w:t xml:space="preserve">, </w:t>
      </w:r>
      <w:r w:rsidRPr="00C421E4">
        <w:rPr>
          <w:rFonts w:ascii="Times" w:hAnsi="Times"/>
          <w:i/>
          <w:iCs/>
        </w:rPr>
        <w:t>41</w:t>
      </w:r>
      <w:r w:rsidRPr="00C421E4">
        <w:rPr>
          <w:rFonts w:ascii="Times" w:hAnsi="Times"/>
        </w:rPr>
        <w:t>(1), 88–123.</w:t>
      </w:r>
    </w:p>
    <w:p w14:paraId="2E65AEE8" w14:textId="77777777" w:rsidR="00F7044C" w:rsidRPr="00763A5A" w:rsidRDefault="00F7044C" w:rsidP="00F7044C"/>
    <w:p w14:paraId="0DF3B8C6" w14:textId="77777777" w:rsidR="00F7044C" w:rsidRPr="00C421E4" w:rsidRDefault="00F7044C" w:rsidP="00F7044C">
      <w:pPr>
        <w:pStyle w:val="Bibliography"/>
        <w:rPr>
          <w:rFonts w:ascii="Times" w:hAnsi="Times"/>
        </w:rPr>
      </w:pPr>
      <w:r w:rsidRPr="00C421E4">
        <w:rPr>
          <w:rFonts w:ascii="Times" w:hAnsi="Times"/>
        </w:rPr>
        <w:t xml:space="preserve">Zohar, D., Tzischinsky, O., Epstein, R., &amp;, &amp; Lavie, P. (2005). The effects of sleep loss on medical residents’ emotional reactions to work events: a cognitive-energy model. </w:t>
      </w:r>
      <w:r w:rsidRPr="00C421E4">
        <w:rPr>
          <w:rFonts w:ascii="Times" w:hAnsi="Times"/>
          <w:i/>
          <w:iCs/>
        </w:rPr>
        <w:t>Sleep</w:t>
      </w:r>
      <w:r w:rsidRPr="00C421E4">
        <w:rPr>
          <w:rFonts w:ascii="Times" w:hAnsi="Times"/>
        </w:rPr>
        <w:t xml:space="preserve">, </w:t>
      </w:r>
      <w:r w:rsidRPr="00C421E4">
        <w:rPr>
          <w:rFonts w:ascii="Times" w:hAnsi="Times"/>
          <w:i/>
          <w:iCs/>
        </w:rPr>
        <w:t>28</w:t>
      </w:r>
      <w:r w:rsidRPr="00C421E4">
        <w:rPr>
          <w:rFonts w:ascii="Times" w:hAnsi="Times"/>
        </w:rPr>
        <w:t>(1), 47–54.</w:t>
      </w:r>
    </w:p>
    <w:p w14:paraId="5A044A23" w14:textId="77777777" w:rsidR="00F7044C" w:rsidRPr="00C421E4" w:rsidRDefault="00F7044C" w:rsidP="00F7044C">
      <w:pPr>
        <w:rPr>
          <w:rFonts w:ascii="Times" w:hAnsi="Times"/>
        </w:rPr>
      </w:pPr>
      <w:r w:rsidRPr="00C421E4">
        <w:rPr>
          <w:rFonts w:ascii="Times" w:hAnsi="Times"/>
        </w:rPr>
        <w:fldChar w:fldCharType="end"/>
      </w:r>
    </w:p>
    <w:p w14:paraId="1FC88CDA" w14:textId="77777777" w:rsidR="00F73F71" w:rsidRPr="004A4158" w:rsidRDefault="00F73F71" w:rsidP="004A4158">
      <w:pPr>
        <w:pStyle w:val="ChapterNumber"/>
        <w:rPr>
          <w:rStyle w:val="PageNumber"/>
          <w:b w:val="0"/>
        </w:rPr>
      </w:pPr>
    </w:p>
    <w:sectPr w:rsidR="00F73F71" w:rsidRPr="004A4158" w:rsidSect="0013217B">
      <w:headerReference w:type="default" r:id="rId39"/>
      <w:footerReference w:type="default" r:id="rId40"/>
      <w:pgSz w:w="12240" w:h="15840"/>
      <w:pgMar w:top="1440" w:right="1440" w:bottom="1440" w:left="2160" w:header="720" w:footer="720" w:gutter="0"/>
      <w:paperSrc w:first="1" w:other="1"/>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9B6BAD" w14:textId="77777777" w:rsidR="00E32510" w:rsidRPr="002714E6" w:rsidRDefault="00E32510">
      <w:pPr>
        <w:jc w:val="center"/>
        <w:rPr>
          <w:b/>
        </w:rPr>
      </w:pPr>
      <w:r w:rsidRPr="002714E6">
        <w:rPr>
          <w:b/>
        </w:rPr>
        <w:t>Notes</w:t>
      </w:r>
    </w:p>
    <w:p w14:paraId="497EA0D1" w14:textId="77777777" w:rsidR="00E32510" w:rsidRDefault="00E32510">
      <w:pPr>
        <w:rPr>
          <w:sz w:val="21"/>
        </w:rPr>
      </w:pPr>
    </w:p>
  </w:endnote>
  <w:endnote w:type="continuationSeparator" w:id="0">
    <w:p w14:paraId="1906B12C" w14:textId="77777777" w:rsidR="00E32510" w:rsidRDefault="00E32510">
      <w:pPr>
        <w:rPr>
          <w:sz w:val="21"/>
        </w:rPr>
      </w:pPr>
    </w:p>
    <w:p w14:paraId="30C79ADC" w14:textId="77777777" w:rsidR="00E32510" w:rsidRDefault="00E32510">
      <w:pPr>
        <w:rPr>
          <w:sz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ＭＳ 明朝">
    <w:charset w:val="80"/>
    <w:family w:val="roma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00500000000000000"/>
    <w:charset w:val="00"/>
    <w:family w:val="roman"/>
    <w:pitch w:val="variable"/>
    <w:sig w:usb0="00000003" w:usb1="00000000" w:usb2="00000000" w:usb3="00000000" w:csb0="00000001" w:csb1="00000000"/>
  </w:font>
  <w:font w:name="ＭＳ ゴシック">
    <w:charset w:val="80"/>
    <w:family w:val="swiss"/>
    <w:pitch w:val="fixed"/>
    <w:sig w:usb0="E00002FF" w:usb1="6AC7FDFB" w:usb2="08000012" w:usb3="00000000" w:csb0="0002009F" w:csb1="00000000"/>
  </w:font>
  <w:font w:name="Helvetica">
    <w:panose1 w:val="00000000000000000000"/>
    <w:charset w:val="00"/>
    <w:family w:val="swiss"/>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6D0145" w14:textId="77777777" w:rsidR="00804E6B" w:rsidRDefault="00804E6B">
    <w:pPr>
      <w:pStyle w:val="Footer"/>
      <w:framePr w:wrap="around" w:vAnchor="text" w:hAnchor="margin" w:xAlign="center" w:y="1"/>
      <w:rPr>
        <w:rStyle w:val="PageNumber"/>
      </w:rPr>
    </w:pPr>
    <w:r>
      <w:rPr>
        <w:rStyle w:val="PageNumber"/>
        <w:sz w:val="21"/>
      </w:rPr>
      <w:fldChar w:fldCharType="begin"/>
    </w:r>
    <w:r>
      <w:rPr>
        <w:rStyle w:val="PageNumber"/>
        <w:sz w:val="21"/>
      </w:rPr>
      <w:instrText xml:space="preserve">PAGE  </w:instrText>
    </w:r>
    <w:r>
      <w:rPr>
        <w:rStyle w:val="PageNumber"/>
        <w:sz w:val="21"/>
      </w:rPr>
      <w:fldChar w:fldCharType="end"/>
    </w:r>
  </w:p>
  <w:p w14:paraId="4DD6769A" w14:textId="77777777" w:rsidR="00804E6B" w:rsidRDefault="00804E6B">
    <w:pPr>
      <w:pStyle w:val="Footer"/>
      <w:rPr>
        <w:sz w:val="21"/>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BA77F" w14:textId="77777777" w:rsidR="00804E6B" w:rsidRDefault="00804E6B">
    <w:pPr>
      <w:pStyle w:val="Footer"/>
      <w:framePr w:wrap="around" w:vAnchor="text" w:hAnchor="margin" w:xAlign="center" w:y="1"/>
      <w:rPr>
        <w:rStyle w:val="PageNumber"/>
      </w:rPr>
    </w:pPr>
  </w:p>
  <w:p w14:paraId="50759E49" w14:textId="77777777" w:rsidR="00804E6B" w:rsidRDefault="00804E6B">
    <w:pPr>
      <w:pStyle w:val="Footer"/>
      <w:rPr>
        <w:sz w:val="21"/>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445BE8" w14:textId="77777777" w:rsidR="00804E6B" w:rsidRPr="00456A4C" w:rsidRDefault="00804E6B">
    <w:pPr>
      <w:pStyle w:val="Footer"/>
      <w:tabs>
        <w:tab w:val="clear" w:pos="4320"/>
      </w:tabs>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447C1A">
      <w:rPr>
        <w:rStyle w:val="PageNumber"/>
        <w:noProof/>
      </w:rPr>
      <w:t>ix</w:t>
    </w:r>
    <w:r>
      <w:rPr>
        <w:rStyle w:val="PageNumber"/>
      </w:rPr>
      <w:fldChar w:fldCharType="end"/>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1FA670" w14:textId="77777777" w:rsidR="00804E6B" w:rsidRDefault="00804E6B" w:rsidP="00804E6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740EFEE" w14:textId="77777777" w:rsidR="00804E6B" w:rsidRDefault="00804E6B" w:rsidP="00804E6B">
    <w:pPr>
      <w:pStyle w:val="Footer"/>
      <w:ind w:right="360"/>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AC2BF" w14:textId="77777777" w:rsidR="00804E6B" w:rsidRDefault="00804E6B" w:rsidP="00804E6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A59A8">
      <w:rPr>
        <w:rStyle w:val="PageNumber"/>
        <w:noProof/>
      </w:rPr>
      <w:t>1</w:t>
    </w:r>
    <w:r>
      <w:rPr>
        <w:rStyle w:val="PageNumber"/>
      </w:rPr>
      <w:fldChar w:fldCharType="end"/>
    </w:r>
  </w:p>
  <w:p w14:paraId="4F3DE49E" w14:textId="77777777" w:rsidR="00804E6B" w:rsidRDefault="00804E6B" w:rsidP="00804E6B">
    <w:pPr>
      <w:pStyle w:val="Footer"/>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745058" w14:textId="77777777" w:rsidR="00804E6B" w:rsidRPr="00A41DC3" w:rsidRDefault="00804E6B" w:rsidP="004A4158">
    <w:pPr>
      <w:pStyle w:val="ChapterNumber"/>
      <w:rPr>
        <w:rStyle w:val="PageNumber"/>
      </w:rPr>
    </w:pPr>
    <w:r w:rsidRPr="00A41DC3">
      <w:rPr>
        <w:rStyle w:val="PageNumber"/>
      </w:rPr>
      <w:fldChar w:fldCharType="begin"/>
    </w:r>
    <w:r w:rsidRPr="00A41DC3">
      <w:rPr>
        <w:rStyle w:val="PageNumber"/>
      </w:rPr>
      <w:instrText xml:space="preserve"> PAGE </w:instrText>
    </w:r>
    <w:r w:rsidRPr="00A41DC3">
      <w:rPr>
        <w:rStyle w:val="PageNumber"/>
      </w:rPr>
      <w:fldChar w:fldCharType="separate"/>
    </w:r>
    <w:r w:rsidR="00A87349">
      <w:rPr>
        <w:rStyle w:val="PageNumber"/>
      </w:rPr>
      <w:t>118</w:t>
    </w:r>
    <w:r w:rsidRPr="00A41DC3">
      <w:rPr>
        <w:rStyle w:val="PageNumber"/>
      </w:rPr>
      <w:fldChar w:fldCharType="end"/>
    </w:r>
  </w:p>
  <w:p w14:paraId="7C3AED26" w14:textId="77777777" w:rsidR="00804E6B" w:rsidRDefault="00804E6B" w:rsidP="004A4158">
    <w:pPr>
      <w:pStyle w:val="ChapterNumb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F26CE2" w14:textId="77777777" w:rsidR="00E32510" w:rsidRDefault="00E32510">
      <w:r>
        <w:separator/>
      </w:r>
    </w:p>
  </w:footnote>
  <w:footnote w:type="continuationSeparator" w:id="0">
    <w:p w14:paraId="30360676" w14:textId="77777777" w:rsidR="00E32510" w:rsidRDefault="00E32510">
      <w:r>
        <w:continuationSeparator/>
      </w:r>
    </w:p>
  </w:footnote>
  <w:footnote w:id="1">
    <w:p w14:paraId="51509B33" w14:textId="77777777" w:rsidR="00804E6B" w:rsidRPr="00ED41D8" w:rsidRDefault="00804E6B" w:rsidP="00F7044C">
      <w:pPr>
        <w:pStyle w:val="FootnoteText"/>
        <w:rPr>
          <w:rFonts w:ascii="Times" w:hAnsi="Times"/>
          <w:sz w:val="20"/>
          <w:szCs w:val="20"/>
        </w:rPr>
      </w:pPr>
      <w:r w:rsidRPr="00D555ED">
        <w:rPr>
          <w:rStyle w:val="FootnoteReference"/>
        </w:rPr>
        <w:footnoteRef/>
      </w:r>
      <w:r w:rsidRPr="00ED41D8">
        <w:rPr>
          <w:rFonts w:ascii="Times" w:hAnsi="Times"/>
          <w:sz w:val="20"/>
          <w:szCs w:val="20"/>
        </w:rPr>
        <w:t xml:space="preserve"> Predictions for positive and negative conditions are assumed to go in the same direction unless otherwise specified</w:t>
      </w:r>
      <w:r>
        <w:rPr>
          <w:rFonts w:ascii="Times" w:hAnsi="Times"/>
          <w:sz w:val="20"/>
          <w:szCs w:val="20"/>
        </w:rPr>
        <w:t xml:space="preserve"> </w:t>
      </w:r>
      <w:r>
        <w:rPr>
          <w:rFonts w:ascii="Times" w:hAnsi="Times"/>
          <w:sz w:val="20"/>
          <w:szCs w:val="20"/>
        </w:rPr>
        <w:fldChar w:fldCharType="begin" w:fldLock="1"/>
      </w:r>
      <w:r>
        <w:rPr>
          <w:rFonts w:ascii="Times" w:hAnsi="Times"/>
          <w:sz w:val="20"/>
          <w:szCs w:val="20"/>
        </w:rPr>
        <w:instrText xml:space="preserve"> ADDIN ZOTERO_ITEM CSL_CITATION {"citationID":"gpYz6Jas","properties":{"formattedCitation":"(Wright et al., 2001)","plainCitation":"(Wright et al., 2001)"},"citationItems":[{"id":"ITEM-1","uris":["http://www.mendeley.com/documents/?uuid=ce456213-45ef-43da-bfb1-c0c2d5fc1799"],"uri":["http://www.mendeley.com/documents/?uuid=ce456213-45ef-43da-bfb1-c0c2d5fc1799"],"itemData":{"author":[{"dropping-particle":"","family":"Wright","given":"C. I.","non-dropping-particle":"","parse-names":false,"suffix":""},{"dropping-particle":"","family":"Fischer","given":"H.","non-dropping-particle":"","parse-names":false,"suffix":""},{"dropping-particle":"","family":"Whalen","given":"P. J.","non-dropping-particle":"","parse-names":false,"suffix":""},{"dropping-particle":"","family":"McInerney","given":"S. C.","non-dropping-particle":"","parse-names":false,"suffix":""},{"dropping-particle":"","family":"Shin","given":"L. M.","non-dropping-particle":"","parse-names":false,"suffix":""},{"dropping-particle":"","family":"Rauch","given":"S. L.","non-dropping-particle":"","parse-names":false,"suffix":""}],"container-title":"Neuroreport","id":"ITEM-1","issue":"2","issued":{"date-parts":[["2001"]]},"page":"379-383","title":"Differential prefrontal cortex and amygdala habituation to repeatedly presented emotional stimuli","type":"article-journal","volume":"12"}}],"schema":"https://github.com/citation-style-language/schema/raw/master/csl-citation.json"} </w:instrText>
      </w:r>
      <w:r>
        <w:rPr>
          <w:rFonts w:ascii="Times" w:hAnsi="Times"/>
          <w:sz w:val="20"/>
          <w:szCs w:val="20"/>
        </w:rPr>
        <w:fldChar w:fldCharType="separate"/>
      </w:r>
      <w:r>
        <w:rPr>
          <w:rFonts w:ascii="Times" w:hAnsi="Times"/>
          <w:noProof/>
          <w:sz w:val="20"/>
          <w:szCs w:val="20"/>
        </w:rPr>
        <w:t>(Wright et al., 2001)</w:t>
      </w:r>
      <w:r>
        <w:rPr>
          <w:rFonts w:ascii="Times" w:hAnsi="Times"/>
          <w:sz w:val="20"/>
          <w:szCs w:val="20"/>
        </w:rPr>
        <w:fldChar w:fldCharType="end"/>
      </w:r>
      <w:r w:rsidRPr="00ED41D8">
        <w:rPr>
          <w:rFonts w:ascii="Times" w:hAnsi="Times"/>
          <w:sz w:val="20"/>
          <w:szCs w:val="20"/>
        </w:rPr>
        <w:t xml:space="preserve">. </w:t>
      </w:r>
    </w:p>
  </w:footnote>
  <w:footnote w:id="2">
    <w:p w14:paraId="1C5ED636" w14:textId="77777777" w:rsidR="00804E6B" w:rsidRPr="00BC6BED" w:rsidRDefault="00804E6B" w:rsidP="00F7044C">
      <w:pPr>
        <w:pStyle w:val="FootnoteText"/>
        <w:rPr>
          <w:rFonts w:ascii="Times" w:hAnsi="Times"/>
          <w:color w:val="000000" w:themeColor="text1"/>
          <w:sz w:val="20"/>
          <w:szCs w:val="20"/>
        </w:rPr>
      </w:pPr>
      <w:r w:rsidRPr="00D555ED">
        <w:rPr>
          <w:rStyle w:val="FootnoteReference"/>
        </w:rPr>
        <w:footnoteRef/>
      </w:r>
      <w:r w:rsidRPr="00BC6BED">
        <w:rPr>
          <w:rFonts w:ascii="Times" w:hAnsi="Times"/>
          <w:color w:val="000000" w:themeColor="text1"/>
          <w:sz w:val="20"/>
          <w:szCs w:val="20"/>
        </w:rPr>
        <w:t xml:space="preserve"> Predictions for reactivity assume a cubic circadian effect in reactivity was detected and used as a control variable.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4C918E" w14:textId="77777777" w:rsidR="00804E6B" w:rsidRDefault="00804E6B">
    <w:pPr>
      <w:pStyle w:val="Header"/>
      <w:tabs>
        <w:tab w:val="right" w:pos="9340"/>
      </w:tabs>
      <w:jc w:val="right"/>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7530A" w14:textId="77777777" w:rsidR="00804E6B" w:rsidRDefault="00804E6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8AA2DC4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CF0471AE"/>
    <w:lvl w:ilvl="0">
      <w:start w:val="1"/>
      <w:numFmt w:val="decimal"/>
      <w:lvlText w:val="%1."/>
      <w:lvlJc w:val="left"/>
      <w:pPr>
        <w:tabs>
          <w:tab w:val="num" w:pos="1800"/>
        </w:tabs>
        <w:ind w:left="1800" w:hanging="360"/>
      </w:pPr>
      <w:rPr>
        <w:rFonts w:cs="Times New Roman"/>
      </w:rPr>
    </w:lvl>
  </w:abstractNum>
  <w:abstractNum w:abstractNumId="2">
    <w:nsid w:val="FFFFFF7D"/>
    <w:multiLevelType w:val="singleLevel"/>
    <w:tmpl w:val="8DE4FE0C"/>
    <w:lvl w:ilvl="0">
      <w:start w:val="1"/>
      <w:numFmt w:val="decimal"/>
      <w:lvlText w:val="%1."/>
      <w:lvlJc w:val="left"/>
      <w:pPr>
        <w:tabs>
          <w:tab w:val="num" w:pos="1440"/>
        </w:tabs>
        <w:ind w:left="1440" w:hanging="360"/>
      </w:pPr>
      <w:rPr>
        <w:rFonts w:cs="Times New Roman"/>
      </w:rPr>
    </w:lvl>
  </w:abstractNum>
  <w:abstractNum w:abstractNumId="3">
    <w:nsid w:val="FFFFFF7E"/>
    <w:multiLevelType w:val="singleLevel"/>
    <w:tmpl w:val="CF16117C"/>
    <w:lvl w:ilvl="0">
      <w:start w:val="1"/>
      <w:numFmt w:val="decimal"/>
      <w:lvlText w:val="%1."/>
      <w:lvlJc w:val="left"/>
      <w:pPr>
        <w:tabs>
          <w:tab w:val="num" w:pos="1080"/>
        </w:tabs>
        <w:ind w:left="1080" w:hanging="360"/>
      </w:pPr>
      <w:rPr>
        <w:rFonts w:cs="Times New Roman"/>
      </w:rPr>
    </w:lvl>
  </w:abstractNum>
  <w:abstractNum w:abstractNumId="4">
    <w:nsid w:val="FFFFFF7F"/>
    <w:multiLevelType w:val="singleLevel"/>
    <w:tmpl w:val="49525E5A"/>
    <w:lvl w:ilvl="0">
      <w:start w:val="1"/>
      <w:numFmt w:val="decimal"/>
      <w:lvlText w:val="%1."/>
      <w:lvlJc w:val="left"/>
      <w:pPr>
        <w:tabs>
          <w:tab w:val="num" w:pos="720"/>
        </w:tabs>
        <w:ind w:left="720" w:hanging="360"/>
      </w:pPr>
      <w:rPr>
        <w:rFonts w:cs="Times New Roman"/>
      </w:rPr>
    </w:lvl>
  </w:abstractNum>
  <w:abstractNum w:abstractNumId="5">
    <w:nsid w:val="FFFFFF80"/>
    <w:multiLevelType w:val="singleLevel"/>
    <w:tmpl w:val="2FCADDC4"/>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3DEE349E"/>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F48A0602"/>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B450092C"/>
    <w:lvl w:ilvl="0">
      <w:start w:val="1"/>
      <w:numFmt w:val="bullet"/>
      <w:lvlText w:val=""/>
      <w:lvlJc w:val="left"/>
      <w:pPr>
        <w:tabs>
          <w:tab w:val="num" w:pos="720"/>
        </w:tabs>
        <w:ind w:left="720" w:hanging="360"/>
      </w:pPr>
      <w:rPr>
        <w:rFonts w:ascii="Symbol" w:hAnsi="Symbol" w:hint="default"/>
      </w:rPr>
    </w:lvl>
  </w:abstractNum>
  <w:abstractNum w:abstractNumId="9">
    <w:nsid w:val="FFFFFF89"/>
    <w:multiLevelType w:val="singleLevel"/>
    <w:tmpl w:val="39C6AACC"/>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3115AD5"/>
    <w:multiLevelType w:val="hybridMultilevel"/>
    <w:tmpl w:val="61489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5454B14"/>
    <w:multiLevelType w:val="hybridMultilevel"/>
    <w:tmpl w:val="18E0CAF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073C2C20"/>
    <w:multiLevelType w:val="hybridMultilevel"/>
    <w:tmpl w:val="9FAE7C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7F500AA"/>
    <w:multiLevelType w:val="hybridMultilevel"/>
    <w:tmpl w:val="2CEE321A"/>
    <w:lvl w:ilvl="0" w:tplc="04090015">
      <w:start w:val="1"/>
      <w:numFmt w:val="upperLetter"/>
      <w:lvlText w:val="%1."/>
      <w:lvlJc w:val="left"/>
      <w:pPr>
        <w:ind w:left="960" w:hanging="360"/>
      </w:pPr>
      <w:rPr>
        <w:rFonts w:hint="default"/>
      </w:rPr>
    </w:lvl>
    <w:lvl w:ilvl="1" w:tplc="0409000F">
      <w:start w:val="1"/>
      <w:numFmt w:val="decimal"/>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5">
    <w:nsid w:val="101B1BB4"/>
    <w:multiLevelType w:val="hybridMultilevel"/>
    <w:tmpl w:val="D9120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2655300"/>
    <w:multiLevelType w:val="hybridMultilevel"/>
    <w:tmpl w:val="F09878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2EE6D44"/>
    <w:multiLevelType w:val="hybridMultilevel"/>
    <w:tmpl w:val="1F489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41A603E"/>
    <w:multiLevelType w:val="hybridMultilevel"/>
    <w:tmpl w:val="CC627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0CF621C"/>
    <w:multiLevelType w:val="hybridMultilevel"/>
    <w:tmpl w:val="3CD063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7187F22"/>
    <w:multiLevelType w:val="hybridMultilevel"/>
    <w:tmpl w:val="1E005170"/>
    <w:lvl w:ilvl="0" w:tplc="0409000F">
      <w:start w:val="1"/>
      <w:numFmt w:val="decimal"/>
      <w:lvlText w:val="%1."/>
      <w:lvlJc w:val="left"/>
      <w:pPr>
        <w:ind w:left="2040" w:hanging="360"/>
      </w:p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21">
    <w:nsid w:val="2BC8426C"/>
    <w:multiLevelType w:val="hybridMultilevel"/>
    <w:tmpl w:val="B5C60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D5129AF"/>
    <w:multiLevelType w:val="hybridMultilevel"/>
    <w:tmpl w:val="D3D65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C93B7A"/>
    <w:multiLevelType w:val="hybridMultilevel"/>
    <w:tmpl w:val="4C641B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7F1BE0"/>
    <w:multiLevelType w:val="hybridMultilevel"/>
    <w:tmpl w:val="3634F8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3B258D"/>
    <w:multiLevelType w:val="hybridMultilevel"/>
    <w:tmpl w:val="76BA1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9D2A9E"/>
    <w:multiLevelType w:val="hybridMultilevel"/>
    <w:tmpl w:val="6AB0510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521B18F9"/>
    <w:multiLevelType w:val="hybridMultilevel"/>
    <w:tmpl w:val="7F36B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66829E6"/>
    <w:multiLevelType w:val="hybridMultilevel"/>
    <w:tmpl w:val="4ECC79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991C4B"/>
    <w:multiLevelType w:val="hybridMultilevel"/>
    <w:tmpl w:val="DF0434C6"/>
    <w:lvl w:ilvl="0" w:tplc="41EC7A00">
      <w:start w:val="1"/>
      <w:numFmt w:val="upperLetter"/>
      <w:lvlText w:val="%1."/>
      <w:lvlJc w:val="left"/>
      <w:pPr>
        <w:ind w:left="960" w:hanging="360"/>
      </w:pPr>
      <w:rPr>
        <w:rFonts w:hint="default"/>
      </w:rPr>
    </w:lvl>
    <w:lvl w:ilvl="1" w:tplc="0409000F">
      <w:start w:val="1"/>
      <w:numFmt w:val="decimal"/>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30">
    <w:nsid w:val="5B575C70"/>
    <w:multiLevelType w:val="hybridMultilevel"/>
    <w:tmpl w:val="5CB60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1">
    <w:nsid w:val="5E232B81"/>
    <w:multiLevelType w:val="hybridMultilevel"/>
    <w:tmpl w:val="3AF667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F883843"/>
    <w:multiLevelType w:val="hybridMultilevel"/>
    <w:tmpl w:val="3544C4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9958F9"/>
    <w:multiLevelType w:val="hybridMultilevel"/>
    <w:tmpl w:val="10747C9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661D3C0D"/>
    <w:multiLevelType w:val="hybridMultilevel"/>
    <w:tmpl w:val="0088A3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B5E3F0B"/>
    <w:multiLevelType w:val="hybridMultilevel"/>
    <w:tmpl w:val="88828540"/>
    <w:lvl w:ilvl="0" w:tplc="F7168A20">
      <w:start w:val="19"/>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E23F22"/>
    <w:multiLevelType w:val="hybridMultilevel"/>
    <w:tmpl w:val="9D925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AB616C"/>
    <w:multiLevelType w:val="hybridMultilevel"/>
    <w:tmpl w:val="711A76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4496C1A"/>
    <w:multiLevelType w:val="hybridMultilevel"/>
    <w:tmpl w:val="5312324E"/>
    <w:lvl w:ilvl="0" w:tplc="DE2E47BC">
      <w:start w:val="1"/>
      <w:numFmt w:val="decimal"/>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39">
    <w:nsid w:val="79370B2F"/>
    <w:multiLevelType w:val="hybridMultilevel"/>
    <w:tmpl w:val="EF30A130"/>
    <w:lvl w:ilvl="0" w:tplc="3C48167E">
      <w:start w:val="1"/>
      <w:numFmt w:val="upperLetter"/>
      <w:lvlText w:val="%1."/>
      <w:lvlJc w:val="left"/>
      <w:pPr>
        <w:ind w:left="840" w:hanging="360"/>
      </w:pPr>
      <w:rPr>
        <w:rFonts w:hint="default"/>
      </w:rPr>
    </w:lvl>
    <w:lvl w:ilvl="1" w:tplc="0409000F">
      <w:start w:val="1"/>
      <w:numFmt w:val="decimal"/>
      <w:lvlText w:val="%2."/>
      <w:lvlJc w:val="left"/>
      <w:pPr>
        <w:ind w:left="168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21"/>
  </w:num>
  <w:num w:numId="12">
    <w:abstractNumId w:val="22"/>
  </w:num>
  <w:num w:numId="13">
    <w:abstractNumId w:val="11"/>
  </w:num>
  <w:num w:numId="14">
    <w:abstractNumId w:val="10"/>
  </w:num>
  <w:num w:numId="15">
    <w:abstractNumId w:val="15"/>
  </w:num>
  <w:num w:numId="16">
    <w:abstractNumId w:val="31"/>
  </w:num>
  <w:num w:numId="17">
    <w:abstractNumId w:val="24"/>
  </w:num>
  <w:num w:numId="18">
    <w:abstractNumId w:val="37"/>
  </w:num>
  <w:num w:numId="19">
    <w:abstractNumId w:val="19"/>
  </w:num>
  <w:num w:numId="20">
    <w:abstractNumId w:val="28"/>
  </w:num>
  <w:num w:numId="21">
    <w:abstractNumId w:val="17"/>
  </w:num>
  <w:num w:numId="22">
    <w:abstractNumId w:val="34"/>
  </w:num>
  <w:num w:numId="23">
    <w:abstractNumId w:val="25"/>
  </w:num>
  <w:num w:numId="24">
    <w:abstractNumId w:val="16"/>
  </w:num>
  <w:num w:numId="25">
    <w:abstractNumId w:val="18"/>
  </w:num>
  <w:num w:numId="26">
    <w:abstractNumId w:val="36"/>
  </w:num>
  <w:num w:numId="27">
    <w:abstractNumId w:val="23"/>
  </w:num>
  <w:num w:numId="28">
    <w:abstractNumId w:val="30"/>
  </w:num>
  <w:num w:numId="29">
    <w:abstractNumId w:val="27"/>
  </w:num>
  <w:num w:numId="30">
    <w:abstractNumId w:val="13"/>
  </w:num>
  <w:num w:numId="31">
    <w:abstractNumId w:val="35"/>
  </w:num>
  <w:num w:numId="32">
    <w:abstractNumId w:val="29"/>
  </w:num>
  <w:num w:numId="33">
    <w:abstractNumId w:val="38"/>
  </w:num>
  <w:num w:numId="34">
    <w:abstractNumId w:val="39"/>
  </w:num>
  <w:num w:numId="35">
    <w:abstractNumId w:val="12"/>
  </w:num>
  <w:num w:numId="36">
    <w:abstractNumId w:val="32"/>
  </w:num>
  <w:num w:numId="37">
    <w:abstractNumId w:val="26"/>
  </w:num>
  <w:num w:numId="38">
    <w:abstractNumId w:val="33"/>
  </w:num>
  <w:num w:numId="39">
    <w:abstractNumId w:val="14"/>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printFractionalCharacterWidth/>
  <w:embedSystemFonts/>
  <w:proofState w:grammar="clean"/>
  <w:defaultTabStop w:val="720"/>
  <w:doNotHyphenateCaps/>
  <w:displayHorizontalDrawingGridEvery w:val="0"/>
  <w:displayVerticalDrawingGridEvery w:val="0"/>
  <w:doNotUseMarginsForDrawingGridOrigin/>
  <w:doNotShadeFormData/>
  <w:noPunctuationKerning/>
  <w:characterSpacingControl w:val="doNotCompress"/>
  <w:doNotValidateAgainstSchema/>
  <w:doNotDemarcateInvalidXml/>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394"/>
    <w:rsid w:val="00007BB4"/>
    <w:rsid w:val="00016A52"/>
    <w:rsid w:val="00034F4A"/>
    <w:rsid w:val="00040724"/>
    <w:rsid w:val="00046CD6"/>
    <w:rsid w:val="00057C80"/>
    <w:rsid w:val="0007164D"/>
    <w:rsid w:val="00077CD9"/>
    <w:rsid w:val="000A1B40"/>
    <w:rsid w:val="000A6F93"/>
    <w:rsid w:val="000A7293"/>
    <w:rsid w:val="000B047B"/>
    <w:rsid w:val="000D2A50"/>
    <w:rsid w:val="000E0102"/>
    <w:rsid w:val="000E32C7"/>
    <w:rsid w:val="000F5372"/>
    <w:rsid w:val="00104B8D"/>
    <w:rsid w:val="00127C8B"/>
    <w:rsid w:val="0013217B"/>
    <w:rsid w:val="00147921"/>
    <w:rsid w:val="001702DD"/>
    <w:rsid w:val="001751D4"/>
    <w:rsid w:val="00181AD9"/>
    <w:rsid w:val="0018663F"/>
    <w:rsid w:val="00196CA6"/>
    <w:rsid w:val="00197643"/>
    <w:rsid w:val="001A59A8"/>
    <w:rsid w:val="001B30AB"/>
    <w:rsid w:val="001B5316"/>
    <w:rsid w:val="001B7B8F"/>
    <w:rsid w:val="001C47E8"/>
    <w:rsid w:val="001C6FCA"/>
    <w:rsid w:val="001D1E25"/>
    <w:rsid w:val="001F016F"/>
    <w:rsid w:val="001F1654"/>
    <w:rsid w:val="001F25A3"/>
    <w:rsid w:val="0020609B"/>
    <w:rsid w:val="00211A87"/>
    <w:rsid w:val="0021446D"/>
    <w:rsid w:val="00221078"/>
    <w:rsid w:val="00222A0B"/>
    <w:rsid w:val="0022757E"/>
    <w:rsid w:val="0023693A"/>
    <w:rsid w:val="00257799"/>
    <w:rsid w:val="00267EAA"/>
    <w:rsid w:val="002714E6"/>
    <w:rsid w:val="00276861"/>
    <w:rsid w:val="00276F22"/>
    <w:rsid w:val="00291F10"/>
    <w:rsid w:val="002B73E1"/>
    <w:rsid w:val="002C2DCB"/>
    <w:rsid w:val="002C45FF"/>
    <w:rsid w:val="002C5572"/>
    <w:rsid w:val="002C6689"/>
    <w:rsid w:val="002D001B"/>
    <w:rsid w:val="002E2201"/>
    <w:rsid w:val="002F27D0"/>
    <w:rsid w:val="00310003"/>
    <w:rsid w:val="00310496"/>
    <w:rsid w:val="00320A1C"/>
    <w:rsid w:val="00322C37"/>
    <w:rsid w:val="0032796D"/>
    <w:rsid w:val="003315CC"/>
    <w:rsid w:val="00336AC8"/>
    <w:rsid w:val="003428B1"/>
    <w:rsid w:val="0035013A"/>
    <w:rsid w:val="00352399"/>
    <w:rsid w:val="00361F26"/>
    <w:rsid w:val="003642B5"/>
    <w:rsid w:val="003731BB"/>
    <w:rsid w:val="0039039F"/>
    <w:rsid w:val="003A4EA1"/>
    <w:rsid w:val="003B176F"/>
    <w:rsid w:val="003B6C05"/>
    <w:rsid w:val="003C56E7"/>
    <w:rsid w:val="003C580C"/>
    <w:rsid w:val="003C696E"/>
    <w:rsid w:val="003E166B"/>
    <w:rsid w:val="003E63A0"/>
    <w:rsid w:val="003F09BE"/>
    <w:rsid w:val="003F4A32"/>
    <w:rsid w:val="0040219D"/>
    <w:rsid w:val="004037EF"/>
    <w:rsid w:val="00404632"/>
    <w:rsid w:val="0041542D"/>
    <w:rsid w:val="004267E3"/>
    <w:rsid w:val="00431C41"/>
    <w:rsid w:val="00440722"/>
    <w:rsid w:val="00447C1A"/>
    <w:rsid w:val="00447D12"/>
    <w:rsid w:val="00456A4C"/>
    <w:rsid w:val="00460092"/>
    <w:rsid w:val="004652AD"/>
    <w:rsid w:val="00465C3C"/>
    <w:rsid w:val="00482C2C"/>
    <w:rsid w:val="0048501A"/>
    <w:rsid w:val="00486FD1"/>
    <w:rsid w:val="004A23B2"/>
    <w:rsid w:val="004A4158"/>
    <w:rsid w:val="004A56ED"/>
    <w:rsid w:val="004B3D99"/>
    <w:rsid w:val="004B7399"/>
    <w:rsid w:val="004D77CA"/>
    <w:rsid w:val="004F1D9A"/>
    <w:rsid w:val="005345AF"/>
    <w:rsid w:val="005447E5"/>
    <w:rsid w:val="00570A1C"/>
    <w:rsid w:val="0057459B"/>
    <w:rsid w:val="005861E8"/>
    <w:rsid w:val="00591C84"/>
    <w:rsid w:val="0059735F"/>
    <w:rsid w:val="005A35FF"/>
    <w:rsid w:val="005B03C2"/>
    <w:rsid w:val="005B471F"/>
    <w:rsid w:val="005B47B7"/>
    <w:rsid w:val="005C5BE8"/>
    <w:rsid w:val="005E3805"/>
    <w:rsid w:val="005F615A"/>
    <w:rsid w:val="0060604E"/>
    <w:rsid w:val="0061103C"/>
    <w:rsid w:val="006240BF"/>
    <w:rsid w:val="0062553A"/>
    <w:rsid w:val="0062688F"/>
    <w:rsid w:val="006536F3"/>
    <w:rsid w:val="00657729"/>
    <w:rsid w:val="006B32DE"/>
    <w:rsid w:val="006E269A"/>
    <w:rsid w:val="006E2F66"/>
    <w:rsid w:val="0071265E"/>
    <w:rsid w:val="00717BB2"/>
    <w:rsid w:val="00717BEE"/>
    <w:rsid w:val="007223BE"/>
    <w:rsid w:val="007256C0"/>
    <w:rsid w:val="007522A5"/>
    <w:rsid w:val="007717E4"/>
    <w:rsid w:val="00780FB8"/>
    <w:rsid w:val="00797731"/>
    <w:rsid w:val="007B7187"/>
    <w:rsid w:val="007C3DB6"/>
    <w:rsid w:val="007C717C"/>
    <w:rsid w:val="007C75FA"/>
    <w:rsid w:val="007E07AD"/>
    <w:rsid w:val="007F5F20"/>
    <w:rsid w:val="00804E6B"/>
    <w:rsid w:val="00804FC7"/>
    <w:rsid w:val="00807853"/>
    <w:rsid w:val="00847B50"/>
    <w:rsid w:val="00856A6C"/>
    <w:rsid w:val="0087144B"/>
    <w:rsid w:val="008B3A94"/>
    <w:rsid w:val="008D62F7"/>
    <w:rsid w:val="008D7A00"/>
    <w:rsid w:val="008E5143"/>
    <w:rsid w:val="00904FD3"/>
    <w:rsid w:val="00906EEC"/>
    <w:rsid w:val="00914D76"/>
    <w:rsid w:val="00917E12"/>
    <w:rsid w:val="00922F1E"/>
    <w:rsid w:val="00942272"/>
    <w:rsid w:val="00945983"/>
    <w:rsid w:val="00947511"/>
    <w:rsid w:val="0095358B"/>
    <w:rsid w:val="00957D0D"/>
    <w:rsid w:val="009B2EC5"/>
    <w:rsid w:val="009B3B64"/>
    <w:rsid w:val="009C0562"/>
    <w:rsid w:val="009D59A2"/>
    <w:rsid w:val="009D6279"/>
    <w:rsid w:val="009E1104"/>
    <w:rsid w:val="009E23EA"/>
    <w:rsid w:val="009F59C9"/>
    <w:rsid w:val="00A17F18"/>
    <w:rsid w:val="00A22407"/>
    <w:rsid w:val="00A23626"/>
    <w:rsid w:val="00A31D55"/>
    <w:rsid w:val="00A32798"/>
    <w:rsid w:val="00A41DC3"/>
    <w:rsid w:val="00A435F0"/>
    <w:rsid w:val="00A529A1"/>
    <w:rsid w:val="00A52A02"/>
    <w:rsid w:val="00A61F92"/>
    <w:rsid w:val="00A64473"/>
    <w:rsid w:val="00A754BE"/>
    <w:rsid w:val="00A85D87"/>
    <w:rsid w:val="00A87349"/>
    <w:rsid w:val="00A87FD6"/>
    <w:rsid w:val="00AD0B12"/>
    <w:rsid w:val="00AE54E5"/>
    <w:rsid w:val="00AE6176"/>
    <w:rsid w:val="00AF08E5"/>
    <w:rsid w:val="00B015B4"/>
    <w:rsid w:val="00B06BCB"/>
    <w:rsid w:val="00B23655"/>
    <w:rsid w:val="00B23CB3"/>
    <w:rsid w:val="00B30BD5"/>
    <w:rsid w:val="00B3293D"/>
    <w:rsid w:val="00B34704"/>
    <w:rsid w:val="00B460A6"/>
    <w:rsid w:val="00B52B7D"/>
    <w:rsid w:val="00B641BB"/>
    <w:rsid w:val="00B7306B"/>
    <w:rsid w:val="00B866A6"/>
    <w:rsid w:val="00B92872"/>
    <w:rsid w:val="00B92FCC"/>
    <w:rsid w:val="00B93B73"/>
    <w:rsid w:val="00B95D4B"/>
    <w:rsid w:val="00BB5306"/>
    <w:rsid w:val="00BB7DB7"/>
    <w:rsid w:val="00BD1CAC"/>
    <w:rsid w:val="00BD4C38"/>
    <w:rsid w:val="00BD69BE"/>
    <w:rsid w:val="00BE1EA2"/>
    <w:rsid w:val="00BE4C3A"/>
    <w:rsid w:val="00BF38E4"/>
    <w:rsid w:val="00BF6065"/>
    <w:rsid w:val="00C11811"/>
    <w:rsid w:val="00C12677"/>
    <w:rsid w:val="00C201E8"/>
    <w:rsid w:val="00C257EC"/>
    <w:rsid w:val="00C32E19"/>
    <w:rsid w:val="00C32F53"/>
    <w:rsid w:val="00C501F0"/>
    <w:rsid w:val="00C721BA"/>
    <w:rsid w:val="00C81066"/>
    <w:rsid w:val="00C92255"/>
    <w:rsid w:val="00CC30DF"/>
    <w:rsid w:val="00CC497C"/>
    <w:rsid w:val="00CC5282"/>
    <w:rsid w:val="00CF40AC"/>
    <w:rsid w:val="00CF4FD6"/>
    <w:rsid w:val="00D47A9A"/>
    <w:rsid w:val="00D60637"/>
    <w:rsid w:val="00D76427"/>
    <w:rsid w:val="00D82A0E"/>
    <w:rsid w:val="00D84A9D"/>
    <w:rsid w:val="00D87367"/>
    <w:rsid w:val="00D93D09"/>
    <w:rsid w:val="00D959E9"/>
    <w:rsid w:val="00DB0F00"/>
    <w:rsid w:val="00DB2557"/>
    <w:rsid w:val="00DB67F1"/>
    <w:rsid w:val="00DC2D79"/>
    <w:rsid w:val="00DC36B1"/>
    <w:rsid w:val="00DE3D99"/>
    <w:rsid w:val="00DE6ADA"/>
    <w:rsid w:val="00DF2732"/>
    <w:rsid w:val="00DF4213"/>
    <w:rsid w:val="00E0205E"/>
    <w:rsid w:val="00E1085A"/>
    <w:rsid w:val="00E27B76"/>
    <w:rsid w:val="00E32510"/>
    <w:rsid w:val="00E35B0A"/>
    <w:rsid w:val="00E4309A"/>
    <w:rsid w:val="00E44B7C"/>
    <w:rsid w:val="00E459A8"/>
    <w:rsid w:val="00E554CD"/>
    <w:rsid w:val="00E607BB"/>
    <w:rsid w:val="00E641A6"/>
    <w:rsid w:val="00E67260"/>
    <w:rsid w:val="00E67C39"/>
    <w:rsid w:val="00E73310"/>
    <w:rsid w:val="00E74CDD"/>
    <w:rsid w:val="00E75AC2"/>
    <w:rsid w:val="00E80832"/>
    <w:rsid w:val="00E80C4F"/>
    <w:rsid w:val="00E825DB"/>
    <w:rsid w:val="00EC1EFD"/>
    <w:rsid w:val="00EC686E"/>
    <w:rsid w:val="00ED4846"/>
    <w:rsid w:val="00ED6E85"/>
    <w:rsid w:val="00ED6F20"/>
    <w:rsid w:val="00F10FA0"/>
    <w:rsid w:val="00F23C79"/>
    <w:rsid w:val="00F558D3"/>
    <w:rsid w:val="00F64ECF"/>
    <w:rsid w:val="00F7044C"/>
    <w:rsid w:val="00F72394"/>
    <w:rsid w:val="00F73F71"/>
    <w:rsid w:val="00F74CD9"/>
    <w:rsid w:val="00F91B47"/>
    <w:rsid w:val="00FB014A"/>
    <w:rsid w:val="00FB2AE0"/>
    <w:rsid w:val="00FB7A33"/>
    <w:rsid w:val="00FC1EDD"/>
    <w:rsid w:val="00FD3613"/>
    <w:rsid w:val="00FF30E4"/>
    <w:rsid w:val="00FF4F0C"/>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70F56D"/>
  <w14:defaultImageDpi w14:val="0"/>
  <w15:docId w15:val="{E07ECFB6-EEF7-44BE-99CD-E508E136F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82">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qFormat="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Hyperlink" w:uiPriority="99"/>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unhideWhenUsed="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4A4158"/>
    <w:pPr>
      <w:suppressAutoHyphens/>
    </w:pPr>
  </w:style>
  <w:style w:type="paragraph" w:styleId="Heading1">
    <w:name w:val="heading 1"/>
    <w:basedOn w:val="Normal"/>
    <w:next w:val="Normal"/>
    <w:link w:val="Heading1Char"/>
    <w:autoRedefine/>
    <w:uiPriority w:val="9"/>
    <w:qFormat/>
    <w:rsid w:val="00465C3C"/>
    <w:pPr>
      <w:keepNext/>
      <w:spacing w:line="480" w:lineRule="auto"/>
      <w:jc w:val="center"/>
      <w:outlineLvl w:val="0"/>
    </w:pPr>
    <w:rPr>
      <w:b/>
      <w:caps/>
    </w:rPr>
  </w:style>
  <w:style w:type="paragraph" w:styleId="Heading2">
    <w:name w:val="heading 2"/>
    <w:basedOn w:val="Normal"/>
    <w:next w:val="Normal"/>
    <w:link w:val="Heading2Char"/>
    <w:autoRedefine/>
    <w:uiPriority w:val="9"/>
    <w:qFormat/>
    <w:rsid w:val="002C6689"/>
    <w:pPr>
      <w:keepNext/>
      <w:keepLines/>
      <w:spacing w:before="420" w:after="280"/>
      <w:ind w:left="720" w:hanging="720"/>
      <w:outlineLvl w:val="1"/>
    </w:pPr>
    <w:rPr>
      <w:b/>
    </w:rPr>
  </w:style>
  <w:style w:type="paragraph" w:styleId="Heading3">
    <w:name w:val="heading 3"/>
    <w:basedOn w:val="Normal"/>
    <w:next w:val="NormalIndent"/>
    <w:link w:val="Heading3Char"/>
    <w:autoRedefine/>
    <w:uiPriority w:val="9"/>
    <w:qFormat/>
    <w:rsid w:val="00ED6F20"/>
    <w:pPr>
      <w:keepNext/>
      <w:keepLines/>
      <w:spacing w:before="420" w:after="280"/>
      <w:ind w:left="720" w:hanging="720"/>
      <w:outlineLvl w:val="2"/>
    </w:pPr>
    <w:rPr>
      <w:b/>
    </w:rPr>
  </w:style>
  <w:style w:type="paragraph" w:styleId="Heading4">
    <w:name w:val="heading 4"/>
    <w:basedOn w:val="Normal"/>
    <w:next w:val="Normal"/>
    <w:link w:val="Heading4Char"/>
    <w:autoRedefine/>
    <w:uiPriority w:val="9"/>
    <w:qFormat/>
    <w:rsid w:val="00ED6F20"/>
    <w:pPr>
      <w:keepNext/>
      <w:keepLines/>
      <w:spacing w:before="420" w:after="280"/>
      <w:ind w:left="720" w:hanging="720"/>
      <w:outlineLvl w:val="3"/>
    </w:pPr>
    <w:rPr>
      <w:b/>
    </w:rPr>
  </w:style>
  <w:style w:type="paragraph" w:styleId="Heading5">
    <w:name w:val="heading 5"/>
    <w:basedOn w:val="Normal"/>
    <w:next w:val="Normal"/>
    <w:link w:val="Heading5Char"/>
    <w:autoRedefine/>
    <w:uiPriority w:val="9"/>
    <w:qFormat/>
    <w:rsid w:val="00ED6F20"/>
    <w:pPr>
      <w:keepNext/>
      <w:keepLines/>
      <w:spacing w:before="420" w:after="280"/>
      <w:ind w:left="720" w:hanging="720"/>
      <w:outlineLvl w:val="4"/>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465C3C"/>
    <w:rPr>
      <w:rFonts w:cs="Times New Roman"/>
      <w:b/>
      <w:caps/>
    </w:rPr>
  </w:style>
  <w:style w:type="character" w:customStyle="1" w:styleId="Heading2Char">
    <w:name w:val="Heading 2 Char"/>
    <w:basedOn w:val="DefaultParagraphFont"/>
    <w:link w:val="Heading2"/>
    <w:uiPriority w:val="9"/>
    <w:locked/>
    <w:rsid w:val="002C6689"/>
    <w:rPr>
      <w:rFonts w:cs="Times New Roman"/>
      <w:b/>
    </w:rPr>
  </w:style>
  <w:style w:type="character" w:customStyle="1" w:styleId="Heading3Char">
    <w:name w:val="Heading 3 Char"/>
    <w:basedOn w:val="DefaultParagraphFont"/>
    <w:link w:val="Heading3"/>
    <w:uiPriority w:val="9"/>
    <w:locked/>
    <w:rsid w:val="00ED6F20"/>
    <w:rPr>
      <w:b/>
    </w:rPr>
  </w:style>
  <w:style w:type="character" w:customStyle="1" w:styleId="Heading4Char">
    <w:name w:val="Heading 4 Char"/>
    <w:basedOn w:val="DefaultParagraphFont"/>
    <w:link w:val="Heading4"/>
    <w:uiPriority w:val="9"/>
    <w:locked/>
    <w:rsid w:val="00ED6F20"/>
    <w:rPr>
      <w:b/>
    </w:rPr>
  </w:style>
  <w:style w:type="character" w:customStyle="1" w:styleId="Heading5Char">
    <w:name w:val="Heading 5 Char"/>
    <w:basedOn w:val="DefaultParagraphFont"/>
    <w:link w:val="Heading5"/>
    <w:uiPriority w:val="9"/>
    <w:locked/>
    <w:rsid w:val="00ED6F20"/>
    <w:rPr>
      <w:b/>
    </w:rPr>
  </w:style>
  <w:style w:type="paragraph" w:styleId="NormalIndent">
    <w:name w:val="Normal Indent"/>
    <w:basedOn w:val="Normal"/>
    <w:uiPriority w:val="99"/>
    <w:rsid w:val="00917E12"/>
    <w:pPr>
      <w:ind w:left="720"/>
    </w:pPr>
  </w:style>
  <w:style w:type="paragraph" w:styleId="EndnoteText">
    <w:name w:val="endnote text"/>
    <w:basedOn w:val="Normal"/>
    <w:link w:val="EndnoteTextChar"/>
    <w:uiPriority w:val="99"/>
    <w:rsid w:val="00917E12"/>
  </w:style>
  <w:style w:type="character" w:customStyle="1" w:styleId="EndnoteTextChar">
    <w:name w:val="Endnote Text Char"/>
    <w:basedOn w:val="DefaultParagraphFont"/>
    <w:link w:val="EndnoteText"/>
    <w:uiPriority w:val="99"/>
    <w:locked/>
    <w:rsid w:val="00917E12"/>
    <w:rPr>
      <w:rFonts w:asciiTheme="minorHAnsi" w:hAnsiTheme="minorHAnsi" w:cs="Times New Roman"/>
    </w:rPr>
  </w:style>
  <w:style w:type="character" w:styleId="EndnoteReference">
    <w:name w:val="endnote reference"/>
    <w:basedOn w:val="DefaultParagraphFont"/>
    <w:uiPriority w:val="99"/>
    <w:rsid w:val="00917E12"/>
    <w:rPr>
      <w:rFonts w:asciiTheme="minorHAnsi" w:hAnsiTheme="minorHAnsi" w:cs="Times New Roman"/>
      <w:position w:val="0"/>
      <w:sz w:val="24"/>
      <w:vertAlign w:val="superscript"/>
    </w:rPr>
  </w:style>
  <w:style w:type="paragraph" w:styleId="TOC3">
    <w:name w:val="toc 3"/>
    <w:basedOn w:val="Normal"/>
    <w:next w:val="Normal"/>
    <w:uiPriority w:val="39"/>
    <w:rsid w:val="00917E12"/>
    <w:pPr>
      <w:tabs>
        <w:tab w:val="left" w:pos="1440"/>
        <w:tab w:val="left" w:pos="2160"/>
        <w:tab w:val="right" w:leader="dot" w:pos="8640"/>
      </w:tabs>
      <w:ind w:left="2160" w:right="720" w:hanging="720"/>
    </w:pPr>
  </w:style>
  <w:style w:type="paragraph" w:styleId="TOC2">
    <w:name w:val="toc 2"/>
    <w:basedOn w:val="Normal"/>
    <w:next w:val="Normal"/>
    <w:uiPriority w:val="39"/>
    <w:rsid w:val="00917E12"/>
    <w:pPr>
      <w:tabs>
        <w:tab w:val="right" w:pos="1440"/>
        <w:tab w:val="right" w:leader="dot" w:pos="8640"/>
      </w:tabs>
      <w:ind w:left="1440" w:right="720" w:hanging="720"/>
    </w:pPr>
  </w:style>
  <w:style w:type="paragraph" w:styleId="TOC1">
    <w:name w:val="toc 1"/>
    <w:basedOn w:val="Normal"/>
    <w:next w:val="Normal"/>
    <w:autoRedefine/>
    <w:uiPriority w:val="39"/>
    <w:rsid w:val="00717BB2"/>
    <w:pPr>
      <w:tabs>
        <w:tab w:val="left" w:pos="720"/>
        <w:tab w:val="right" w:leader="dot" w:pos="8640"/>
      </w:tabs>
      <w:spacing w:line="480" w:lineRule="auto"/>
    </w:pPr>
    <w:rPr>
      <w:noProof/>
    </w:rPr>
  </w:style>
  <w:style w:type="paragraph" w:styleId="Footer">
    <w:name w:val="footer"/>
    <w:basedOn w:val="Normal"/>
    <w:link w:val="FooterChar"/>
    <w:uiPriority w:val="99"/>
    <w:rsid w:val="00917E12"/>
    <w:pPr>
      <w:tabs>
        <w:tab w:val="center" w:pos="4320"/>
        <w:tab w:val="right" w:pos="8640"/>
      </w:tabs>
    </w:pPr>
  </w:style>
  <w:style w:type="character" w:customStyle="1" w:styleId="FooterChar">
    <w:name w:val="Footer Char"/>
    <w:basedOn w:val="DefaultParagraphFont"/>
    <w:link w:val="Footer"/>
    <w:uiPriority w:val="99"/>
    <w:locked/>
    <w:rsid w:val="00917E12"/>
    <w:rPr>
      <w:rFonts w:asciiTheme="minorHAnsi" w:hAnsiTheme="minorHAnsi" w:cs="Times New Roman"/>
    </w:rPr>
  </w:style>
  <w:style w:type="paragraph" w:styleId="Header">
    <w:name w:val="header"/>
    <w:basedOn w:val="Normal"/>
    <w:link w:val="HeaderChar"/>
    <w:uiPriority w:val="99"/>
    <w:rsid w:val="00917E12"/>
    <w:pPr>
      <w:tabs>
        <w:tab w:val="center" w:pos="4320"/>
        <w:tab w:val="right" w:pos="8640"/>
      </w:tabs>
    </w:pPr>
  </w:style>
  <w:style w:type="character" w:customStyle="1" w:styleId="HeaderChar">
    <w:name w:val="Header Char"/>
    <w:basedOn w:val="DefaultParagraphFont"/>
    <w:link w:val="Header"/>
    <w:uiPriority w:val="99"/>
    <w:locked/>
    <w:rsid w:val="00917E12"/>
    <w:rPr>
      <w:rFonts w:asciiTheme="minorHAnsi" w:hAnsiTheme="minorHAnsi" w:cs="Times New Roman"/>
    </w:rPr>
  </w:style>
  <w:style w:type="character" w:styleId="FootnoteReference">
    <w:name w:val="footnote reference"/>
    <w:basedOn w:val="DefaultParagraphFont"/>
    <w:uiPriority w:val="99"/>
    <w:rsid w:val="00917E12"/>
    <w:rPr>
      <w:rFonts w:asciiTheme="minorHAnsi" w:hAnsiTheme="minorHAnsi" w:cs="Times New Roman"/>
      <w:position w:val="0"/>
      <w:sz w:val="24"/>
      <w:vertAlign w:val="superscript"/>
    </w:rPr>
  </w:style>
  <w:style w:type="paragraph" w:styleId="FootnoteText">
    <w:name w:val="footnote text"/>
    <w:basedOn w:val="Normal"/>
    <w:link w:val="FootnoteTextChar"/>
    <w:uiPriority w:val="99"/>
    <w:rsid w:val="00917E12"/>
  </w:style>
  <w:style w:type="character" w:customStyle="1" w:styleId="FootnoteTextChar">
    <w:name w:val="Footnote Text Char"/>
    <w:basedOn w:val="DefaultParagraphFont"/>
    <w:link w:val="FootnoteText"/>
    <w:uiPriority w:val="99"/>
    <w:locked/>
    <w:rsid w:val="00917E12"/>
    <w:rPr>
      <w:rFonts w:asciiTheme="minorHAnsi" w:hAnsiTheme="minorHAnsi" w:cs="Times New Roman"/>
    </w:rPr>
  </w:style>
  <w:style w:type="paragraph" w:styleId="Bibliography">
    <w:name w:val="Bibliography"/>
    <w:basedOn w:val="Normal"/>
    <w:uiPriority w:val="37"/>
    <w:rsid w:val="00917E12"/>
    <w:pPr>
      <w:keepLines/>
      <w:ind w:left="720" w:hanging="720"/>
    </w:pPr>
  </w:style>
  <w:style w:type="character" w:styleId="PageNumber">
    <w:name w:val="page number"/>
    <w:basedOn w:val="DefaultParagraphFont"/>
    <w:uiPriority w:val="99"/>
    <w:qFormat/>
    <w:rsid w:val="004A4158"/>
    <w:rPr>
      <w:rFonts w:ascii="Times New Roman" w:hAnsi="Times New Roman" w:cs="Times New Roman"/>
      <w:sz w:val="24"/>
    </w:rPr>
  </w:style>
  <w:style w:type="paragraph" w:styleId="TOC4">
    <w:name w:val="toc 4"/>
    <w:basedOn w:val="Normal"/>
    <w:next w:val="Normal"/>
    <w:uiPriority w:val="39"/>
    <w:rsid w:val="00917E12"/>
    <w:pPr>
      <w:tabs>
        <w:tab w:val="left" w:pos="2160"/>
        <w:tab w:val="right" w:pos="2880"/>
        <w:tab w:val="right" w:leader="dot" w:pos="8640"/>
      </w:tabs>
      <w:ind w:left="2880" w:right="720" w:hanging="720"/>
    </w:pPr>
  </w:style>
  <w:style w:type="paragraph" w:styleId="TOC5">
    <w:name w:val="toc 5"/>
    <w:basedOn w:val="Normal"/>
    <w:next w:val="Normal"/>
    <w:uiPriority w:val="39"/>
    <w:rsid w:val="00917E12"/>
    <w:pPr>
      <w:tabs>
        <w:tab w:val="left" w:pos="3600"/>
        <w:tab w:val="right" w:leader="dot" w:pos="8640"/>
      </w:tabs>
      <w:ind w:left="3600" w:right="720" w:hanging="720"/>
    </w:pPr>
  </w:style>
  <w:style w:type="paragraph" w:styleId="TOC6">
    <w:name w:val="toc 6"/>
    <w:basedOn w:val="Normal"/>
    <w:next w:val="Normal"/>
    <w:uiPriority w:val="39"/>
    <w:rsid w:val="00917E12"/>
    <w:pPr>
      <w:tabs>
        <w:tab w:val="right" w:leader="dot" w:pos="8496"/>
      </w:tabs>
      <w:ind w:left="1100"/>
    </w:pPr>
  </w:style>
  <w:style w:type="paragraph" w:styleId="TOC7">
    <w:name w:val="toc 7"/>
    <w:basedOn w:val="Normal"/>
    <w:next w:val="Normal"/>
    <w:uiPriority w:val="39"/>
    <w:rsid w:val="00917E12"/>
    <w:pPr>
      <w:tabs>
        <w:tab w:val="right" w:leader="dot" w:pos="8496"/>
      </w:tabs>
      <w:ind w:left="1320"/>
    </w:pPr>
  </w:style>
  <w:style w:type="paragraph" w:styleId="TOC8">
    <w:name w:val="toc 8"/>
    <w:basedOn w:val="Normal"/>
    <w:next w:val="Normal"/>
    <w:uiPriority w:val="39"/>
    <w:rsid w:val="00917E12"/>
    <w:pPr>
      <w:tabs>
        <w:tab w:val="right" w:leader="dot" w:pos="8496"/>
      </w:tabs>
      <w:ind w:left="1540"/>
    </w:pPr>
  </w:style>
  <w:style w:type="paragraph" w:styleId="TOC9">
    <w:name w:val="toc 9"/>
    <w:basedOn w:val="Normal"/>
    <w:next w:val="Normal"/>
    <w:uiPriority w:val="39"/>
    <w:rsid w:val="00917E12"/>
    <w:pPr>
      <w:tabs>
        <w:tab w:val="right" w:leader="dot" w:pos="8496"/>
      </w:tabs>
      <w:ind w:left="1760"/>
    </w:pPr>
  </w:style>
  <w:style w:type="paragraph" w:styleId="Caption">
    <w:name w:val="caption"/>
    <w:basedOn w:val="Normal"/>
    <w:next w:val="Normal"/>
    <w:autoRedefine/>
    <w:qFormat/>
    <w:rsid w:val="00917E12"/>
    <w:pPr>
      <w:keepLines/>
      <w:jc w:val="center"/>
    </w:pPr>
    <w:rPr>
      <w:b/>
    </w:rPr>
  </w:style>
  <w:style w:type="paragraph" w:styleId="TableofFigures">
    <w:name w:val="table of figures"/>
    <w:basedOn w:val="Normal"/>
    <w:next w:val="Normal"/>
    <w:autoRedefine/>
    <w:uiPriority w:val="99"/>
    <w:rsid w:val="00B460A6"/>
    <w:pPr>
      <w:tabs>
        <w:tab w:val="left" w:pos="720"/>
        <w:tab w:val="right" w:leader="dot" w:pos="8640"/>
      </w:tabs>
      <w:spacing w:before="240" w:after="280"/>
      <w:ind w:left="1080" w:right="720" w:hanging="1080"/>
    </w:pPr>
  </w:style>
  <w:style w:type="paragraph" w:customStyle="1" w:styleId="Style1">
    <w:name w:val="Style1"/>
    <w:basedOn w:val="Normal"/>
    <w:rsid w:val="00917E12"/>
    <w:pPr>
      <w:spacing w:line="480" w:lineRule="auto"/>
      <w:ind w:firstLine="720"/>
    </w:pPr>
  </w:style>
  <w:style w:type="paragraph" w:customStyle="1" w:styleId="Paragraph-text">
    <w:name w:val="Paragraph-text"/>
    <w:basedOn w:val="Normal"/>
    <w:autoRedefine/>
    <w:qFormat/>
    <w:rsid w:val="00917E12"/>
    <w:pPr>
      <w:spacing w:line="480" w:lineRule="auto"/>
      <w:ind w:firstLine="720"/>
    </w:pPr>
  </w:style>
  <w:style w:type="paragraph" w:customStyle="1" w:styleId="Paragraph-center">
    <w:name w:val="Paragraph-center"/>
    <w:basedOn w:val="Normal"/>
    <w:rsid w:val="00917E12"/>
    <w:pPr>
      <w:jc w:val="center"/>
    </w:pPr>
  </w:style>
  <w:style w:type="paragraph" w:customStyle="1" w:styleId="Paragraph-TableFiglist">
    <w:name w:val="Paragraph-Table/Fig list"/>
    <w:basedOn w:val="Normal"/>
    <w:rsid w:val="00917E12"/>
    <w:pPr>
      <w:tabs>
        <w:tab w:val="left" w:pos="720"/>
        <w:tab w:val="right" w:leader="dot" w:pos="8496"/>
      </w:tabs>
      <w:ind w:left="1080" w:hanging="720"/>
    </w:pPr>
  </w:style>
  <w:style w:type="paragraph" w:customStyle="1" w:styleId="Paragraph-block">
    <w:name w:val="Paragraph-block"/>
    <w:basedOn w:val="Normal"/>
    <w:rsid w:val="00917E12"/>
    <w:pPr>
      <w:ind w:left="720"/>
    </w:pPr>
  </w:style>
  <w:style w:type="paragraph" w:styleId="BalloonText">
    <w:name w:val="Balloon Text"/>
    <w:basedOn w:val="Normal"/>
    <w:link w:val="BalloonTextChar"/>
    <w:uiPriority w:val="99"/>
    <w:rsid w:val="00F73F71"/>
    <w:rPr>
      <w:rFonts w:ascii="Lucida Grande" w:hAnsi="Lucida Grande" w:cs="Lucida Grande"/>
      <w:sz w:val="18"/>
      <w:szCs w:val="18"/>
    </w:rPr>
  </w:style>
  <w:style w:type="character" w:customStyle="1" w:styleId="BalloonTextChar">
    <w:name w:val="Balloon Text Char"/>
    <w:basedOn w:val="DefaultParagraphFont"/>
    <w:link w:val="BalloonText"/>
    <w:uiPriority w:val="99"/>
    <w:locked/>
    <w:rsid w:val="00F73F71"/>
    <w:rPr>
      <w:rFonts w:ascii="Lucida Grande" w:hAnsi="Lucida Grande" w:cs="Lucida Grande"/>
      <w:sz w:val="18"/>
      <w:szCs w:val="18"/>
    </w:rPr>
  </w:style>
  <w:style w:type="paragraph" w:customStyle="1" w:styleId="ChapterNumber">
    <w:name w:val="Chapter Number"/>
    <w:basedOn w:val="Normal"/>
    <w:next w:val="Heading1"/>
    <w:autoRedefine/>
    <w:qFormat/>
    <w:rsid w:val="001F016F"/>
    <w:pPr>
      <w:spacing w:line="480" w:lineRule="auto"/>
      <w:jc w:val="center"/>
    </w:pPr>
    <w:rPr>
      <w:b/>
      <w:caps/>
      <w:noProof/>
    </w:rPr>
  </w:style>
  <w:style w:type="paragraph" w:styleId="Index1">
    <w:name w:val="index 1"/>
    <w:basedOn w:val="Normal"/>
    <w:next w:val="Normal"/>
    <w:autoRedefine/>
    <w:uiPriority w:val="99"/>
    <w:semiHidden/>
    <w:unhideWhenUsed/>
    <w:rsid w:val="00E80832"/>
    <w:pPr>
      <w:ind w:left="240" w:hanging="240"/>
    </w:pPr>
  </w:style>
  <w:style w:type="paragraph" w:styleId="ListParagraph">
    <w:name w:val="List Paragraph"/>
    <w:basedOn w:val="Normal"/>
    <w:uiPriority w:val="34"/>
    <w:qFormat/>
    <w:rsid w:val="00F7044C"/>
    <w:pPr>
      <w:suppressAutoHyphens w:val="0"/>
      <w:ind w:left="720"/>
      <w:contextualSpacing/>
    </w:pPr>
    <w:rPr>
      <w:rFonts w:asciiTheme="minorHAnsi" w:eastAsiaTheme="minorEastAsia" w:hAnsiTheme="minorHAnsi" w:cstheme="minorBidi"/>
    </w:rPr>
  </w:style>
  <w:style w:type="paragraph" w:customStyle="1" w:styleId="Body">
    <w:name w:val="Body"/>
    <w:rsid w:val="00F7044C"/>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styleId="CommentReference">
    <w:name w:val="annotation reference"/>
    <w:basedOn w:val="DefaultParagraphFont"/>
    <w:uiPriority w:val="99"/>
    <w:semiHidden/>
    <w:unhideWhenUsed/>
    <w:rsid w:val="00F7044C"/>
    <w:rPr>
      <w:sz w:val="18"/>
      <w:szCs w:val="18"/>
    </w:rPr>
  </w:style>
  <w:style w:type="paragraph" w:styleId="CommentText">
    <w:name w:val="annotation text"/>
    <w:basedOn w:val="Normal"/>
    <w:link w:val="CommentTextChar"/>
    <w:uiPriority w:val="99"/>
    <w:unhideWhenUsed/>
    <w:rsid w:val="00F7044C"/>
    <w:pPr>
      <w:suppressAutoHyphens w:val="0"/>
    </w:pPr>
    <w:rPr>
      <w:rFonts w:asciiTheme="minorHAnsi" w:eastAsiaTheme="minorEastAsia" w:hAnsiTheme="minorHAnsi" w:cstheme="minorBidi"/>
    </w:rPr>
  </w:style>
  <w:style w:type="character" w:customStyle="1" w:styleId="CommentTextChar">
    <w:name w:val="Comment Text Char"/>
    <w:basedOn w:val="DefaultParagraphFont"/>
    <w:link w:val="CommentText"/>
    <w:uiPriority w:val="99"/>
    <w:rsid w:val="00F7044C"/>
    <w:rPr>
      <w:rFonts w:asciiTheme="minorHAnsi" w:eastAsiaTheme="minorEastAsia" w:hAnsiTheme="minorHAnsi" w:cstheme="minorBidi"/>
    </w:rPr>
  </w:style>
  <w:style w:type="paragraph" w:styleId="CommentSubject">
    <w:name w:val="annotation subject"/>
    <w:basedOn w:val="CommentText"/>
    <w:next w:val="CommentText"/>
    <w:link w:val="CommentSubjectChar"/>
    <w:uiPriority w:val="99"/>
    <w:semiHidden/>
    <w:unhideWhenUsed/>
    <w:rsid w:val="00F7044C"/>
    <w:rPr>
      <w:b/>
      <w:bCs/>
      <w:sz w:val="20"/>
      <w:szCs w:val="20"/>
    </w:rPr>
  </w:style>
  <w:style w:type="character" w:customStyle="1" w:styleId="CommentSubjectChar">
    <w:name w:val="Comment Subject Char"/>
    <w:basedOn w:val="CommentTextChar"/>
    <w:link w:val="CommentSubject"/>
    <w:uiPriority w:val="99"/>
    <w:semiHidden/>
    <w:rsid w:val="00F7044C"/>
    <w:rPr>
      <w:rFonts w:asciiTheme="minorHAnsi" w:eastAsiaTheme="minorEastAsia" w:hAnsiTheme="minorHAnsi" w:cstheme="minorBidi"/>
      <w:b/>
      <w:bCs/>
      <w:sz w:val="20"/>
      <w:szCs w:val="20"/>
    </w:rPr>
  </w:style>
  <w:style w:type="table" w:styleId="TableGrid">
    <w:name w:val="Table Grid"/>
    <w:basedOn w:val="TableNormal"/>
    <w:uiPriority w:val="59"/>
    <w:rsid w:val="00F7044C"/>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7044C"/>
    <w:pPr>
      <w:suppressAutoHyphens w:val="0"/>
      <w:spacing w:before="100" w:beforeAutospacing="1" w:after="100" w:afterAutospacing="1"/>
    </w:pPr>
    <w:rPr>
      <w:rFonts w:ascii="Times" w:eastAsiaTheme="minorEastAsia" w:hAnsi="Times"/>
      <w:sz w:val="20"/>
      <w:szCs w:val="20"/>
    </w:rPr>
  </w:style>
  <w:style w:type="character" w:styleId="Hyperlink">
    <w:name w:val="Hyperlink"/>
    <w:basedOn w:val="DefaultParagraphFont"/>
    <w:uiPriority w:val="99"/>
    <w:unhideWhenUsed/>
    <w:rsid w:val="00F7044C"/>
    <w:rPr>
      <w:color w:val="0000FF" w:themeColor="hyperlink"/>
      <w:u w:val="single"/>
    </w:rPr>
  </w:style>
  <w:style w:type="paragraph" w:styleId="Revision">
    <w:name w:val="Revision"/>
    <w:hidden/>
    <w:uiPriority w:val="99"/>
    <w:semiHidden/>
    <w:rsid w:val="00F7044C"/>
    <w:rPr>
      <w:rFonts w:asciiTheme="minorHAnsi" w:eastAsiaTheme="minorEastAsia" w:hAnsiTheme="minorHAnsi" w:cstheme="minorBidi"/>
    </w:rPr>
  </w:style>
  <w:style w:type="character" w:customStyle="1" w:styleId="apple-converted-space">
    <w:name w:val="apple-converted-space"/>
    <w:basedOn w:val="DefaultParagraphFont"/>
    <w:rsid w:val="00F7044C"/>
  </w:style>
  <w:style w:type="character" w:styleId="Emphasis">
    <w:name w:val="Emphasis"/>
    <w:basedOn w:val="DefaultParagraphFont"/>
    <w:uiPriority w:val="20"/>
    <w:qFormat/>
    <w:rsid w:val="00F7044C"/>
    <w:rPr>
      <w:i/>
      <w:iCs/>
    </w:rPr>
  </w:style>
  <w:style w:type="paragraph" w:styleId="NoSpacing">
    <w:name w:val="No Spacing"/>
    <w:uiPriority w:val="1"/>
    <w:qFormat/>
    <w:rsid w:val="00F7044C"/>
    <w:rPr>
      <w:rFonts w:asciiTheme="minorHAnsi" w:eastAsiaTheme="minorEastAsia" w:hAnsiTheme="minorHAnsi" w:cstheme="minorBidi"/>
    </w:rPr>
  </w:style>
  <w:style w:type="paragraph" w:styleId="BodyTextIndent">
    <w:name w:val="Body Text Indent"/>
    <w:basedOn w:val="Normal"/>
    <w:link w:val="BodyTextIndentChar"/>
    <w:semiHidden/>
    <w:rsid w:val="00F7044C"/>
    <w:pPr>
      <w:suppressAutoHyphens w:val="0"/>
      <w:ind w:left="855" w:hanging="855"/>
    </w:pPr>
  </w:style>
  <w:style w:type="character" w:customStyle="1" w:styleId="BodyTextIndentChar">
    <w:name w:val="Body Text Indent Char"/>
    <w:basedOn w:val="DefaultParagraphFont"/>
    <w:link w:val="BodyTextIndent"/>
    <w:semiHidden/>
    <w:rsid w:val="00F7044C"/>
  </w:style>
  <w:style w:type="paragraph" w:styleId="BodyTextIndent2">
    <w:name w:val="Body Text Indent 2"/>
    <w:basedOn w:val="Normal"/>
    <w:link w:val="BodyTextIndent2Char"/>
    <w:rsid w:val="00F7044C"/>
    <w:pPr>
      <w:suppressAutoHyphens w:val="0"/>
      <w:ind w:left="1026" w:hanging="1026"/>
    </w:pPr>
  </w:style>
  <w:style w:type="character" w:customStyle="1" w:styleId="BodyTextIndent2Char">
    <w:name w:val="Body Text Indent 2 Char"/>
    <w:basedOn w:val="DefaultParagraphFont"/>
    <w:link w:val="BodyTextIndent2"/>
    <w:rsid w:val="00F7044C"/>
  </w:style>
  <w:style w:type="character" w:styleId="LineNumber">
    <w:name w:val="line number"/>
    <w:basedOn w:val="DefaultParagraphFont"/>
    <w:uiPriority w:val="99"/>
    <w:semiHidden/>
    <w:unhideWhenUsed/>
    <w:rsid w:val="00F7044C"/>
  </w:style>
  <w:style w:type="table" w:customStyle="1" w:styleId="PlainTable31">
    <w:name w:val="Plain Table 31"/>
    <w:basedOn w:val="TableNormal"/>
    <w:uiPriority w:val="43"/>
    <w:rsid w:val="00F7044C"/>
    <w:rPr>
      <w:rFonts w:asciiTheme="minorHAnsi" w:eastAsiaTheme="minorHAnsi" w:hAnsiTheme="minorHAnsi" w:cstheme="minorBidi"/>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F7044C"/>
    <w:rPr>
      <w:rFonts w:asciiTheme="minorHAnsi" w:eastAsiaTheme="minorHAnsi" w:hAnsiTheme="minorHAnsi" w:cstheme="minorBidi"/>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OCHeading">
    <w:name w:val="TOC Heading"/>
    <w:basedOn w:val="Heading1"/>
    <w:next w:val="Normal"/>
    <w:uiPriority w:val="39"/>
    <w:unhideWhenUsed/>
    <w:qFormat/>
    <w:rsid w:val="00F7044C"/>
    <w:pPr>
      <w:keepLines/>
      <w:suppressAutoHyphens w:val="0"/>
      <w:spacing w:before="480" w:line="276" w:lineRule="auto"/>
      <w:jc w:val="left"/>
      <w:outlineLvl w:val="9"/>
    </w:pPr>
    <w:rPr>
      <w:rFonts w:asciiTheme="majorHAnsi" w:eastAsiaTheme="majorEastAsia" w:hAnsiTheme="majorHAnsi" w:cstheme="majorBidi"/>
      <w:bCs/>
      <w:caps w:val="0"/>
      <w:color w:val="365F91" w:themeColor="accent1" w:themeShade="BF"/>
      <w:sz w:val="28"/>
      <w:szCs w:val="28"/>
    </w:rPr>
  </w:style>
  <w:style w:type="paragraph" w:customStyle="1" w:styleId="HeaderFooter">
    <w:name w:val="Header &amp; Footer"/>
    <w:rsid w:val="00F7044C"/>
    <w:pPr>
      <w:pBdr>
        <w:top w:val="nil"/>
        <w:left w:val="nil"/>
        <w:bottom w:val="nil"/>
        <w:right w:val="nil"/>
        <w:between w:val="nil"/>
        <w:bar w:val="nil"/>
      </w:pBdr>
      <w:tabs>
        <w:tab w:val="right" w:pos="9020"/>
      </w:tabs>
    </w:pPr>
    <w:rPr>
      <w:rFonts w:ascii="Helvetica" w:eastAsia="Arial Unicode MS" w:hAnsi="Arial Unicode MS" w:cs="Arial Unicode MS"/>
      <w:color w:val="000000"/>
      <w:bdr w:val="nil"/>
    </w:rPr>
  </w:style>
  <w:style w:type="paragraph" w:customStyle="1" w:styleId="Default">
    <w:name w:val="Default"/>
    <w:rsid w:val="00F7044C"/>
    <w:pPr>
      <w:pBdr>
        <w:top w:val="nil"/>
        <w:left w:val="nil"/>
        <w:bottom w:val="nil"/>
        <w:right w:val="nil"/>
        <w:between w:val="nil"/>
        <w:bar w:val="nil"/>
      </w:pBdr>
    </w:pPr>
    <w:rPr>
      <w:rFonts w:ascii="Helvetica" w:eastAsia="Helvetica" w:hAnsi="Helvetica" w:cs="Helvetica"/>
      <w:color w:val="000000"/>
      <w:sz w:val="22"/>
      <w:szCs w:val="22"/>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chart" Target="charts/chart1.xml"/><Relationship Id="rId21" Type="http://schemas.openxmlformats.org/officeDocument/2006/relationships/chart" Target="charts/chart2.xml"/><Relationship Id="rId22" Type="http://schemas.openxmlformats.org/officeDocument/2006/relationships/chart" Target="charts/chart3.xml"/><Relationship Id="rId23" Type="http://schemas.openxmlformats.org/officeDocument/2006/relationships/chart" Target="charts/chart4.xml"/><Relationship Id="rId24" Type="http://schemas.openxmlformats.org/officeDocument/2006/relationships/chart" Target="charts/chart5.xml"/><Relationship Id="rId25" Type="http://schemas.openxmlformats.org/officeDocument/2006/relationships/chart" Target="charts/chart6.xml"/><Relationship Id="rId26" Type="http://schemas.openxmlformats.org/officeDocument/2006/relationships/chart" Target="charts/chart7.xml"/><Relationship Id="rId27" Type="http://schemas.openxmlformats.org/officeDocument/2006/relationships/chart" Target="charts/chart8.xml"/><Relationship Id="rId28" Type="http://schemas.openxmlformats.org/officeDocument/2006/relationships/chart" Target="charts/chart9.xml"/><Relationship Id="rId29" Type="http://schemas.openxmlformats.org/officeDocument/2006/relationships/chart" Target="charts/chart10.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chart" Target="charts/chart11.xml"/><Relationship Id="rId31" Type="http://schemas.openxmlformats.org/officeDocument/2006/relationships/chart" Target="charts/chart12.xml"/><Relationship Id="rId32" Type="http://schemas.openxmlformats.org/officeDocument/2006/relationships/chart" Target="charts/chart13.xml"/><Relationship Id="rId9" Type="http://schemas.openxmlformats.org/officeDocument/2006/relationships/footer" Target="footer3.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33" Type="http://schemas.openxmlformats.org/officeDocument/2006/relationships/chart" Target="charts/chart14.xml"/><Relationship Id="rId34" Type="http://schemas.openxmlformats.org/officeDocument/2006/relationships/chart" Target="charts/chart15.xml"/><Relationship Id="rId35" Type="http://schemas.openxmlformats.org/officeDocument/2006/relationships/chart" Target="charts/chart16.xml"/><Relationship Id="rId36" Type="http://schemas.openxmlformats.org/officeDocument/2006/relationships/chart" Target="charts/chart17.xml"/><Relationship Id="rId10" Type="http://schemas.openxmlformats.org/officeDocument/2006/relationships/header" Target="header1.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1.jpeg"/><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jpg"/><Relationship Id="rId17" Type="http://schemas.openxmlformats.org/officeDocument/2006/relationships/image" Target="media/image5.png"/><Relationship Id="rId18" Type="http://schemas.openxmlformats.org/officeDocument/2006/relationships/image" Target="media/image6.jpeg"/><Relationship Id="rId19" Type="http://schemas.openxmlformats.org/officeDocument/2006/relationships/image" Target="media/image7.png"/><Relationship Id="rId37" Type="http://schemas.openxmlformats.org/officeDocument/2006/relationships/chart" Target="charts/chart18.xml"/><Relationship Id="rId38" Type="http://schemas.openxmlformats.org/officeDocument/2006/relationships/chart" Target="charts/chart19.xml"/><Relationship Id="rId39" Type="http://schemas.openxmlformats.org/officeDocument/2006/relationships/header" Target="header2.xml"/><Relationship Id="rId40" Type="http://schemas.openxmlformats.org/officeDocument/2006/relationships/footer" Target="footer6.xml"/><Relationship Id="rId41" Type="http://schemas.openxmlformats.org/officeDocument/2006/relationships/fontTable" Target="fontTable.xml"/><Relationship Id="rId4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 Id="rId2" Type="http://schemas.openxmlformats.org/officeDocument/2006/relationships/chartUserShapes" Target="../drawings/drawing3.xml"/></Relationships>
</file>

<file path=word/charts/_rels/chart1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Janna\Dropbox\Dissertation\Presentations\Graphs%20for%20talk%204.10.17.xlsx" TargetMode="External"/></Relationships>
</file>

<file path=word/charts/_rels/chart1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Users\Janna\Dropbox\Dissertation\Presentations\Graphs%20for%20talk%204.10.17.xlsx" TargetMode="External"/></Relationships>
</file>

<file path=word/charts/_rels/chart1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oleObject" Target="file:////Users\Janna\Dropbox\Dissertation\Presentations\Graphs%20for%20talk%204.10.17.xlsx" TargetMode="External"/></Relationships>
</file>

<file path=word/charts/_rels/chart1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oleObject" Target="file:////Users\Janna\Dropbox\Dissertation\Presentations\Graphs%20for%20talk%204.10.17.xlsx" TargetMode="External"/></Relationships>
</file>

<file path=word/charts/_rels/chart1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oleObject" Target="file:////Users\Janna\Dropbox\Dissertation\Presentations\Graphs%20for%20talk%204.10.17.xlsx" TargetMode="External"/></Relationships>
</file>

<file path=word/charts/_rels/chart1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oleObject" Target="file:////Users/Janna/Dropbox/Dissertation/Final_paper/Rebuttal%20Round%202/Datasheet_circadian_graphs.xlsx" TargetMode="External"/></Relationships>
</file>

<file path=word/charts/_rels/chart17.xml.rels><?xml version="1.0" encoding="UTF-8" standalone="yes"?>
<Relationships xmlns="http://schemas.openxmlformats.org/package/2006/relationships"><Relationship Id="rId1" Type="http://schemas.microsoft.com/office/2011/relationships/chartStyle" Target="style7.xml"/><Relationship Id="rId2" Type="http://schemas.microsoft.com/office/2011/relationships/chartColorStyle" Target="colors7.xml"/><Relationship Id="rId3" Type="http://schemas.openxmlformats.org/officeDocument/2006/relationships/oleObject" Target="file:////Users/Janna/Dropbox/Dissertation/Final_paper/Rebuttal%20Round%202/Datasheet_circadian_graphs.xlsx" TargetMode="External"/></Relationships>
</file>

<file path=word/charts/_rels/chart18.xml.rels><?xml version="1.0" encoding="UTF-8" standalone="yes"?>
<Relationships xmlns="http://schemas.openxmlformats.org/package/2006/relationships"><Relationship Id="rId1" Type="http://schemas.microsoft.com/office/2011/relationships/chartStyle" Target="style8.xml"/><Relationship Id="rId2" Type="http://schemas.microsoft.com/office/2011/relationships/chartColorStyle" Target="colors8.xml"/><Relationship Id="rId3" Type="http://schemas.openxmlformats.org/officeDocument/2006/relationships/oleObject" Target="file:////Users/Janna/Dropbox/Dissertation/Final_paper/Rebuttal%20Round%202/Datasheet_circadian_graphs.xlsx" TargetMode="External"/></Relationships>
</file>

<file path=word/charts/_rels/chart19.xml.rels><?xml version="1.0" encoding="UTF-8" standalone="yes"?>
<Relationships xmlns="http://schemas.openxmlformats.org/package/2006/relationships"><Relationship Id="rId1" Type="http://schemas.microsoft.com/office/2011/relationships/chartStyle" Target="style9.xml"/><Relationship Id="rId2" Type="http://schemas.microsoft.com/office/2011/relationships/chartColorStyle" Target="colors9.xml"/><Relationship Id="rId3" Type="http://schemas.openxmlformats.org/officeDocument/2006/relationships/oleObject" Target="file:////Users/Janna/Dropbox/Dissertation/Final_paper/Rebuttal%20Round%202/Datasheet_circadian_graph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 Id="rId2" Type="http://schemas.openxmlformats.org/officeDocument/2006/relationships/chartUserShapes" Target="../drawings/drawing1.xm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jannamantua:Dropbox:TBI:TBI%20Results_4.13.16.xlsx" TargetMode="External"/><Relationship Id="rId2"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88020833333333"/>
          <c:y val="0.0902777777777778"/>
          <c:w val="0.519270833333333"/>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Take2!$D$72:$D$73</c:f>
                <c:numCache>
                  <c:formatCode>General</c:formatCode>
                  <c:ptCount val="2"/>
                  <c:pt idx="0">
                    <c:v>4.4</c:v>
                  </c:pt>
                  <c:pt idx="1">
                    <c:v>4.5</c:v>
                  </c:pt>
                </c:numCache>
              </c:numRef>
            </c:plus>
            <c:minus>
              <c:numRef>
                <c:f>Take2!$D$72:$D$73</c:f>
                <c:numCache>
                  <c:formatCode>General</c:formatCode>
                  <c:ptCount val="2"/>
                  <c:pt idx="0">
                    <c:v>4.4</c:v>
                  </c:pt>
                  <c:pt idx="1">
                    <c:v>4.5</c:v>
                  </c:pt>
                </c:numCache>
              </c:numRef>
            </c:minus>
          </c:errBars>
          <c:cat>
            <c:strRef>
              <c:f>Take2!$N$90:$O$90</c:f>
              <c:strCache>
                <c:ptCount val="2"/>
                <c:pt idx="0">
                  <c:v>Non-TBI</c:v>
                </c:pt>
                <c:pt idx="1">
                  <c:v>TBI</c:v>
                </c:pt>
              </c:strCache>
            </c:strRef>
          </c:cat>
          <c:val>
            <c:numRef>
              <c:f>Take2!$C$72:$C$73</c:f>
              <c:numCache>
                <c:formatCode>General</c:formatCode>
                <c:ptCount val="2"/>
                <c:pt idx="0">
                  <c:v>51.0</c:v>
                </c:pt>
                <c:pt idx="1">
                  <c:v>54.9</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Take2!$D$74:$D$75</c:f>
                <c:numCache>
                  <c:formatCode>General</c:formatCode>
                  <c:ptCount val="2"/>
                  <c:pt idx="0">
                    <c:v>4.4</c:v>
                  </c:pt>
                  <c:pt idx="1">
                    <c:v>4.2</c:v>
                  </c:pt>
                </c:numCache>
              </c:numRef>
            </c:plus>
            <c:minus>
              <c:numRef>
                <c:f>Take2!$D$74:$D$75</c:f>
                <c:numCache>
                  <c:formatCode>General</c:formatCode>
                  <c:ptCount val="2"/>
                  <c:pt idx="0">
                    <c:v>4.4</c:v>
                  </c:pt>
                  <c:pt idx="1">
                    <c:v>4.2</c:v>
                  </c:pt>
                </c:numCache>
              </c:numRef>
            </c:minus>
          </c:errBars>
          <c:cat>
            <c:strRef>
              <c:f>Take2!$N$90:$O$90</c:f>
              <c:strCache>
                <c:ptCount val="2"/>
                <c:pt idx="0">
                  <c:v>Non-TBI</c:v>
                </c:pt>
                <c:pt idx="1">
                  <c:v>TBI</c:v>
                </c:pt>
              </c:strCache>
            </c:strRef>
          </c:cat>
          <c:val>
            <c:numRef>
              <c:f>Take2!$C$74:$C$75</c:f>
              <c:numCache>
                <c:formatCode>General</c:formatCode>
                <c:ptCount val="2"/>
                <c:pt idx="0">
                  <c:v>70.0</c:v>
                </c:pt>
                <c:pt idx="1">
                  <c:v>62.5</c:v>
                </c:pt>
              </c:numCache>
            </c:numRef>
          </c:val>
        </c:ser>
        <c:dLbls>
          <c:showLegendKey val="0"/>
          <c:showVal val="0"/>
          <c:showCatName val="0"/>
          <c:showSerName val="0"/>
          <c:showPercent val="0"/>
          <c:showBubbleSize val="0"/>
        </c:dLbls>
        <c:gapWidth val="115"/>
        <c:axId val="32278752"/>
        <c:axId val="26302656"/>
      </c:barChart>
      <c:catAx>
        <c:axId val="32278752"/>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26302656"/>
        <c:crosses val="autoZero"/>
        <c:auto val="1"/>
        <c:lblAlgn val="ctr"/>
        <c:lblOffset val="100"/>
        <c:noMultiLvlLbl val="0"/>
      </c:catAx>
      <c:valAx>
        <c:axId val="26302656"/>
        <c:scaling>
          <c:orientation val="minMax"/>
          <c:max val="85.0"/>
          <c:min val="35.0"/>
        </c:scaling>
        <c:delete val="0"/>
        <c:axPos val="l"/>
        <c:majorGridlines/>
        <c:title>
          <c:tx>
            <c:rich>
              <a:bodyPr rot="-5400000" vert="horz"/>
              <a:lstStyle/>
              <a:p>
                <a:pPr>
                  <a:defRPr sz="800">
                    <a:latin typeface="Times"/>
                    <a:cs typeface="Times"/>
                  </a:defRPr>
                </a:pPr>
                <a:r>
                  <a:rPr lang="en-US" sz="800">
                    <a:latin typeface="Times"/>
                    <a:cs typeface="Times"/>
                  </a:rPr>
                  <a:t>Corrected Recognition (%)</a:t>
                </a:r>
              </a:p>
            </c:rich>
          </c:tx>
          <c:layout>
            <c:manualLayout>
              <c:xMode val="edge"/>
              <c:yMode val="edge"/>
              <c:x val="0.0"/>
              <c:y val="0.13566437007874"/>
            </c:manualLayout>
          </c:layout>
          <c:overlay val="0"/>
        </c:title>
        <c:numFmt formatCode="General" sourceLinked="1"/>
        <c:majorTickMark val="out"/>
        <c:minorTickMark val="none"/>
        <c:tickLblPos val="nextTo"/>
        <c:txPr>
          <a:bodyPr/>
          <a:lstStyle/>
          <a:p>
            <a:pPr>
              <a:defRPr sz="1000" b="1">
                <a:latin typeface="Times"/>
                <a:cs typeface="Times"/>
              </a:defRPr>
            </a:pPr>
            <a:endParaRPr lang="en-US"/>
          </a:p>
        </c:txPr>
        <c:crossAx val="32278752"/>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9442749343832"/>
          <c:y val="0.0902777777777778"/>
          <c:w val="0.622239173228346"/>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Take2!$D$40:$D$41</c:f>
                <c:numCache>
                  <c:formatCode>General</c:formatCode>
                  <c:ptCount val="2"/>
                  <c:pt idx="0">
                    <c:v>0.284</c:v>
                  </c:pt>
                  <c:pt idx="1">
                    <c:v>0.291</c:v>
                  </c:pt>
                </c:numCache>
              </c:numRef>
            </c:plus>
            <c:minus>
              <c:numRef>
                <c:f>Take2!$D$40:$D$41</c:f>
                <c:numCache>
                  <c:formatCode>General</c:formatCode>
                  <c:ptCount val="2"/>
                  <c:pt idx="0">
                    <c:v>0.284</c:v>
                  </c:pt>
                  <c:pt idx="1">
                    <c:v>0.291</c:v>
                  </c:pt>
                </c:numCache>
              </c:numRef>
            </c:minus>
          </c:errBars>
          <c:cat>
            <c:strRef>
              <c:f>Take2!$O$40:$P$40</c:f>
              <c:strCache>
                <c:ptCount val="2"/>
                <c:pt idx="0">
                  <c:v>Non-TBI</c:v>
                </c:pt>
                <c:pt idx="1">
                  <c:v>TBI</c:v>
                </c:pt>
              </c:strCache>
            </c:strRef>
          </c:cat>
          <c:val>
            <c:numRef>
              <c:f>Take2!$C$40:$C$41</c:f>
              <c:numCache>
                <c:formatCode>General</c:formatCode>
                <c:ptCount val="2"/>
                <c:pt idx="0">
                  <c:v>-0.15</c:v>
                </c:pt>
                <c:pt idx="1">
                  <c:v>-0.295</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Take2!$D$42:$D$43</c:f>
                <c:numCache>
                  <c:formatCode>General</c:formatCode>
                  <c:ptCount val="2"/>
                  <c:pt idx="0">
                    <c:v>0.275</c:v>
                  </c:pt>
                  <c:pt idx="1">
                    <c:v>0.273</c:v>
                  </c:pt>
                </c:numCache>
              </c:numRef>
            </c:plus>
            <c:minus>
              <c:numRef>
                <c:f>Take2!$D$42:$D$43</c:f>
                <c:numCache>
                  <c:formatCode>General</c:formatCode>
                  <c:ptCount val="2"/>
                  <c:pt idx="0">
                    <c:v>0.275</c:v>
                  </c:pt>
                  <c:pt idx="1">
                    <c:v>0.273</c:v>
                  </c:pt>
                </c:numCache>
              </c:numRef>
            </c:minus>
          </c:errBars>
          <c:cat>
            <c:strRef>
              <c:f>Take2!$O$40:$P$40</c:f>
              <c:strCache>
                <c:ptCount val="2"/>
                <c:pt idx="0">
                  <c:v>Non-TBI</c:v>
                </c:pt>
                <c:pt idx="1">
                  <c:v>TBI</c:v>
                </c:pt>
              </c:strCache>
            </c:strRef>
          </c:cat>
          <c:val>
            <c:numRef>
              <c:f>Take2!$C$42:$C$43</c:f>
              <c:numCache>
                <c:formatCode>General</c:formatCode>
                <c:ptCount val="2"/>
                <c:pt idx="0">
                  <c:v>0.148</c:v>
                </c:pt>
                <c:pt idx="1">
                  <c:v>-0.163</c:v>
                </c:pt>
              </c:numCache>
            </c:numRef>
          </c:val>
        </c:ser>
        <c:dLbls>
          <c:showLegendKey val="0"/>
          <c:showVal val="0"/>
          <c:showCatName val="0"/>
          <c:showSerName val="0"/>
          <c:showPercent val="0"/>
          <c:showBubbleSize val="0"/>
        </c:dLbls>
        <c:gapWidth val="150"/>
        <c:axId val="76382304"/>
        <c:axId val="76481760"/>
      </c:barChart>
      <c:catAx>
        <c:axId val="76382304"/>
        <c:scaling>
          <c:orientation val="minMax"/>
        </c:scaling>
        <c:delete val="0"/>
        <c:axPos val="b"/>
        <c:numFmt formatCode="General" sourceLinked="0"/>
        <c:majorTickMark val="out"/>
        <c:minorTickMark val="none"/>
        <c:tickLblPos val="low"/>
        <c:txPr>
          <a:bodyPr/>
          <a:lstStyle/>
          <a:p>
            <a:pPr>
              <a:defRPr sz="800" b="1">
                <a:latin typeface="Times"/>
                <a:cs typeface="Times"/>
              </a:defRPr>
            </a:pPr>
            <a:endParaRPr lang="en-US"/>
          </a:p>
        </c:txPr>
        <c:crossAx val="76481760"/>
        <c:crosses val="autoZero"/>
        <c:auto val="1"/>
        <c:lblAlgn val="ctr"/>
        <c:lblOffset val="100"/>
        <c:noMultiLvlLbl val="0"/>
      </c:catAx>
      <c:valAx>
        <c:axId val="76481760"/>
        <c:scaling>
          <c:orientation val="minMax"/>
          <c:max val="1.0"/>
          <c:min val="-1.0"/>
        </c:scaling>
        <c:delete val="0"/>
        <c:axPos val="l"/>
        <c:majorGridlines/>
        <c:title>
          <c:tx>
            <c:rich>
              <a:bodyPr rot="-5400000" vert="horz"/>
              <a:lstStyle/>
              <a:p>
                <a:pPr>
                  <a:defRPr sz="800">
                    <a:latin typeface="Times"/>
                    <a:cs typeface="Times"/>
                  </a:defRPr>
                </a:pPr>
                <a:r>
                  <a:rPr lang="en-US" sz="800" b="1" i="0" u="none" strike="noStrike" baseline="0">
                    <a:effectLst/>
                  </a:rPr>
                  <a:t>ΔArousal </a:t>
                </a:r>
                <a:endParaRPr lang="en-US" sz="800">
                  <a:latin typeface="Times"/>
                  <a:cs typeface="Times"/>
                </a:endParaRPr>
              </a:p>
            </c:rich>
          </c:tx>
          <c:layout>
            <c:manualLayout>
              <c:xMode val="edge"/>
              <c:yMode val="edge"/>
              <c:x val="0.025"/>
              <c:y val="0.368055555555556"/>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76382304"/>
        <c:crosses val="autoZero"/>
        <c:crossBetween val="between"/>
      </c:valAx>
    </c:plotArea>
    <c:legend>
      <c:legendPos val="r"/>
      <c:layout>
        <c:manualLayout>
          <c:xMode val="edge"/>
          <c:yMode val="edge"/>
          <c:x val="0.811458333333333"/>
          <c:y val="0.361666666666667"/>
          <c:w val="0.183333333333333"/>
          <c:h val="0.221111111111111"/>
        </c:manualLayout>
      </c:layout>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v>mTBI</c:v>
          </c:tx>
          <c:spPr>
            <a:solidFill>
              <a:schemeClr val="accent2"/>
            </a:solidFill>
            <a:ln>
              <a:noFill/>
            </a:ln>
            <a:effectLst/>
          </c:spPr>
          <c:invertIfNegative val="0"/>
          <c:errBars>
            <c:errBarType val="both"/>
            <c:errValType val="cust"/>
            <c:noEndCap val="0"/>
            <c:plus>
              <c:numRef>
                <c:f>(Sheet2!$C$5,Sheet2!$C$15)</c:f>
                <c:numCache>
                  <c:formatCode>General</c:formatCode>
                  <c:ptCount val="2"/>
                  <c:pt idx="0">
                    <c:v>0.104</c:v>
                  </c:pt>
                  <c:pt idx="1">
                    <c:v>0.1</c:v>
                  </c:pt>
                </c:numCache>
              </c:numRef>
            </c:plus>
            <c:minus>
              <c:numRef>
                <c:f>(Sheet2!$C$5,Sheet2!$C$15)</c:f>
                <c:numCache>
                  <c:formatCode>General</c:formatCode>
                  <c:ptCount val="2"/>
                  <c:pt idx="0">
                    <c:v>0.104</c:v>
                  </c:pt>
                  <c:pt idx="1">
                    <c:v>0.1</c:v>
                  </c:pt>
                </c:numCache>
              </c:numRef>
            </c:minus>
            <c:spPr>
              <a:noFill/>
              <a:ln w="9525" cap="flat" cmpd="sng" algn="ctr">
                <a:solidFill>
                  <a:schemeClr val="tx1">
                    <a:lumMod val="65000"/>
                    <a:lumOff val="35000"/>
                  </a:schemeClr>
                </a:solidFill>
                <a:round/>
              </a:ln>
              <a:effectLst/>
            </c:spPr>
          </c:errBars>
          <c:cat>
            <c:strRef>
              <c:f>Sheet2!$H$25:$I$25</c:f>
              <c:strCache>
                <c:ptCount val="2"/>
                <c:pt idx="0">
                  <c:v>Morning</c:v>
                </c:pt>
                <c:pt idx="1">
                  <c:v>Evening</c:v>
                </c:pt>
              </c:strCache>
            </c:strRef>
          </c:cat>
          <c:val>
            <c:numRef>
              <c:f>(Sheet2!$B$5,Sheet2!$B$15)</c:f>
              <c:numCache>
                <c:formatCode>General</c:formatCode>
                <c:ptCount val="2"/>
                <c:pt idx="0">
                  <c:v>1.98</c:v>
                </c:pt>
                <c:pt idx="1">
                  <c:v>1.825</c:v>
                </c:pt>
              </c:numCache>
            </c:numRef>
          </c:val>
          <c:extLst xmlns:c16r2="http://schemas.microsoft.com/office/drawing/2015/06/chart">
            <c:ext xmlns:c16="http://schemas.microsoft.com/office/drawing/2014/chart" uri="{C3380CC4-5D6E-409C-BE32-E72D297353CC}">
              <c16:uniqueId val="{00000000-66A6-429E-995D-CA37BBCB7551}"/>
            </c:ext>
          </c:extLst>
        </c:ser>
        <c:ser>
          <c:idx val="0"/>
          <c:order val="1"/>
          <c:tx>
            <c:v>non-TBI</c:v>
          </c:tx>
          <c:spPr>
            <a:solidFill>
              <a:schemeClr val="accent1"/>
            </a:solidFill>
            <a:ln>
              <a:noFill/>
            </a:ln>
            <a:effectLst/>
          </c:spPr>
          <c:invertIfNegative val="0"/>
          <c:errBars>
            <c:errBarType val="both"/>
            <c:errValType val="cust"/>
            <c:noEndCap val="0"/>
            <c:plus>
              <c:numRef>
                <c:f>(Sheet2!$C$6,Sheet2!$C$16)</c:f>
                <c:numCache>
                  <c:formatCode>General</c:formatCode>
                  <c:ptCount val="2"/>
                  <c:pt idx="0">
                    <c:v>0.107</c:v>
                  </c:pt>
                  <c:pt idx="1">
                    <c:v>0.098</c:v>
                  </c:pt>
                </c:numCache>
              </c:numRef>
            </c:plus>
            <c:minus>
              <c:numRef>
                <c:f>(Sheet2!$C$6,Sheet2!$C$16)</c:f>
                <c:numCache>
                  <c:formatCode>General</c:formatCode>
                  <c:ptCount val="2"/>
                  <c:pt idx="0">
                    <c:v>0.107</c:v>
                  </c:pt>
                  <c:pt idx="1">
                    <c:v>0.098</c:v>
                  </c:pt>
                </c:numCache>
              </c:numRef>
            </c:minus>
            <c:spPr>
              <a:noFill/>
              <a:ln w="9525" cap="flat" cmpd="sng" algn="ctr">
                <a:solidFill>
                  <a:schemeClr val="tx1">
                    <a:lumMod val="65000"/>
                    <a:lumOff val="35000"/>
                  </a:schemeClr>
                </a:solidFill>
                <a:round/>
              </a:ln>
              <a:effectLst/>
            </c:spPr>
          </c:errBars>
          <c:cat>
            <c:strRef>
              <c:f>Sheet2!$H$25:$I$25</c:f>
              <c:strCache>
                <c:ptCount val="2"/>
                <c:pt idx="0">
                  <c:v>Morning</c:v>
                </c:pt>
                <c:pt idx="1">
                  <c:v>Evening</c:v>
                </c:pt>
              </c:strCache>
            </c:strRef>
          </c:cat>
          <c:val>
            <c:numRef>
              <c:f>(Sheet2!$B$6,Sheet2!$B$16)</c:f>
              <c:numCache>
                <c:formatCode>General</c:formatCode>
                <c:ptCount val="2"/>
                <c:pt idx="0">
                  <c:v>1.698</c:v>
                </c:pt>
                <c:pt idx="1">
                  <c:v>1.895</c:v>
                </c:pt>
              </c:numCache>
            </c:numRef>
          </c:val>
          <c:extLst xmlns:c16r2="http://schemas.microsoft.com/office/drawing/2015/06/chart">
            <c:ext xmlns:c16="http://schemas.microsoft.com/office/drawing/2014/chart" uri="{C3380CC4-5D6E-409C-BE32-E72D297353CC}">
              <c16:uniqueId val="{00000001-66A6-429E-995D-CA37BBCB7551}"/>
            </c:ext>
          </c:extLst>
        </c:ser>
        <c:dLbls>
          <c:showLegendKey val="0"/>
          <c:showVal val="0"/>
          <c:showCatName val="0"/>
          <c:showSerName val="0"/>
          <c:showPercent val="0"/>
          <c:showBubbleSize val="0"/>
        </c:dLbls>
        <c:gapWidth val="219"/>
        <c:overlap val="-27"/>
        <c:axId val="40497536"/>
        <c:axId val="60913744"/>
      </c:barChart>
      <c:catAx>
        <c:axId val="4049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60913744"/>
        <c:crosses val="autoZero"/>
        <c:auto val="1"/>
        <c:lblAlgn val="ctr"/>
        <c:lblOffset val="100"/>
        <c:noMultiLvlLbl val="0"/>
      </c:catAx>
      <c:valAx>
        <c:axId val="60913744"/>
        <c:scaling>
          <c:orientation val="minMax"/>
          <c:min val="1.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Valence</a:t>
                </a:r>
                <a:r>
                  <a:rPr lang="en-US" baseline="0"/>
                  <a:t> Ratings</a:t>
                </a:r>
                <a:endParaRPr lang="en-US"/>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404975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0">
          <a:solidFill>
            <a:sysClr val="windowText" lastClr="000000"/>
          </a:solidFill>
          <a:latin typeface="Times" charset="0"/>
          <a:ea typeface="Times" charset="0"/>
          <a:cs typeface="Times"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r>
              <a:rPr lang="en-US"/>
              <a:t>Positive Images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endParaRPr lang="en-US"/>
        </a:p>
      </c:txPr>
    </c:title>
    <c:autoTitleDeleted val="0"/>
    <c:plotArea>
      <c:layout/>
      <c:lineChart>
        <c:grouping val="standard"/>
        <c:varyColors val="0"/>
        <c:ser>
          <c:idx val="0"/>
          <c:order val="0"/>
          <c:spPr>
            <a:ln w="28575" cap="rnd">
              <a:solidFill>
                <a:schemeClr val="tx1"/>
              </a:solidFill>
              <a:round/>
            </a:ln>
            <a:effectLst/>
          </c:spPr>
          <c:marker>
            <c:symbol val="none"/>
          </c:marker>
          <c:errBars>
            <c:errDir val="y"/>
            <c:errBarType val="both"/>
            <c:errValType val="cust"/>
            <c:noEndCap val="0"/>
            <c:plus>
              <c:numRef>
                <c:f>(Groups_combined!$C$22,Groups_combined!$E$22,Groups_combined!$G$22,Groups_combined!$I$22,Groups_combined!$K$22)</c:f>
                <c:numCache>
                  <c:formatCode>General</c:formatCode>
                  <c:ptCount val="5"/>
                  <c:pt idx="0">
                    <c:v>0.10640163120486</c:v>
                  </c:pt>
                  <c:pt idx="1">
                    <c:v>0.112539073161165</c:v>
                  </c:pt>
                  <c:pt idx="2">
                    <c:v>0.116336780390078</c:v>
                  </c:pt>
                  <c:pt idx="3">
                    <c:v>0.133192497545235</c:v>
                  </c:pt>
                  <c:pt idx="4">
                    <c:v>0.138743100809394</c:v>
                  </c:pt>
                </c:numCache>
              </c:numRef>
            </c:plus>
            <c:minus>
              <c:numRef>
                <c:f>(Groups_combined!$C$22,Groups_combined!$E$22,Groups_combined!$G$22,Groups_combined!$I$22,Groups_combined!$K$22)</c:f>
                <c:numCache>
                  <c:formatCode>General</c:formatCode>
                  <c:ptCount val="5"/>
                  <c:pt idx="0">
                    <c:v>0.10640163120486</c:v>
                  </c:pt>
                  <c:pt idx="1">
                    <c:v>0.112539073161165</c:v>
                  </c:pt>
                  <c:pt idx="2">
                    <c:v>0.116336780390078</c:v>
                  </c:pt>
                  <c:pt idx="3">
                    <c:v>0.133192497545235</c:v>
                  </c:pt>
                  <c:pt idx="4">
                    <c:v>0.138743100809394</c:v>
                  </c:pt>
                </c:numCache>
              </c:numRef>
            </c:minus>
            <c:spPr>
              <a:noFill/>
              <a:ln w="9525" cap="flat" cmpd="sng" algn="ctr">
                <a:solidFill>
                  <a:schemeClr val="tx1">
                    <a:lumMod val="65000"/>
                    <a:lumOff val="35000"/>
                  </a:schemeClr>
                </a:solidFill>
                <a:round/>
              </a:ln>
              <a:effectLst/>
            </c:spPr>
          </c:errBars>
          <c:val>
            <c:numRef>
              <c:f>(Groups_combined!$B$22,Groups_combined!$D$22,Groups_combined!$F$22,Groups_combined!$H$22,Groups_combined!$J$22)</c:f>
              <c:numCache>
                <c:formatCode>General</c:formatCode>
                <c:ptCount val="5"/>
                <c:pt idx="0">
                  <c:v>6.300000000000001</c:v>
                </c:pt>
                <c:pt idx="1">
                  <c:v>6.22</c:v>
                </c:pt>
                <c:pt idx="2">
                  <c:v>6.189999999999999</c:v>
                </c:pt>
                <c:pt idx="3">
                  <c:v>6.01</c:v>
                </c:pt>
                <c:pt idx="4">
                  <c:v>6.024999999999975</c:v>
                </c:pt>
              </c:numCache>
            </c:numRef>
          </c:val>
          <c:smooth val="0"/>
          <c:extLst xmlns:c16r2="http://schemas.microsoft.com/office/drawing/2015/06/chart">
            <c:ext xmlns:c16="http://schemas.microsoft.com/office/drawing/2014/chart" uri="{C3380CC4-5D6E-409C-BE32-E72D297353CC}">
              <c16:uniqueId val="{00000000-53A0-4038-B0F9-35CBDDA2ACF5}"/>
            </c:ext>
          </c:extLst>
        </c:ser>
        <c:dLbls>
          <c:showLegendKey val="0"/>
          <c:showVal val="0"/>
          <c:showCatName val="0"/>
          <c:showSerName val="0"/>
          <c:showPercent val="0"/>
          <c:showBubbleSize val="0"/>
        </c:dLbls>
        <c:smooth val="0"/>
        <c:axId val="61389680"/>
        <c:axId val="65014896"/>
      </c:lineChart>
      <c:catAx>
        <c:axId val="6138968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Exposure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65014896"/>
        <c:crosses val="autoZero"/>
        <c:auto val="1"/>
        <c:lblAlgn val="ctr"/>
        <c:lblOffset val="100"/>
        <c:noMultiLvlLbl val="0"/>
      </c:catAx>
      <c:valAx>
        <c:axId val="65014896"/>
        <c:scaling>
          <c:orientation val="minMax"/>
          <c:max val="6.5"/>
          <c:min val="5.7"/>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Valence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613896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b="0">
          <a:solidFill>
            <a:schemeClr val="tx1"/>
          </a:solidFill>
          <a:latin typeface="Times" charset="0"/>
          <a:ea typeface="Times" charset="0"/>
          <a:cs typeface="Times"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r>
              <a:rPr lang="en-US"/>
              <a:t>Negative Images</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endParaRPr lang="en-US"/>
        </a:p>
      </c:txPr>
    </c:title>
    <c:autoTitleDeleted val="0"/>
    <c:plotArea>
      <c:layout/>
      <c:lineChart>
        <c:grouping val="standard"/>
        <c:varyColors val="0"/>
        <c:ser>
          <c:idx val="0"/>
          <c:order val="0"/>
          <c:spPr>
            <a:ln w="28575" cap="rnd">
              <a:solidFill>
                <a:schemeClr val="tx1"/>
              </a:solidFill>
              <a:round/>
            </a:ln>
            <a:effectLst/>
          </c:spPr>
          <c:marker>
            <c:symbol val="none"/>
          </c:marker>
          <c:errBars>
            <c:errDir val="y"/>
            <c:errBarType val="both"/>
            <c:errValType val="cust"/>
            <c:noEndCap val="0"/>
            <c:plus>
              <c:numRef>
                <c:f>(Groups_combined!$C$20,Groups_combined!$E$20,Groups_combined!$G$20,Groups_combined!$I$20,Groups_combined!$K$20)</c:f>
                <c:numCache>
                  <c:formatCode>General</c:formatCode>
                  <c:ptCount val="5"/>
                  <c:pt idx="0">
                    <c:v>0.113165193169625</c:v>
                  </c:pt>
                  <c:pt idx="1">
                    <c:v>0.122095295030626</c:v>
                  </c:pt>
                  <c:pt idx="2">
                    <c:v>0.108527606409898</c:v>
                  </c:pt>
                  <c:pt idx="3">
                    <c:v>0.138972021834263</c:v>
                  </c:pt>
                  <c:pt idx="4">
                    <c:v>0.145655495699193</c:v>
                  </c:pt>
                </c:numCache>
              </c:numRef>
            </c:plus>
            <c:minus>
              <c:numRef>
                <c:f>(Groups_combined!$C$20,Groups_combined!$E$20,Groups_combined!$G$20,Groups_combined!$I$20,Groups_combined!$K$20)</c:f>
                <c:numCache>
                  <c:formatCode>General</c:formatCode>
                  <c:ptCount val="5"/>
                  <c:pt idx="0">
                    <c:v>0.113165193169625</c:v>
                  </c:pt>
                  <c:pt idx="1">
                    <c:v>0.122095295030626</c:v>
                  </c:pt>
                  <c:pt idx="2">
                    <c:v>0.108527606409898</c:v>
                  </c:pt>
                  <c:pt idx="3">
                    <c:v>0.138972021834263</c:v>
                  </c:pt>
                  <c:pt idx="4">
                    <c:v>0.145655495699193</c:v>
                  </c:pt>
                </c:numCache>
              </c:numRef>
            </c:minus>
            <c:spPr>
              <a:noFill/>
              <a:ln w="9525" cap="flat" cmpd="sng" algn="ctr">
                <a:solidFill>
                  <a:schemeClr val="tx1">
                    <a:lumMod val="65000"/>
                    <a:lumOff val="35000"/>
                  </a:schemeClr>
                </a:solidFill>
                <a:round/>
              </a:ln>
              <a:effectLst/>
            </c:spPr>
          </c:errBars>
          <c:val>
            <c:numRef>
              <c:f>(Groups_combined!$B$20,Groups_combined!$D$20,Groups_combined!$F$20,Groups_combined!$H$20,Groups_combined!$J$20)</c:f>
              <c:numCache>
                <c:formatCode>General</c:formatCode>
                <c:ptCount val="5"/>
                <c:pt idx="0">
                  <c:v>2.745</c:v>
                </c:pt>
                <c:pt idx="1">
                  <c:v>2.59</c:v>
                </c:pt>
                <c:pt idx="2">
                  <c:v>2.7</c:v>
                </c:pt>
                <c:pt idx="3">
                  <c:v>2.755</c:v>
                </c:pt>
                <c:pt idx="4">
                  <c:v>2.76</c:v>
                </c:pt>
              </c:numCache>
            </c:numRef>
          </c:val>
          <c:smooth val="0"/>
          <c:extLst xmlns:c16r2="http://schemas.microsoft.com/office/drawing/2015/06/chart">
            <c:ext xmlns:c16="http://schemas.microsoft.com/office/drawing/2014/chart" uri="{C3380CC4-5D6E-409C-BE32-E72D297353CC}">
              <c16:uniqueId val="{00000000-A88F-483B-B2E8-1DB7C45A6F73}"/>
            </c:ext>
          </c:extLst>
        </c:ser>
        <c:dLbls>
          <c:showLegendKey val="0"/>
          <c:showVal val="0"/>
          <c:showCatName val="0"/>
          <c:showSerName val="0"/>
          <c:showPercent val="0"/>
          <c:showBubbleSize val="0"/>
        </c:dLbls>
        <c:smooth val="0"/>
        <c:axId val="61483984"/>
        <c:axId val="78475232"/>
      </c:lineChart>
      <c:catAx>
        <c:axId val="6148398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Exposure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78475232"/>
        <c:crosses val="autoZero"/>
        <c:auto val="1"/>
        <c:lblAlgn val="ctr"/>
        <c:lblOffset val="100"/>
        <c:noMultiLvlLbl val="0"/>
      </c:catAx>
      <c:valAx>
        <c:axId val="78475232"/>
        <c:scaling>
          <c:orientation val="minMax"/>
          <c:max val="3.1"/>
          <c:min val="2.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Valence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6148398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b="0">
          <a:solidFill>
            <a:schemeClr val="tx1"/>
          </a:solidFill>
          <a:latin typeface="Times" charset="0"/>
          <a:ea typeface="Times" charset="0"/>
          <a:cs typeface="Times"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r>
              <a:rPr lang="en-US"/>
              <a:t>Arousal to positive stimuli</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endParaRPr lang="en-US"/>
        </a:p>
      </c:txPr>
    </c:title>
    <c:autoTitleDeleted val="0"/>
    <c:plotArea>
      <c:layout/>
      <c:lineChart>
        <c:grouping val="standard"/>
        <c:varyColors val="0"/>
        <c:ser>
          <c:idx val="1"/>
          <c:order val="0"/>
          <c:tx>
            <c:v>non-TBI</c:v>
          </c:tx>
          <c:spPr>
            <a:ln w="28575" cap="rnd">
              <a:solidFill>
                <a:schemeClr val="accent2"/>
              </a:solidFill>
              <a:round/>
            </a:ln>
            <a:effectLst/>
          </c:spPr>
          <c:marker>
            <c:symbol val="none"/>
          </c:marker>
          <c:errBars>
            <c:errDir val="y"/>
            <c:errBarType val="both"/>
            <c:errValType val="cust"/>
            <c:noEndCap val="0"/>
            <c:plus>
              <c:numRef>
                <c:f>(Sheet1!$C$5,Sheet1!$E$5,Sheet1!$G$5,Sheet1!$I$5,Sheet1!$K$5)</c:f>
                <c:numCache>
                  <c:formatCode>General</c:formatCode>
                  <c:ptCount val="5"/>
                  <c:pt idx="0">
                    <c:v>0.26</c:v>
                  </c:pt>
                  <c:pt idx="1">
                    <c:v>0.27</c:v>
                  </c:pt>
                  <c:pt idx="2">
                    <c:v>0.29</c:v>
                  </c:pt>
                  <c:pt idx="3">
                    <c:v>0.3</c:v>
                  </c:pt>
                  <c:pt idx="4">
                    <c:v>0.31</c:v>
                  </c:pt>
                </c:numCache>
              </c:numRef>
            </c:plus>
            <c:minus>
              <c:numRef>
                <c:f>(Sheet1!$C$5,Sheet1!$E$5,Sheet1!$G$5,Sheet1!$I$5,Sheet1!$K$5)</c:f>
                <c:numCache>
                  <c:formatCode>General</c:formatCode>
                  <c:ptCount val="5"/>
                  <c:pt idx="0">
                    <c:v>0.26</c:v>
                  </c:pt>
                  <c:pt idx="1">
                    <c:v>0.27</c:v>
                  </c:pt>
                  <c:pt idx="2">
                    <c:v>0.29</c:v>
                  </c:pt>
                  <c:pt idx="3">
                    <c:v>0.3</c:v>
                  </c:pt>
                  <c:pt idx="4">
                    <c:v>0.31</c:v>
                  </c:pt>
                </c:numCache>
              </c:numRef>
            </c:minus>
            <c:spPr>
              <a:noFill/>
              <a:ln w="9525" cap="flat" cmpd="sng" algn="ctr">
                <a:solidFill>
                  <a:schemeClr val="tx1">
                    <a:lumMod val="65000"/>
                    <a:lumOff val="35000"/>
                  </a:schemeClr>
                </a:solidFill>
                <a:round/>
              </a:ln>
              <a:effectLst/>
            </c:spPr>
          </c:errBars>
          <c:val>
            <c:numRef>
              <c:f>(Sheet1!$B$5,Sheet1!$D$5,Sheet1!$F$5,Sheet1!$H$5,Sheet1!$J$5)</c:f>
              <c:numCache>
                <c:formatCode>General</c:formatCode>
                <c:ptCount val="5"/>
                <c:pt idx="0">
                  <c:v>4.59</c:v>
                </c:pt>
                <c:pt idx="1">
                  <c:v>4.45</c:v>
                </c:pt>
                <c:pt idx="2">
                  <c:v>4.27</c:v>
                </c:pt>
                <c:pt idx="3">
                  <c:v>4.02</c:v>
                </c:pt>
                <c:pt idx="4">
                  <c:v>3.9</c:v>
                </c:pt>
              </c:numCache>
            </c:numRef>
          </c:val>
          <c:smooth val="0"/>
          <c:extLst xmlns:c16r2="http://schemas.microsoft.com/office/drawing/2015/06/chart">
            <c:ext xmlns:c16="http://schemas.microsoft.com/office/drawing/2014/chart" uri="{C3380CC4-5D6E-409C-BE32-E72D297353CC}">
              <c16:uniqueId val="{00000000-7051-4486-9B2A-32A863717A38}"/>
            </c:ext>
          </c:extLst>
        </c:ser>
        <c:ser>
          <c:idx val="0"/>
          <c:order val="1"/>
          <c:tx>
            <c:v>mTBI</c:v>
          </c:tx>
          <c:spPr>
            <a:ln w="28575" cap="rnd">
              <a:solidFill>
                <a:schemeClr val="accent1"/>
              </a:solidFill>
              <a:round/>
            </a:ln>
            <a:effectLst/>
          </c:spPr>
          <c:marker>
            <c:symbol val="none"/>
          </c:marker>
          <c:errBars>
            <c:errDir val="y"/>
            <c:errBarType val="both"/>
            <c:errValType val="cust"/>
            <c:noEndCap val="0"/>
            <c:plus>
              <c:numRef>
                <c:f>(Sheet1!$C$15,Sheet1!$E$15,Sheet1!$G$15,Sheet1!$I$15,Sheet1!$K$15)</c:f>
                <c:numCache>
                  <c:formatCode>General</c:formatCode>
                  <c:ptCount val="5"/>
                  <c:pt idx="0">
                    <c:v>0.26</c:v>
                  </c:pt>
                  <c:pt idx="1">
                    <c:v>0.27</c:v>
                  </c:pt>
                  <c:pt idx="2">
                    <c:v>0.3</c:v>
                  </c:pt>
                  <c:pt idx="3">
                    <c:v>0.3</c:v>
                  </c:pt>
                  <c:pt idx="4">
                    <c:v>0.31</c:v>
                  </c:pt>
                </c:numCache>
              </c:numRef>
            </c:plus>
            <c:minus>
              <c:numRef>
                <c:f>(Sheet1!$C$15,Sheet1!$E$15,Sheet1!$G$15,Sheet1!$I$15,Sheet1!$K$15)</c:f>
                <c:numCache>
                  <c:formatCode>General</c:formatCode>
                  <c:ptCount val="5"/>
                  <c:pt idx="0">
                    <c:v>0.26</c:v>
                  </c:pt>
                  <c:pt idx="1">
                    <c:v>0.27</c:v>
                  </c:pt>
                  <c:pt idx="2">
                    <c:v>0.3</c:v>
                  </c:pt>
                  <c:pt idx="3">
                    <c:v>0.3</c:v>
                  </c:pt>
                  <c:pt idx="4">
                    <c:v>0.31</c:v>
                  </c:pt>
                </c:numCache>
              </c:numRef>
            </c:minus>
            <c:spPr>
              <a:noFill/>
              <a:ln w="9525" cap="flat" cmpd="sng" algn="ctr">
                <a:solidFill>
                  <a:schemeClr val="tx1">
                    <a:lumMod val="65000"/>
                    <a:lumOff val="35000"/>
                  </a:schemeClr>
                </a:solidFill>
                <a:round/>
              </a:ln>
              <a:effectLst/>
            </c:spPr>
          </c:errBars>
          <c:val>
            <c:numRef>
              <c:f>(Sheet1!$B$15,Sheet1!$D$15,Sheet1!$F$15,Sheet1!$H$15,Sheet1!$J$15)</c:f>
              <c:numCache>
                <c:formatCode>General</c:formatCode>
                <c:ptCount val="5"/>
                <c:pt idx="0">
                  <c:v>4.76</c:v>
                </c:pt>
                <c:pt idx="1">
                  <c:v>4.27</c:v>
                </c:pt>
                <c:pt idx="2">
                  <c:v>3.69</c:v>
                </c:pt>
                <c:pt idx="3">
                  <c:v>3.55</c:v>
                </c:pt>
                <c:pt idx="4">
                  <c:v>3.3</c:v>
                </c:pt>
              </c:numCache>
            </c:numRef>
          </c:val>
          <c:smooth val="0"/>
          <c:extLst xmlns:c16r2="http://schemas.microsoft.com/office/drawing/2015/06/chart">
            <c:ext xmlns:c16="http://schemas.microsoft.com/office/drawing/2014/chart" uri="{C3380CC4-5D6E-409C-BE32-E72D297353CC}">
              <c16:uniqueId val="{00000001-7051-4486-9B2A-32A863717A38}"/>
            </c:ext>
          </c:extLst>
        </c:ser>
        <c:dLbls>
          <c:showLegendKey val="0"/>
          <c:showVal val="0"/>
          <c:showCatName val="0"/>
          <c:showSerName val="0"/>
          <c:showPercent val="0"/>
          <c:showBubbleSize val="0"/>
        </c:dLbls>
        <c:smooth val="0"/>
        <c:axId val="79412064"/>
        <c:axId val="82270544"/>
      </c:lineChart>
      <c:catAx>
        <c:axId val="7941206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Image exposure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82270544"/>
        <c:crosses val="autoZero"/>
        <c:auto val="1"/>
        <c:lblAlgn val="ctr"/>
        <c:lblOffset val="100"/>
        <c:noMultiLvlLbl val="0"/>
      </c:catAx>
      <c:valAx>
        <c:axId val="82270544"/>
        <c:scaling>
          <c:orientation val="minMax"/>
          <c:max val="5.25"/>
          <c:min val="2.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Arousal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794120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0">
          <a:solidFill>
            <a:schemeClr val="tx1"/>
          </a:solidFill>
          <a:latin typeface="Times" charset="0"/>
          <a:ea typeface="Times" charset="0"/>
          <a:cs typeface="Times"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r>
              <a:rPr lang="en-US"/>
              <a:t>Arousal to negative stimuli</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charset="0"/>
              <a:ea typeface="Times" charset="0"/>
              <a:cs typeface="Times" charset="0"/>
            </a:defRPr>
          </a:pPr>
          <a:endParaRPr lang="en-US"/>
        </a:p>
      </c:txPr>
    </c:title>
    <c:autoTitleDeleted val="0"/>
    <c:plotArea>
      <c:layout/>
      <c:lineChart>
        <c:grouping val="standard"/>
        <c:varyColors val="0"/>
        <c:ser>
          <c:idx val="1"/>
          <c:order val="0"/>
          <c:tx>
            <c:v>non-TBI</c:v>
          </c:tx>
          <c:spPr>
            <a:ln w="28575" cap="rnd">
              <a:solidFill>
                <a:schemeClr val="accent2"/>
              </a:solidFill>
              <a:round/>
            </a:ln>
            <a:effectLst/>
          </c:spPr>
          <c:marker>
            <c:symbol val="none"/>
          </c:marker>
          <c:errBars>
            <c:errDir val="y"/>
            <c:errBarType val="both"/>
            <c:errValType val="cust"/>
            <c:noEndCap val="0"/>
            <c:plus>
              <c:numRef>
                <c:f>(Sheet1!$C$3,Sheet1!$E$3,Sheet1!$G$3,Sheet1!$I$3,Sheet1!$K$3)</c:f>
                <c:numCache>
                  <c:formatCode>General</c:formatCode>
                  <c:ptCount val="5"/>
                  <c:pt idx="0">
                    <c:v>0.22</c:v>
                  </c:pt>
                  <c:pt idx="1">
                    <c:v>0.25</c:v>
                  </c:pt>
                  <c:pt idx="2">
                    <c:v>0.27</c:v>
                  </c:pt>
                  <c:pt idx="3">
                    <c:v>0.29</c:v>
                  </c:pt>
                  <c:pt idx="4">
                    <c:v>0.31</c:v>
                  </c:pt>
                </c:numCache>
              </c:numRef>
            </c:plus>
            <c:minus>
              <c:numRef>
                <c:f>(Sheet1!$C$3,Sheet1!$E$3,Sheet1!$G$3,Sheet1!$I$3,Sheet1!$K$3)</c:f>
                <c:numCache>
                  <c:formatCode>General</c:formatCode>
                  <c:ptCount val="5"/>
                  <c:pt idx="0">
                    <c:v>0.22</c:v>
                  </c:pt>
                  <c:pt idx="1">
                    <c:v>0.25</c:v>
                  </c:pt>
                  <c:pt idx="2">
                    <c:v>0.27</c:v>
                  </c:pt>
                  <c:pt idx="3">
                    <c:v>0.29</c:v>
                  </c:pt>
                  <c:pt idx="4">
                    <c:v>0.31</c:v>
                  </c:pt>
                </c:numCache>
              </c:numRef>
            </c:minus>
            <c:spPr>
              <a:noFill/>
              <a:ln w="9525" cap="flat" cmpd="sng" algn="ctr">
                <a:solidFill>
                  <a:schemeClr val="tx1">
                    <a:lumMod val="65000"/>
                    <a:lumOff val="35000"/>
                  </a:schemeClr>
                </a:solidFill>
                <a:round/>
              </a:ln>
              <a:effectLst/>
            </c:spPr>
          </c:errBars>
          <c:val>
            <c:numRef>
              <c:f>(Sheet1!$B$3,Sheet1!$D$3,Sheet1!$F$3,Sheet1!$H$3,Sheet1!$J$3)</c:f>
              <c:numCache>
                <c:formatCode>General</c:formatCode>
                <c:ptCount val="5"/>
                <c:pt idx="0">
                  <c:v>5.03</c:v>
                </c:pt>
                <c:pt idx="1">
                  <c:v>4.859999999999998</c:v>
                </c:pt>
                <c:pt idx="2">
                  <c:v>4.59</c:v>
                </c:pt>
                <c:pt idx="3">
                  <c:v>4.38</c:v>
                </c:pt>
                <c:pt idx="4">
                  <c:v>4.38</c:v>
                </c:pt>
              </c:numCache>
            </c:numRef>
          </c:val>
          <c:smooth val="0"/>
          <c:extLst xmlns:c16r2="http://schemas.microsoft.com/office/drawing/2015/06/chart">
            <c:ext xmlns:c16="http://schemas.microsoft.com/office/drawing/2014/chart" uri="{C3380CC4-5D6E-409C-BE32-E72D297353CC}">
              <c16:uniqueId val="{00000000-F70D-4609-83EF-C8D1880719D7}"/>
            </c:ext>
          </c:extLst>
        </c:ser>
        <c:ser>
          <c:idx val="0"/>
          <c:order val="1"/>
          <c:tx>
            <c:v>mTBI</c:v>
          </c:tx>
          <c:spPr>
            <a:ln w="28575" cap="rnd">
              <a:solidFill>
                <a:schemeClr val="accent1"/>
              </a:solidFill>
              <a:round/>
            </a:ln>
            <a:effectLst/>
          </c:spPr>
          <c:marker>
            <c:symbol val="none"/>
          </c:marker>
          <c:errBars>
            <c:errDir val="y"/>
            <c:errBarType val="both"/>
            <c:errValType val="cust"/>
            <c:noEndCap val="0"/>
            <c:plus>
              <c:numRef>
                <c:f>(Sheet1!$C$13,Sheet1!$E$13,Sheet1!$G$13,Sheet1!$I$13,Sheet1!$K$13)</c:f>
                <c:numCache>
                  <c:formatCode>General</c:formatCode>
                  <c:ptCount val="5"/>
                  <c:pt idx="0">
                    <c:v>0.22</c:v>
                  </c:pt>
                  <c:pt idx="1">
                    <c:v>0.25</c:v>
                  </c:pt>
                  <c:pt idx="2">
                    <c:v>0.27</c:v>
                  </c:pt>
                  <c:pt idx="3">
                    <c:v>0.29</c:v>
                  </c:pt>
                  <c:pt idx="4">
                    <c:v>0.31</c:v>
                  </c:pt>
                </c:numCache>
              </c:numRef>
            </c:plus>
            <c:minus>
              <c:numRef>
                <c:f>(Sheet1!$C$13,Sheet1!$E$13,Sheet1!$G$13,Sheet1!$I$13,Sheet1!$K$13)</c:f>
                <c:numCache>
                  <c:formatCode>General</c:formatCode>
                  <c:ptCount val="5"/>
                  <c:pt idx="0">
                    <c:v>0.22</c:v>
                  </c:pt>
                  <c:pt idx="1">
                    <c:v>0.25</c:v>
                  </c:pt>
                  <c:pt idx="2">
                    <c:v>0.27</c:v>
                  </c:pt>
                  <c:pt idx="3">
                    <c:v>0.29</c:v>
                  </c:pt>
                  <c:pt idx="4">
                    <c:v>0.31</c:v>
                  </c:pt>
                </c:numCache>
              </c:numRef>
            </c:minus>
            <c:spPr>
              <a:noFill/>
              <a:ln w="9525" cap="flat" cmpd="sng" algn="ctr">
                <a:solidFill>
                  <a:schemeClr val="tx1">
                    <a:lumMod val="65000"/>
                    <a:lumOff val="35000"/>
                  </a:schemeClr>
                </a:solidFill>
                <a:round/>
              </a:ln>
              <a:effectLst/>
            </c:spPr>
          </c:errBars>
          <c:val>
            <c:numRef>
              <c:f>(Sheet1!$B$13,Sheet1!$D$13,Sheet1!$F$13,Sheet1!$H$13,Sheet1!$J$13)</c:f>
              <c:numCache>
                <c:formatCode>General</c:formatCode>
                <c:ptCount val="5"/>
                <c:pt idx="0">
                  <c:v>5.35</c:v>
                </c:pt>
                <c:pt idx="1">
                  <c:v>5.0</c:v>
                </c:pt>
                <c:pt idx="2">
                  <c:v>4.59</c:v>
                </c:pt>
                <c:pt idx="3">
                  <c:v>4.13</c:v>
                </c:pt>
                <c:pt idx="4">
                  <c:v>4.02</c:v>
                </c:pt>
              </c:numCache>
            </c:numRef>
          </c:val>
          <c:smooth val="0"/>
          <c:extLst xmlns:c16r2="http://schemas.microsoft.com/office/drawing/2015/06/chart">
            <c:ext xmlns:c16="http://schemas.microsoft.com/office/drawing/2014/chart" uri="{C3380CC4-5D6E-409C-BE32-E72D297353CC}">
              <c16:uniqueId val="{00000001-F70D-4609-83EF-C8D1880719D7}"/>
            </c:ext>
          </c:extLst>
        </c:ser>
        <c:dLbls>
          <c:showLegendKey val="0"/>
          <c:showVal val="0"/>
          <c:showCatName val="0"/>
          <c:showSerName val="0"/>
          <c:showPercent val="0"/>
          <c:showBubbleSize val="0"/>
        </c:dLbls>
        <c:smooth val="0"/>
        <c:axId val="61821280"/>
        <c:axId val="61777136"/>
      </c:lineChart>
      <c:catAx>
        <c:axId val="6182128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Image exposure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61777136"/>
        <c:crosses val="autoZero"/>
        <c:auto val="1"/>
        <c:lblAlgn val="ctr"/>
        <c:lblOffset val="100"/>
        <c:noMultiLvlLbl val="0"/>
      </c:catAx>
      <c:valAx>
        <c:axId val="61777136"/>
        <c:scaling>
          <c:orientation val="minMax"/>
          <c:max val="6.0"/>
          <c:min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r>
                  <a:rPr lang="en-US"/>
                  <a:t>Arousal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crossAx val="618212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0">
          <a:solidFill>
            <a:schemeClr val="tx1"/>
          </a:solidFill>
          <a:latin typeface="Times" charset="0"/>
          <a:ea typeface="Times" charset="0"/>
          <a:cs typeface="Times"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r>
              <a:rPr lang="en-US"/>
              <a:t>Negative Valence</a:t>
            </a:r>
          </a:p>
        </c:rich>
      </c:tx>
      <c:overlay val="0"/>
      <c:spPr>
        <a:noFill/>
        <a:ln>
          <a:noFill/>
        </a:ln>
        <a:effectLst/>
      </c:spPr>
      <c:txPr>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endParaRPr lang="en-US"/>
        </a:p>
      </c:txPr>
    </c:title>
    <c:autoTitleDeleted val="0"/>
    <c:plotArea>
      <c:layout/>
      <c:scatterChart>
        <c:scatterStyle val="lineMarker"/>
        <c:varyColors val="0"/>
        <c:ser>
          <c:idx val="1"/>
          <c:order val="0"/>
          <c:tx>
            <c:v>non-TBI</c:v>
          </c:tx>
          <c:spPr>
            <a:ln w="47625" cap="rnd">
              <a:noFill/>
              <a:round/>
            </a:ln>
            <a:effectLst/>
          </c:spPr>
          <c:marker>
            <c:symbol val="circle"/>
            <c:size val="5"/>
            <c:spPr>
              <a:solidFill>
                <a:schemeClr val="accent2"/>
              </a:solidFill>
              <a:ln w="9525">
                <a:solidFill>
                  <a:schemeClr val="accent2"/>
                </a:solidFill>
              </a:ln>
              <a:effectLst/>
            </c:spPr>
          </c:marker>
          <c:xVal>
            <c:numRef>
              <c:f>Neg_val!$D$2:$D$46</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11.0</c:v>
                </c:pt>
                <c:pt idx="13">
                  <c:v>12.0</c:v>
                </c:pt>
                <c:pt idx="14">
                  <c:v>12.0</c:v>
                </c:pt>
                <c:pt idx="15">
                  <c:v>12.0</c:v>
                </c:pt>
                <c:pt idx="16">
                  <c:v>13.0</c:v>
                </c:pt>
                <c:pt idx="17">
                  <c:v>13.0</c:v>
                </c:pt>
                <c:pt idx="18">
                  <c:v>13.0</c:v>
                </c:pt>
                <c:pt idx="19">
                  <c:v>14.0</c:v>
                </c:pt>
                <c:pt idx="20">
                  <c:v>14.0</c:v>
                </c:pt>
                <c:pt idx="21">
                  <c:v>14.0</c:v>
                </c:pt>
                <c:pt idx="22">
                  <c:v>14.0</c:v>
                </c:pt>
                <c:pt idx="23">
                  <c:v>15.0</c:v>
                </c:pt>
                <c:pt idx="24">
                  <c:v>15.0</c:v>
                </c:pt>
                <c:pt idx="25">
                  <c:v>15.0</c:v>
                </c:pt>
                <c:pt idx="26">
                  <c:v>16.0</c:v>
                </c:pt>
                <c:pt idx="27">
                  <c:v>16.0</c:v>
                </c:pt>
                <c:pt idx="28">
                  <c:v>16.0</c:v>
                </c:pt>
                <c:pt idx="29">
                  <c:v>16.0</c:v>
                </c:pt>
                <c:pt idx="30">
                  <c:v>17.0</c:v>
                </c:pt>
                <c:pt idx="31">
                  <c:v>17.0</c:v>
                </c:pt>
                <c:pt idx="32">
                  <c:v>17.0</c:v>
                </c:pt>
                <c:pt idx="33">
                  <c:v>17.0</c:v>
                </c:pt>
                <c:pt idx="34">
                  <c:v>18.0</c:v>
                </c:pt>
                <c:pt idx="35">
                  <c:v>18.0</c:v>
                </c:pt>
                <c:pt idx="36">
                  <c:v>18.0</c:v>
                </c:pt>
                <c:pt idx="37">
                  <c:v>18.0</c:v>
                </c:pt>
                <c:pt idx="38">
                  <c:v>19.0</c:v>
                </c:pt>
                <c:pt idx="39">
                  <c:v>19.0</c:v>
                </c:pt>
                <c:pt idx="40">
                  <c:v>19.0</c:v>
                </c:pt>
                <c:pt idx="41">
                  <c:v>20.0</c:v>
                </c:pt>
                <c:pt idx="42">
                  <c:v>20.0</c:v>
                </c:pt>
                <c:pt idx="43">
                  <c:v>20.0</c:v>
                </c:pt>
                <c:pt idx="44">
                  <c:v>20.0</c:v>
                </c:pt>
              </c:numCache>
            </c:numRef>
          </c:xVal>
          <c:yVal>
            <c:numRef>
              <c:f>Neg_val!$E$2:$E$46</c:f>
              <c:numCache>
                <c:formatCode>General</c:formatCode>
                <c:ptCount val="45"/>
                <c:pt idx="0">
                  <c:v>1.866666666666667</c:v>
                </c:pt>
                <c:pt idx="1">
                  <c:v>2.933333333333333</c:v>
                </c:pt>
                <c:pt idx="2">
                  <c:v>3.066666666666667</c:v>
                </c:pt>
                <c:pt idx="3">
                  <c:v>3.333333333333333</c:v>
                </c:pt>
                <c:pt idx="4">
                  <c:v>1.8</c:v>
                </c:pt>
                <c:pt idx="5">
                  <c:v>2.066666666666667</c:v>
                </c:pt>
                <c:pt idx="6">
                  <c:v>4.066666666666666</c:v>
                </c:pt>
                <c:pt idx="7">
                  <c:v>3.4</c:v>
                </c:pt>
                <c:pt idx="8">
                  <c:v>3.933333333333333</c:v>
                </c:pt>
                <c:pt idx="9">
                  <c:v>2.133333333333333</c:v>
                </c:pt>
                <c:pt idx="10">
                  <c:v>1.866666666666667</c:v>
                </c:pt>
                <c:pt idx="11">
                  <c:v>2.133333333333333</c:v>
                </c:pt>
                <c:pt idx="12">
                  <c:v>2.133333333333333</c:v>
                </c:pt>
                <c:pt idx="13">
                  <c:v>4.8</c:v>
                </c:pt>
                <c:pt idx="14">
                  <c:v>3.533333333333333</c:v>
                </c:pt>
                <c:pt idx="15">
                  <c:v>2.6</c:v>
                </c:pt>
                <c:pt idx="16">
                  <c:v>3.0</c:v>
                </c:pt>
                <c:pt idx="17">
                  <c:v>2.2</c:v>
                </c:pt>
                <c:pt idx="18">
                  <c:v>5.2</c:v>
                </c:pt>
                <c:pt idx="19">
                  <c:v>1.866666666666667</c:v>
                </c:pt>
                <c:pt idx="20">
                  <c:v>3.466666666666667</c:v>
                </c:pt>
                <c:pt idx="21">
                  <c:v>1.933333333333333</c:v>
                </c:pt>
                <c:pt idx="22">
                  <c:v>3.133333333333333</c:v>
                </c:pt>
                <c:pt idx="23">
                  <c:v>2.133333333333333</c:v>
                </c:pt>
                <c:pt idx="24">
                  <c:v>2.8</c:v>
                </c:pt>
                <c:pt idx="25">
                  <c:v>2.4</c:v>
                </c:pt>
                <c:pt idx="26">
                  <c:v>2.466666666666667</c:v>
                </c:pt>
                <c:pt idx="27">
                  <c:v>2.066666666666667</c:v>
                </c:pt>
                <c:pt idx="28">
                  <c:v>3.266666666666667</c:v>
                </c:pt>
                <c:pt idx="29">
                  <c:v>3.533333333333333</c:v>
                </c:pt>
                <c:pt idx="30">
                  <c:v>2.466666666666667</c:v>
                </c:pt>
                <c:pt idx="31">
                  <c:v>2.866666666666667</c:v>
                </c:pt>
                <c:pt idx="32">
                  <c:v>2.466666666666667</c:v>
                </c:pt>
                <c:pt idx="33">
                  <c:v>2.2</c:v>
                </c:pt>
                <c:pt idx="34">
                  <c:v>2.4</c:v>
                </c:pt>
                <c:pt idx="35">
                  <c:v>1.4</c:v>
                </c:pt>
                <c:pt idx="36">
                  <c:v>2.4</c:v>
                </c:pt>
                <c:pt idx="37">
                  <c:v>2.733333333333333</c:v>
                </c:pt>
                <c:pt idx="38">
                  <c:v>2.066666666666667</c:v>
                </c:pt>
                <c:pt idx="39">
                  <c:v>2.733333333333333</c:v>
                </c:pt>
                <c:pt idx="40">
                  <c:v>3.466666666666667</c:v>
                </c:pt>
                <c:pt idx="41">
                  <c:v>2.8</c:v>
                </c:pt>
                <c:pt idx="42">
                  <c:v>2.333333333333333</c:v>
                </c:pt>
                <c:pt idx="43">
                  <c:v>2.933333333333333</c:v>
                </c:pt>
                <c:pt idx="44">
                  <c:v>2.4</c:v>
                </c:pt>
              </c:numCache>
            </c:numRef>
          </c:yVal>
          <c:smooth val="0"/>
        </c:ser>
        <c:ser>
          <c:idx val="0"/>
          <c:order val="1"/>
          <c:tx>
            <c:v>mTBI</c:v>
          </c:tx>
          <c:spPr>
            <a:ln w="47625" cap="rnd">
              <a:noFill/>
              <a:round/>
            </a:ln>
            <a:effectLst/>
          </c:spPr>
          <c:marker>
            <c:symbol val="circle"/>
            <c:size val="5"/>
            <c:spPr>
              <a:solidFill>
                <a:schemeClr val="accent1"/>
              </a:solidFill>
              <a:ln w="9525">
                <a:solidFill>
                  <a:schemeClr val="accent1"/>
                </a:solidFill>
              </a:ln>
              <a:effectLst/>
            </c:spPr>
          </c:marker>
          <c:xVal>
            <c:numRef>
              <c:f>Neg_val!$D$47:$D$91</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12.0</c:v>
                </c:pt>
                <c:pt idx="13">
                  <c:v>12.0</c:v>
                </c:pt>
                <c:pt idx="14">
                  <c:v>12.0</c:v>
                </c:pt>
                <c:pt idx="15">
                  <c:v>12.0</c:v>
                </c:pt>
                <c:pt idx="16">
                  <c:v>12.0</c:v>
                </c:pt>
                <c:pt idx="17">
                  <c:v>13.0</c:v>
                </c:pt>
                <c:pt idx="18">
                  <c:v>13.0</c:v>
                </c:pt>
                <c:pt idx="19">
                  <c:v>13.0</c:v>
                </c:pt>
                <c:pt idx="20">
                  <c:v>13.0</c:v>
                </c:pt>
                <c:pt idx="21">
                  <c:v>14.0</c:v>
                </c:pt>
                <c:pt idx="22">
                  <c:v>14.0</c:v>
                </c:pt>
                <c:pt idx="23">
                  <c:v>15.0</c:v>
                </c:pt>
                <c:pt idx="24">
                  <c:v>15.0</c:v>
                </c:pt>
                <c:pt idx="25">
                  <c:v>15.0</c:v>
                </c:pt>
                <c:pt idx="26">
                  <c:v>15.0</c:v>
                </c:pt>
                <c:pt idx="27">
                  <c:v>16.0</c:v>
                </c:pt>
                <c:pt idx="28">
                  <c:v>16.0</c:v>
                </c:pt>
                <c:pt idx="29">
                  <c:v>16.0</c:v>
                </c:pt>
                <c:pt idx="30">
                  <c:v>16.0</c:v>
                </c:pt>
                <c:pt idx="31">
                  <c:v>17.0</c:v>
                </c:pt>
                <c:pt idx="32">
                  <c:v>17.0</c:v>
                </c:pt>
                <c:pt idx="33">
                  <c:v>17.0</c:v>
                </c:pt>
                <c:pt idx="34">
                  <c:v>17.0</c:v>
                </c:pt>
                <c:pt idx="35">
                  <c:v>18.0</c:v>
                </c:pt>
                <c:pt idx="36">
                  <c:v>18.0</c:v>
                </c:pt>
                <c:pt idx="37">
                  <c:v>18.0</c:v>
                </c:pt>
                <c:pt idx="38">
                  <c:v>18.0</c:v>
                </c:pt>
                <c:pt idx="39">
                  <c:v>19.0</c:v>
                </c:pt>
                <c:pt idx="40">
                  <c:v>19.0</c:v>
                </c:pt>
                <c:pt idx="41">
                  <c:v>19.0</c:v>
                </c:pt>
                <c:pt idx="42">
                  <c:v>20.0</c:v>
                </c:pt>
                <c:pt idx="43">
                  <c:v>20.0</c:v>
                </c:pt>
                <c:pt idx="44">
                  <c:v>20.0</c:v>
                </c:pt>
              </c:numCache>
            </c:numRef>
          </c:xVal>
          <c:yVal>
            <c:numRef>
              <c:f>Neg_val!$E$47:$E$91</c:f>
              <c:numCache>
                <c:formatCode>General</c:formatCode>
                <c:ptCount val="45"/>
                <c:pt idx="0">
                  <c:v>2.266666666666667</c:v>
                </c:pt>
                <c:pt idx="1">
                  <c:v>2.8</c:v>
                </c:pt>
                <c:pt idx="2">
                  <c:v>2.733333333333333</c:v>
                </c:pt>
                <c:pt idx="3">
                  <c:v>3.666666666666666</c:v>
                </c:pt>
                <c:pt idx="4">
                  <c:v>3.933333333</c:v>
                </c:pt>
                <c:pt idx="5">
                  <c:v>3.733333333333333</c:v>
                </c:pt>
                <c:pt idx="6">
                  <c:v>1.666666666666667</c:v>
                </c:pt>
                <c:pt idx="7">
                  <c:v>1.933333333333333</c:v>
                </c:pt>
                <c:pt idx="8">
                  <c:v>2.4</c:v>
                </c:pt>
                <c:pt idx="9">
                  <c:v>3.2</c:v>
                </c:pt>
                <c:pt idx="10">
                  <c:v>3.266666666666667</c:v>
                </c:pt>
                <c:pt idx="11">
                  <c:v>3.666666666666666</c:v>
                </c:pt>
                <c:pt idx="12">
                  <c:v>1.533333333333333</c:v>
                </c:pt>
                <c:pt idx="13">
                  <c:v>4.466666666666666</c:v>
                </c:pt>
                <c:pt idx="14">
                  <c:v>2.6</c:v>
                </c:pt>
                <c:pt idx="15">
                  <c:v>3.466666666666667</c:v>
                </c:pt>
                <c:pt idx="16">
                  <c:v>2.266666666666667</c:v>
                </c:pt>
                <c:pt idx="17">
                  <c:v>2.333333333333333</c:v>
                </c:pt>
                <c:pt idx="18">
                  <c:v>3.733333333333333</c:v>
                </c:pt>
                <c:pt idx="19">
                  <c:v>2.8</c:v>
                </c:pt>
                <c:pt idx="20">
                  <c:v>3.466666666666667</c:v>
                </c:pt>
                <c:pt idx="21">
                  <c:v>3.466666666666667</c:v>
                </c:pt>
                <c:pt idx="22">
                  <c:v>2.133333333333333</c:v>
                </c:pt>
                <c:pt idx="23">
                  <c:v>1.933333333333333</c:v>
                </c:pt>
                <c:pt idx="24">
                  <c:v>1.8</c:v>
                </c:pt>
                <c:pt idx="25">
                  <c:v>2.8</c:v>
                </c:pt>
                <c:pt idx="26">
                  <c:v>2.133333333333333</c:v>
                </c:pt>
                <c:pt idx="27">
                  <c:v>2.333333333333333</c:v>
                </c:pt>
                <c:pt idx="28">
                  <c:v>3.066666666666667</c:v>
                </c:pt>
                <c:pt idx="29">
                  <c:v>2.733333333333333</c:v>
                </c:pt>
                <c:pt idx="30">
                  <c:v>3.466666666666667</c:v>
                </c:pt>
                <c:pt idx="31">
                  <c:v>3.266666666666667</c:v>
                </c:pt>
                <c:pt idx="32">
                  <c:v>4.333333333333332</c:v>
                </c:pt>
                <c:pt idx="33">
                  <c:v>2.066666666666667</c:v>
                </c:pt>
                <c:pt idx="34">
                  <c:v>2.2</c:v>
                </c:pt>
                <c:pt idx="35">
                  <c:v>2.4</c:v>
                </c:pt>
                <c:pt idx="36">
                  <c:v>3.666666666666666</c:v>
                </c:pt>
                <c:pt idx="37">
                  <c:v>2.133333333333333</c:v>
                </c:pt>
                <c:pt idx="38">
                  <c:v>3.266666666666667</c:v>
                </c:pt>
                <c:pt idx="39">
                  <c:v>2.2</c:v>
                </c:pt>
                <c:pt idx="40">
                  <c:v>2.533333333333333</c:v>
                </c:pt>
                <c:pt idx="41">
                  <c:v>2.866666666666667</c:v>
                </c:pt>
                <c:pt idx="42">
                  <c:v>3.133333333333333</c:v>
                </c:pt>
                <c:pt idx="43">
                  <c:v>3.533333333333333</c:v>
                </c:pt>
                <c:pt idx="44">
                  <c:v>3.6</c:v>
                </c:pt>
              </c:numCache>
            </c:numRef>
          </c:yVal>
          <c:smooth val="0"/>
        </c:ser>
        <c:dLbls>
          <c:showLegendKey val="0"/>
          <c:showVal val="0"/>
          <c:showCatName val="0"/>
          <c:showSerName val="0"/>
          <c:showPercent val="0"/>
          <c:showBubbleSize val="0"/>
        </c:dLbls>
        <c:axId val="79404784"/>
        <c:axId val="62507216"/>
      </c:scatterChart>
      <c:valAx>
        <c:axId val="79404784"/>
        <c:scaling>
          <c:orientation val="minMax"/>
          <c:max val="21.0"/>
          <c:min val="8.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Hour</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62507216"/>
        <c:crosses val="autoZero"/>
        <c:crossBetween val="midCat"/>
        <c:majorUnit val="2.0"/>
      </c:valAx>
      <c:valAx>
        <c:axId val="62507216"/>
        <c:scaling>
          <c:orientation val="minMax"/>
          <c:max val="9.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Valence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7940478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charset="0"/>
          <a:ea typeface="Times" charset="0"/>
          <a:cs typeface="Times"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r>
              <a:rPr lang="en-US"/>
              <a:t>Positive Valence</a:t>
            </a:r>
          </a:p>
        </c:rich>
      </c:tx>
      <c:overlay val="0"/>
      <c:spPr>
        <a:noFill/>
        <a:ln>
          <a:noFill/>
        </a:ln>
        <a:effectLst/>
      </c:spPr>
      <c:txPr>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endParaRPr lang="en-US"/>
        </a:p>
      </c:txPr>
    </c:title>
    <c:autoTitleDeleted val="0"/>
    <c:plotArea>
      <c:layout/>
      <c:scatterChart>
        <c:scatterStyle val="lineMarker"/>
        <c:varyColors val="0"/>
        <c:ser>
          <c:idx val="1"/>
          <c:order val="0"/>
          <c:tx>
            <c:v>non-TBI</c:v>
          </c:tx>
          <c:spPr>
            <a:ln w="47625" cap="rnd">
              <a:noFill/>
              <a:round/>
            </a:ln>
            <a:effectLst/>
          </c:spPr>
          <c:marker>
            <c:symbol val="circle"/>
            <c:size val="5"/>
            <c:spPr>
              <a:solidFill>
                <a:schemeClr val="accent2"/>
              </a:solidFill>
              <a:ln w="9525">
                <a:solidFill>
                  <a:schemeClr val="accent2"/>
                </a:solidFill>
              </a:ln>
              <a:effectLst/>
            </c:spPr>
          </c:marker>
          <c:xVal>
            <c:numRef>
              <c:f>Pos_val!$D$2:$D$46</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11.0</c:v>
                </c:pt>
                <c:pt idx="13">
                  <c:v>12.0</c:v>
                </c:pt>
                <c:pt idx="14">
                  <c:v>12.0</c:v>
                </c:pt>
                <c:pt idx="15">
                  <c:v>12.0</c:v>
                </c:pt>
                <c:pt idx="16">
                  <c:v>13.0</c:v>
                </c:pt>
                <c:pt idx="17">
                  <c:v>13.0</c:v>
                </c:pt>
                <c:pt idx="18">
                  <c:v>13.0</c:v>
                </c:pt>
                <c:pt idx="19">
                  <c:v>14.0</c:v>
                </c:pt>
                <c:pt idx="20">
                  <c:v>14.0</c:v>
                </c:pt>
                <c:pt idx="21">
                  <c:v>14.0</c:v>
                </c:pt>
                <c:pt idx="22">
                  <c:v>14.0</c:v>
                </c:pt>
                <c:pt idx="23">
                  <c:v>15.0</c:v>
                </c:pt>
                <c:pt idx="24">
                  <c:v>15.0</c:v>
                </c:pt>
                <c:pt idx="25">
                  <c:v>15.0</c:v>
                </c:pt>
                <c:pt idx="26">
                  <c:v>16.0</c:v>
                </c:pt>
                <c:pt idx="27">
                  <c:v>16.0</c:v>
                </c:pt>
                <c:pt idx="28">
                  <c:v>16.0</c:v>
                </c:pt>
                <c:pt idx="29">
                  <c:v>16.0</c:v>
                </c:pt>
                <c:pt idx="30">
                  <c:v>17.0</c:v>
                </c:pt>
                <c:pt idx="31">
                  <c:v>17.0</c:v>
                </c:pt>
                <c:pt idx="32">
                  <c:v>17.0</c:v>
                </c:pt>
                <c:pt idx="33">
                  <c:v>17.0</c:v>
                </c:pt>
                <c:pt idx="34">
                  <c:v>18.0</c:v>
                </c:pt>
                <c:pt idx="35">
                  <c:v>18.0</c:v>
                </c:pt>
                <c:pt idx="36">
                  <c:v>18.0</c:v>
                </c:pt>
                <c:pt idx="37">
                  <c:v>18.0</c:v>
                </c:pt>
                <c:pt idx="38">
                  <c:v>19.0</c:v>
                </c:pt>
                <c:pt idx="39">
                  <c:v>19.0</c:v>
                </c:pt>
                <c:pt idx="40">
                  <c:v>19.0</c:v>
                </c:pt>
                <c:pt idx="41">
                  <c:v>20.0</c:v>
                </c:pt>
                <c:pt idx="42">
                  <c:v>20.0</c:v>
                </c:pt>
                <c:pt idx="43">
                  <c:v>20.0</c:v>
                </c:pt>
                <c:pt idx="44">
                  <c:v>20.0</c:v>
                </c:pt>
              </c:numCache>
            </c:numRef>
          </c:xVal>
          <c:yVal>
            <c:numRef>
              <c:f>Pos_val!$E$2:$E$46</c:f>
              <c:numCache>
                <c:formatCode>General</c:formatCode>
                <c:ptCount val="45"/>
                <c:pt idx="0">
                  <c:v>7.0</c:v>
                </c:pt>
                <c:pt idx="1">
                  <c:v>5.8</c:v>
                </c:pt>
                <c:pt idx="2">
                  <c:v>6.866666666666666</c:v>
                </c:pt>
                <c:pt idx="3">
                  <c:v>7.333333333333332</c:v>
                </c:pt>
                <c:pt idx="4">
                  <c:v>7.133333333333333</c:v>
                </c:pt>
                <c:pt idx="5">
                  <c:v>4.93333333333334</c:v>
                </c:pt>
                <c:pt idx="6">
                  <c:v>5.866666666666666</c:v>
                </c:pt>
                <c:pt idx="7">
                  <c:v>5.266666666666666</c:v>
                </c:pt>
                <c:pt idx="8">
                  <c:v>6.666666666666667</c:v>
                </c:pt>
                <c:pt idx="9">
                  <c:v>6.666666666666667</c:v>
                </c:pt>
                <c:pt idx="10">
                  <c:v>8.46666666666667</c:v>
                </c:pt>
                <c:pt idx="11">
                  <c:v>7.133333333333333</c:v>
                </c:pt>
                <c:pt idx="12">
                  <c:v>5.06666666666667</c:v>
                </c:pt>
                <c:pt idx="13">
                  <c:v>6.466666666666666</c:v>
                </c:pt>
                <c:pt idx="14">
                  <c:v>5.93333333333334</c:v>
                </c:pt>
                <c:pt idx="15">
                  <c:v>7.066666666666666</c:v>
                </c:pt>
                <c:pt idx="16">
                  <c:v>6.53333333333334</c:v>
                </c:pt>
                <c:pt idx="17">
                  <c:v>8.4</c:v>
                </c:pt>
                <c:pt idx="18">
                  <c:v>6.133333333333333</c:v>
                </c:pt>
                <c:pt idx="19">
                  <c:v>5.53</c:v>
                </c:pt>
                <c:pt idx="20">
                  <c:v>6.266666666666666</c:v>
                </c:pt>
                <c:pt idx="21">
                  <c:v>5.67</c:v>
                </c:pt>
                <c:pt idx="22">
                  <c:v>6.066666666666666</c:v>
                </c:pt>
                <c:pt idx="23">
                  <c:v>5.0</c:v>
                </c:pt>
                <c:pt idx="24">
                  <c:v>5.56</c:v>
                </c:pt>
                <c:pt idx="25">
                  <c:v>6.333333333333332</c:v>
                </c:pt>
                <c:pt idx="26">
                  <c:v>6.266666666666666</c:v>
                </c:pt>
                <c:pt idx="27">
                  <c:v>6.8</c:v>
                </c:pt>
                <c:pt idx="28">
                  <c:v>5.8</c:v>
                </c:pt>
                <c:pt idx="29">
                  <c:v>6.266666666666666</c:v>
                </c:pt>
                <c:pt idx="30">
                  <c:v>5.53333333333334</c:v>
                </c:pt>
                <c:pt idx="31">
                  <c:v>6.133333333333333</c:v>
                </c:pt>
                <c:pt idx="32">
                  <c:v>7.466666666666666</c:v>
                </c:pt>
                <c:pt idx="33">
                  <c:v>6.466666666666666</c:v>
                </c:pt>
                <c:pt idx="34">
                  <c:v>5.6</c:v>
                </c:pt>
                <c:pt idx="35">
                  <c:v>7.466666666666666</c:v>
                </c:pt>
                <c:pt idx="36">
                  <c:v>7.53333333333334</c:v>
                </c:pt>
                <c:pt idx="37">
                  <c:v>6.133333333333333</c:v>
                </c:pt>
                <c:pt idx="38">
                  <c:v>6.133333333333333</c:v>
                </c:pt>
                <c:pt idx="39">
                  <c:v>6.066666666666666</c:v>
                </c:pt>
                <c:pt idx="40">
                  <c:v>5.333333333333332</c:v>
                </c:pt>
                <c:pt idx="41">
                  <c:v>8.06666666666667</c:v>
                </c:pt>
                <c:pt idx="42">
                  <c:v>6.53333333333334</c:v>
                </c:pt>
                <c:pt idx="43">
                  <c:v>5.8</c:v>
                </c:pt>
                <c:pt idx="44">
                  <c:v>7.4</c:v>
                </c:pt>
              </c:numCache>
            </c:numRef>
          </c:yVal>
          <c:smooth val="0"/>
        </c:ser>
        <c:ser>
          <c:idx val="0"/>
          <c:order val="1"/>
          <c:tx>
            <c:v>mTBI</c:v>
          </c:tx>
          <c:spPr>
            <a:ln w="47625" cap="rnd">
              <a:noFill/>
              <a:round/>
            </a:ln>
            <a:effectLst/>
          </c:spPr>
          <c:marker>
            <c:symbol val="circle"/>
            <c:size val="5"/>
            <c:spPr>
              <a:solidFill>
                <a:schemeClr val="accent1"/>
              </a:solidFill>
              <a:ln w="9525">
                <a:solidFill>
                  <a:schemeClr val="accent1"/>
                </a:solidFill>
              </a:ln>
              <a:effectLst/>
            </c:spPr>
          </c:marker>
          <c:xVal>
            <c:numRef>
              <c:f>Pos_val!$D$47:$D$91</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12.0</c:v>
                </c:pt>
                <c:pt idx="13">
                  <c:v>12.0</c:v>
                </c:pt>
                <c:pt idx="14">
                  <c:v>12.0</c:v>
                </c:pt>
                <c:pt idx="15">
                  <c:v>12.0</c:v>
                </c:pt>
                <c:pt idx="16">
                  <c:v>12.0</c:v>
                </c:pt>
                <c:pt idx="17">
                  <c:v>13.0</c:v>
                </c:pt>
                <c:pt idx="18">
                  <c:v>13.0</c:v>
                </c:pt>
                <c:pt idx="19">
                  <c:v>13.0</c:v>
                </c:pt>
                <c:pt idx="20">
                  <c:v>13.0</c:v>
                </c:pt>
                <c:pt idx="21">
                  <c:v>14.0</c:v>
                </c:pt>
                <c:pt idx="22">
                  <c:v>14.0</c:v>
                </c:pt>
                <c:pt idx="23">
                  <c:v>15.0</c:v>
                </c:pt>
                <c:pt idx="24">
                  <c:v>15.0</c:v>
                </c:pt>
                <c:pt idx="25">
                  <c:v>15.0</c:v>
                </c:pt>
                <c:pt idx="26">
                  <c:v>15.0</c:v>
                </c:pt>
                <c:pt idx="27">
                  <c:v>16.0</c:v>
                </c:pt>
                <c:pt idx="28">
                  <c:v>16.0</c:v>
                </c:pt>
                <c:pt idx="29">
                  <c:v>16.0</c:v>
                </c:pt>
                <c:pt idx="30">
                  <c:v>16.0</c:v>
                </c:pt>
                <c:pt idx="31">
                  <c:v>17.0</c:v>
                </c:pt>
                <c:pt idx="32">
                  <c:v>17.0</c:v>
                </c:pt>
                <c:pt idx="33">
                  <c:v>17.0</c:v>
                </c:pt>
                <c:pt idx="34">
                  <c:v>17.0</c:v>
                </c:pt>
                <c:pt idx="35">
                  <c:v>18.0</c:v>
                </c:pt>
                <c:pt idx="36">
                  <c:v>18.0</c:v>
                </c:pt>
                <c:pt idx="37">
                  <c:v>18.0</c:v>
                </c:pt>
                <c:pt idx="38">
                  <c:v>18.0</c:v>
                </c:pt>
                <c:pt idx="39">
                  <c:v>19.0</c:v>
                </c:pt>
                <c:pt idx="40">
                  <c:v>19.0</c:v>
                </c:pt>
                <c:pt idx="41">
                  <c:v>19.0</c:v>
                </c:pt>
                <c:pt idx="42">
                  <c:v>20.0</c:v>
                </c:pt>
                <c:pt idx="43">
                  <c:v>20.0</c:v>
                </c:pt>
                <c:pt idx="44">
                  <c:v>20.0</c:v>
                </c:pt>
              </c:numCache>
            </c:numRef>
          </c:xVal>
          <c:yVal>
            <c:numRef>
              <c:f>Pos_val!$E$47:$E$91</c:f>
              <c:numCache>
                <c:formatCode>General</c:formatCode>
                <c:ptCount val="45"/>
                <c:pt idx="0">
                  <c:v>6.4</c:v>
                </c:pt>
                <c:pt idx="1">
                  <c:v>5.866666666666666</c:v>
                </c:pt>
                <c:pt idx="2">
                  <c:v>5.93333333333334</c:v>
                </c:pt>
                <c:pt idx="3">
                  <c:v>5.066666666666666</c:v>
                </c:pt>
                <c:pt idx="4">
                  <c:v>5.73333333333334</c:v>
                </c:pt>
                <c:pt idx="5">
                  <c:v>5.93333333333334</c:v>
                </c:pt>
                <c:pt idx="6">
                  <c:v>6.866666666666666</c:v>
                </c:pt>
                <c:pt idx="7">
                  <c:v>7.266666666666666</c:v>
                </c:pt>
                <c:pt idx="8">
                  <c:v>7.333333333333332</c:v>
                </c:pt>
                <c:pt idx="9">
                  <c:v>6.066666666666666</c:v>
                </c:pt>
                <c:pt idx="10">
                  <c:v>6.666666666666667</c:v>
                </c:pt>
                <c:pt idx="11">
                  <c:v>6.2</c:v>
                </c:pt>
                <c:pt idx="12">
                  <c:v>6.266666666666666</c:v>
                </c:pt>
                <c:pt idx="13">
                  <c:v>5.4</c:v>
                </c:pt>
                <c:pt idx="14">
                  <c:v>6.333333333333332</c:v>
                </c:pt>
                <c:pt idx="15">
                  <c:v>4.8</c:v>
                </c:pt>
                <c:pt idx="16">
                  <c:v>6.133333333333333</c:v>
                </c:pt>
                <c:pt idx="17">
                  <c:v>7.4</c:v>
                </c:pt>
                <c:pt idx="18">
                  <c:v>6.133333333333333</c:v>
                </c:pt>
                <c:pt idx="19">
                  <c:v>5.73333333333334</c:v>
                </c:pt>
                <c:pt idx="20">
                  <c:v>6.333333333333332</c:v>
                </c:pt>
                <c:pt idx="21">
                  <c:v>6.333333333333332</c:v>
                </c:pt>
                <c:pt idx="22">
                  <c:v>5.8</c:v>
                </c:pt>
                <c:pt idx="23">
                  <c:v>7.133333333333333</c:v>
                </c:pt>
                <c:pt idx="24">
                  <c:v>5.88</c:v>
                </c:pt>
                <c:pt idx="25">
                  <c:v>5.769999999999999</c:v>
                </c:pt>
                <c:pt idx="26">
                  <c:v>6.066666666666666</c:v>
                </c:pt>
                <c:pt idx="27">
                  <c:v>7.066666666666666</c:v>
                </c:pt>
                <c:pt idx="28">
                  <c:v>6.4</c:v>
                </c:pt>
                <c:pt idx="29">
                  <c:v>6.13333333333333</c:v>
                </c:pt>
                <c:pt idx="30">
                  <c:v>6.266666666666666</c:v>
                </c:pt>
                <c:pt idx="31">
                  <c:v>5.333333333333332</c:v>
                </c:pt>
                <c:pt idx="32">
                  <c:v>6.066666666666666</c:v>
                </c:pt>
                <c:pt idx="33">
                  <c:v>5.666666666666667</c:v>
                </c:pt>
                <c:pt idx="34">
                  <c:v>5.53333333333334</c:v>
                </c:pt>
                <c:pt idx="35">
                  <c:v>5.666666666666667</c:v>
                </c:pt>
                <c:pt idx="36">
                  <c:v>5.0</c:v>
                </c:pt>
                <c:pt idx="37">
                  <c:v>6.266666666666666</c:v>
                </c:pt>
                <c:pt idx="38">
                  <c:v>5.73333333333334</c:v>
                </c:pt>
                <c:pt idx="39">
                  <c:v>6.93333333333334</c:v>
                </c:pt>
                <c:pt idx="40">
                  <c:v>6.066666666666666</c:v>
                </c:pt>
                <c:pt idx="41">
                  <c:v>6.2</c:v>
                </c:pt>
                <c:pt idx="42">
                  <c:v>6.86666666666667</c:v>
                </c:pt>
                <c:pt idx="43">
                  <c:v>5.666666666666667</c:v>
                </c:pt>
                <c:pt idx="44">
                  <c:v>5.73333333333334</c:v>
                </c:pt>
              </c:numCache>
            </c:numRef>
          </c:yVal>
          <c:smooth val="0"/>
        </c:ser>
        <c:dLbls>
          <c:showLegendKey val="0"/>
          <c:showVal val="0"/>
          <c:showCatName val="0"/>
          <c:showSerName val="0"/>
          <c:showPercent val="0"/>
          <c:showBubbleSize val="0"/>
        </c:dLbls>
        <c:axId val="61446992"/>
        <c:axId val="80546864"/>
      </c:scatterChart>
      <c:valAx>
        <c:axId val="61446992"/>
        <c:scaling>
          <c:orientation val="minMax"/>
          <c:max val="21.0"/>
          <c:min val="8.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Hour</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80546864"/>
        <c:crosses val="autoZero"/>
        <c:crossBetween val="midCat"/>
        <c:majorUnit val="2.0"/>
      </c:valAx>
      <c:valAx>
        <c:axId val="80546864"/>
        <c:scaling>
          <c:orientation val="minMax"/>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Valence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6144699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charset="0"/>
          <a:ea typeface="Times" charset="0"/>
          <a:cs typeface="Times"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r>
              <a:rPr lang="en-US"/>
              <a:t>Negative Arousal</a:t>
            </a:r>
          </a:p>
        </c:rich>
      </c:tx>
      <c:overlay val="0"/>
      <c:spPr>
        <a:noFill/>
        <a:ln>
          <a:noFill/>
        </a:ln>
        <a:effectLst/>
      </c:spPr>
      <c:txPr>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endParaRPr lang="en-US"/>
        </a:p>
      </c:txPr>
    </c:title>
    <c:autoTitleDeleted val="0"/>
    <c:plotArea>
      <c:layout/>
      <c:scatterChart>
        <c:scatterStyle val="lineMarker"/>
        <c:varyColors val="0"/>
        <c:ser>
          <c:idx val="1"/>
          <c:order val="0"/>
          <c:tx>
            <c:v>non-TBI</c:v>
          </c:tx>
          <c:spPr>
            <a:ln w="47625" cap="rnd">
              <a:noFill/>
              <a:round/>
            </a:ln>
            <a:effectLst/>
          </c:spPr>
          <c:marker>
            <c:symbol val="circle"/>
            <c:size val="5"/>
            <c:spPr>
              <a:solidFill>
                <a:schemeClr val="accent2"/>
              </a:solidFill>
              <a:ln w="9525">
                <a:solidFill>
                  <a:schemeClr val="accent2"/>
                </a:solidFill>
              </a:ln>
              <a:effectLst/>
            </c:spPr>
          </c:marker>
          <c:xVal>
            <c:numRef>
              <c:f>Neg_arou!$D$2:$D$46</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11.0</c:v>
                </c:pt>
                <c:pt idx="13">
                  <c:v>12.0</c:v>
                </c:pt>
                <c:pt idx="14">
                  <c:v>12.0</c:v>
                </c:pt>
                <c:pt idx="15">
                  <c:v>12.0</c:v>
                </c:pt>
                <c:pt idx="16">
                  <c:v>13.0</c:v>
                </c:pt>
                <c:pt idx="17">
                  <c:v>13.0</c:v>
                </c:pt>
                <c:pt idx="18">
                  <c:v>13.0</c:v>
                </c:pt>
                <c:pt idx="19">
                  <c:v>14.0</c:v>
                </c:pt>
                <c:pt idx="20">
                  <c:v>14.0</c:v>
                </c:pt>
                <c:pt idx="21">
                  <c:v>14.0</c:v>
                </c:pt>
                <c:pt idx="22">
                  <c:v>14.0</c:v>
                </c:pt>
                <c:pt idx="23">
                  <c:v>15.0</c:v>
                </c:pt>
                <c:pt idx="24">
                  <c:v>15.0</c:v>
                </c:pt>
                <c:pt idx="25">
                  <c:v>15.0</c:v>
                </c:pt>
                <c:pt idx="26">
                  <c:v>16.0</c:v>
                </c:pt>
                <c:pt idx="27">
                  <c:v>16.0</c:v>
                </c:pt>
                <c:pt idx="28">
                  <c:v>16.0</c:v>
                </c:pt>
                <c:pt idx="29">
                  <c:v>16.0</c:v>
                </c:pt>
                <c:pt idx="30">
                  <c:v>17.0</c:v>
                </c:pt>
                <c:pt idx="31">
                  <c:v>17.0</c:v>
                </c:pt>
                <c:pt idx="32">
                  <c:v>17.0</c:v>
                </c:pt>
                <c:pt idx="33">
                  <c:v>17.0</c:v>
                </c:pt>
                <c:pt idx="34">
                  <c:v>18.0</c:v>
                </c:pt>
                <c:pt idx="35">
                  <c:v>18.0</c:v>
                </c:pt>
                <c:pt idx="36">
                  <c:v>18.0</c:v>
                </c:pt>
                <c:pt idx="37">
                  <c:v>18.0</c:v>
                </c:pt>
                <c:pt idx="38">
                  <c:v>19.0</c:v>
                </c:pt>
                <c:pt idx="39">
                  <c:v>19.0</c:v>
                </c:pt>
                <c:pt idx="40">
                  <c:v>19.0</c:v>
                </c:pt>
                <c:pt idx="41">
                  <c:v>20.0</c:v>
                </c:pt>
                <c:pt idx="42">
                  <c:v>20.0</c:v>
                </c:pt>
                <c:pt idx="43">
                  <c:v>20.0</c:v>
                </c:pt>
                <c:pt idx="44">
                  <c:v>20.0</c:v>
                </c:pt>
              </c:numCache>
            </c:numRef>
          </c:xVal>
          <c:yVal>
            <c:numRef>
              <c:f>Neg_arou!$E$2:$E$46</c:f>
              <c:numCache>
                <c:formatCode>General</c:formatCode>
                <c:ptCount val="45"/>
                <c:pt idx="0">
                  <c:v>6.0</c:v>
                </c:pt>
                <c:pt idx="1">
                  <c:v>5.73333333333334</c:v>
                </c:pt>
                <c:pt idx="2">
                  <c:v>4.133333333333333</c:v>
                </c:pt>
                <c:pt idx="3">
                  <c:v>6.066666666666666</c:v>
                </c:pt>
                <c:pt idx="4">
                  <c:v>5.266666666666666</c:v>
                </c:pt>
                <c:pt idx="5">
                  <c:v>5.266666666666666</c:v>
                </c:pt>
                <c:pt idx="6">
                  <c:v>5.0</c:v>
                </c:pt>
                <c:pt idx="7">
                  <c:v>5.066666666666666</c:v>
                </c:pt>
                <c:pt idx="8">
                  <c:v>5.6</c:v>
                </c:pt>
                <c:pt idx="9">
                  <c:v>3.4</c:v>
                </c:pt>
                <c:pt idx="10">
                  <c:v>6.2</c:v>
                </c:pt>
                <c:pt idx="11">
                  <c:v>5.266666666666666</c:v>
                </c:pt>
                <c:pt idx="12">
                  <c:v>4.266666666666666</c:v>
                </c:pt>
                <c:pt idx="13">
                  <c:v>4.466666666666666</c:v>
                </c:pt>
                <c:pt idx="14">
                  <c:v>6.2</c:v>
                </c:pt>
                <c:pt idx="15">
                  <c:v>6.133333333333333</c:v>
                </c:pt>
                <c:pt idx="16">
                  <c:v>6.466666666666666</c:v>
                </c:pt>
                <c:pt idx="17">
                  <c:v>6.53333333333334</c:v>
                </c:pt>
                <c:pt idx="18">
                  <c:v>6.333333333333332</c:v>
                </c:pt>
                <c:pt idx="19">
                  <c:v>5.8</c:v>
                </c:pt>
                <c:pt idx="20">
                  <c:v>4.266666666666666</c:v>
                </c:pt>
                <c:pt idx="21">
                  <c:v>5.466666666666666</c:v>
                </c:pt>
                <c:pt idx="22">
                  <c:v>6.73333333333334</c:v>
                </c:pt>
                <c:pt idx="23">
                  <c:v>2.6</c:v>
                </c:pt>
                <c:pt idx="24">
                  <c:v>5.53333333333334</c:v>
                </c:pt>
                <c:pt idx="25">
                  <c:v>3.666666666666666</c:v>
                </c:pt>
                <c:pt idx="26">
                  <c:v>7.4</c:v>
                </c:pt>
                <c:pt idx="27">
                  <c:v>4.133333333333333</c:v>
                </c:pt>
                <c:pt idx="28">
                  <c:v>2.666666666666666</c:v>
                </c:pt>
                <c:pt idx="29">
                  <c:v>2.133333333333333</c:v>
                </c:pt>
                <c:pt idx="30">
                  <c:v>2.466666666666667</c:v>
                </c:pt>
                <c:pt idx="31">
                  <c:v>5.4</c:v>
                </c:pt>
                <c:pt idx="32">
                  <c:v>6.666666666666667</c:v>
                </c:pt>
                <c:pt idx="33">
                  <c:v>4.73333333333334</c:v>
                </c:pt>
                <c:pt idx="34">
                  <c:v>4.93333333333334</c:v>
                </c:pt>
                <c:pt idx="35">
                  <c:v>5.466666666666666</c:v>
                </c:pt>
                <c:pt idx="36">
                  <c:v>4.4</c:v>
                </c:pt>
                <c:pt idx="37">
                  <c:v>2.866666666666667</c:v>
                </c:pt>
                <c:pt idx="38">
                  <c:v>6.73333333333334</c:v>
                </c:pt>
                <c:pt idx="39">
                  <c:v>3.2</c:v>
                </c:pt>
                <c:pt idx="40">
                  <c:v>4.666666666666667</c:v>
                </c:pt>
                <c:pt idx="41">
                  <c:v>2.533333333333333</c:v>
                </c:pt>
                <c:pt idx="42">
                  <c:v>7.466666666666666</c:v>
                </c:pt>
                <c:pt idx="43">
                  <c:v>4.93333333333334</c:v>
                </c:pt>
                <c:pt idx="44">
                  <c:v>5.066666666666666</c:v>
                </c:pt>
              </c:numCache>
            </c:numRef>
          </c:yVal>
          <c:smooth val="0"/>
        </c:ser>
        <c:ser>
          <c:idx val="0"/>
          <c:order val="1"/>
          <c:tx>
            <c:v>mTBI</c:v>
          </c:tx>
          <c:spPr>
            <a:ln w="47625" cap="rnd">
              <a:noFill/>
              <a:round/>
            </a:ln>
            <a:effectLst/>
          </c:spPr>
          <c:marker>
            <c:symbol val="circle"/>
            <c:size val="5"/>
            <c:spPr>
              <a:solidFill>
                <a:schemeClr val="accent1"/>
              </a:solidFill>
              <a:ln w="9525">
                <a:solidFill>
                  <a:schemeClr val="accent1"/>
                </a:solidFill>
              </a:ln>
              <a:effectLst/>
            </c:spPr>
          </c:marker>
          <c:xVal>
            <c:numRef>
              <c:f>Neg_arou!$D$47:$D$91</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12.0</c:v>
                </c:pt>
                <c:pt idx="13">
                  <c:v>12.0</c:v>
                </c:pt>
                <c:pt idx="14">
                  <c:v>12.0</c:v>
                </c:pt>
                <c:pt idx="15">
                  <c:v>12.0</c:v>
                </c:pt>
                <c:pt idx="16">
                  <c:v>12.0</c:v>
                </c:pt>
                <c:pt idx="17">
                  <c:v>13.0</c:v>
                </c:pt>
                <c:pt idx="18">
                  <c:v>13.0</c:v>
                </c:pt>
                <c:pt idx="19">
                  <c:v>13.0</c:v>
                </c:pt>
                <c:pt idx="20">
                  <c:v>13.0</c:v>
                </c:pt>
                <c:pt idx="21">
                  <c:v>14.0</c:v>
                </c:pt>
                <c:pt idx="22">
                  <c:v>14.0</c:v>
                </c:pt>
                <c:pt idx="23">
                  <c:v>15.0</c:v>
                </c:pt>
                <c:pt idx="24">
                  <c:v>15.0</c:v>
                </c:pt>
                <c:pt idx="25">
                  <c:v>15.0</c:v>
                </c:pt>
                <c:pt idx="26">
                  <c:v>15.0</c:v>
                </c:pt>
                <c:pt idx="27">
                  <c:v>16.0</c:v>
                </c:pt>
                <c:pt idx="28">
                  <c:v>16.0</c:v>
                </c:pt>
                <c:pt idx="29">
                  <c:v>16.0</c:v>
                </c:pt>
                <c:pt idx="30">
                  <c:v>16.0</c:v>
                </c:pt>
                <c:pt idx="31">
                  <c:v>17.0</c:v>
                </c:pt>
                <c:pt idx="32">
                  <c:v>17.0</c:v>
                </c:pt>
                <c:pt idx="33">
                  <c:v>17.0</c:v>
                </c:pt>
                <c:pt idx="34">
                  <c:v>17.0</c:v>
                </c:pt>
                <c:pt idx="35">
                  <c:v>18.0</c:v>
                </c:pt>
                <c:pt idx="36">
                  <c:v>18.0</c:v>
                </c:pt>
                <c:pt idx="37">
                  <c:v>18.0</c:v>
                </c:pt>
                <c:pt idx="38">
                  <c:v>18.0</c:v>
                </c:pt>
                <c:pt idx="39">
                  <c:v>19.0</c:v>
                </c:pt>
                <c:pt idx="40">
                  <c:v>19.0</c:v>
                </c:pt>
                <c:pt idx="41">
                  <c:v>19.0</c:v>
                </c:pt>
                <c:pt idx="42">
                  <c:v>20.0</c:v>
                </c:pt>
                <c:pt idx="43">
                  <c:v>20.0</c:v>
                </c:pt>
                <c:pt idx="44">
                  <c:v>20.0</c:v>
                </c:pt>
              </c:numCache>
            </c:numRef>
          </c:xVal>
          <c:yVal>
            <c:numRef>
              <c:f>Neg_arou!$E$47:$E$91</c:f>
              <c:numCache>
                <c:formatCode>General</c:formatCode>
                <c:ptCount val="45"/>
                <c:pt idx="0">
                  <c:v>6.066666666666666</c:v>
                </c:pt>
                <c:pt idx="1">
                  <c:v>6.73333333333334</c:v>
                </c:pt>
                <c:pt idx="2">
                  <c:v>4.666666666666667</c:v>
                </c:pt>
                <c:pt idx="3">
                  <c:v>5.8</c:v>
                </c:pt>
                <c:pt idx="4">
                  <c:v>2.066666667</c:v>
                </c:pt>
                <c:pt idx="5">
                  <c:v>3.866666666666667</c:v>
                </c:pt>
                <c:pt idx="6">
                  <c:v>4.8</c:v>
                </c:pt>
                <c:pt idx="7">
                  <c:v>7.466666666666666</c:v>
                </c:pt>
                <c:pt idx="8">
                  <c:v>6.666666666666667</c:v>
                </c:pt>
                <c:pt idx="9">
                  <c:v>5.133333333</c:v>
                </c:pt>
                <c:pt idx="10">
                  <c:v>4.266666666666666</c:v>
                </c:pt>
                <c:pt idx="11">
                  <c:v>4.93333333333334</c:v>
                </c:pt>
                <c:pt idx="12">
                  <c:v>2.4</c:v>
                </c:pt>
                <c:pt idx="13">
                  <c:v>6.8</c:v>
                </c:pt>
                <c:pt idx="14">
                  <c:v>6.0</c:v>
                </c:pt>
                <c:pt idx="15">
                  <c:v>3.466666666666667</c:v>
                </c:pt>
                <c:pt idx="16">
                  <c:v>5.4</c:v>
                </c:pt>
                <c:pt idx="17">
                  <c:v>6.2</c:v>
                </c:pt>
                <c:pt idx="18">
                  <c:v>5.333333333333332</c:v>
                </c:pt>
                <c:pt idx="19">
                  <c:v>3.533333333333333</c:v>
                </c:pt>
                <c:pt idx="20">
                  <c:v>4.4</c:v>
                </c:pt>
                <c:pt idx="21">
                  <c:v>5.4</c:v>
                </c:pt>
                <c:pt idx="22">
                  <c:v>6.066666666666666</c:v>
                </c:pt>
                <c:pt idx="23">
                  <c:v>5.466666666666666</c:v>
                </c:pt>
                <c:pt idx="24">
                  <c:v>7.066666666666666</c:v>
                </c:pt>
                <c:pt idx="25">
                  <c:v>4.866666666666666</c:v>
                </c:pt>
                <c:pt idx="26">
                  <c:v>6.0</c:v>
                </c:pt>
                <c:pt idx="27">
                  <c:v>7.066666666666666</c:v>
                </c:pt>
                <c:pt idx="28">
                  <c:v>5.066666666666666</c:v>
                </c:pt>
                <c:pt idx="29">
                  <c:v>6.4</c:v>
                </c:pt>
                <c:pt idx="30">
                  <c:v>5.93333333333334</c:v>
                </c:pt>
                <c:pt idx="31">
                  <c:v>4.333333333333332</c:v>
                </c:pt>
                <c:pt idx="32">
                  <c:v>5.8</c:v>
                </c:pt>
                <c:pt idx="33">
                  <c:v>5.333333333333332</c:v>
                </c:pt>
                <c:pt idx="34">
                  <c:v>6.6</c:v>
                </c:pt>
                <c:pt idx="35">
                  <c:v>6.333333333333332</c:v>
                </c:pt>
                <c:pt idx="36">
                  <c:v>2.866666666666667</c:v>
                </c:pt>
                <c:pt idx="37">
                  <c:v>6.666666666666667</c:v>
                </c:pt>
                <c:pt idx="38">
                  <c:v>6.066666666666666</c:v>
                </c:pt>
                <c:pt idx="39">
                  <c:v>6.73333333333334</c:v>
                </c:pt>
                <c:pt idx="40">
                  <c:v>6.266666666666666</c:v>
                </c:pt>
                <c:pt idx="41">
                  <c:v>4.266666666666666</c:v>
                </c:pt>
                <c:pt idx="42">
                  <c:v>5.73333333333334</c:v>
                </c:pt>
                <c:pt idx="43">
                  <c:v>6.333333333333332</c:v>
                </c:pt>
                <c:pt idx="44">
                  <c:v>7.866666666666666</c:v>
                </c:pt>
              </c:numCache>
            </c:numRef>
          </c:yVal>
          <c:smooth val="0"/>
        </c:ser>
        <c:dLbls>
          <c:showLegendKey val="0"/>
          <c:showVal val="0"/>
          <c:showCatName val="0"/>
          <c:showSerName val="0"/>
          <c:showPercent val="0"/>
          <c:showBubbleSize val="0"/>
        </c:dLbls>
        <c:axId val="59879504"/>
        <c:axId val="40029680"/>
      </c:scatterChart>
      <c:valAx>
        <c:axId val="59879504"/>
        <c:scaling>
          <c:orientation val="minMax"/>
          <c:max val="21.0"/>
          <c:min val="8.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Hour</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40029680"/>
        <c:crosses val="autoZero"/>
        <c:crossBetween val="midCat"/>
        <c:majorUnit val="2.0"/>
      </c:valAx>
      <c:valAx>
        <c:axId val="40029680"/>
        <c:scaling>
          <c:orientation val="minMax"/>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Arousal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5987950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charset="0"/>
          <a:ea typeface="Times" charset="0"/>
          <a:cs typeface="Times"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r>
              <a:rPr lang="en-US"/>
              <a:t>Positive Arousal</a:t>
            </a:r>
          </a:p>
        </c:rich>
      </c:tx>
      <c:overlay val="0"/>
      <c:spPr>
        <a:noFill/>
        <a:ln>
          <a:noFill/>
        </a:ln>
        <a:effectLst/>
      </c:spPr>
      <c:txPr>
        <a:bodyPr rot="0" spcFirstLastPara="1" vertOverflow="ellipsis" vert="horz" wrap="square" anchor="ctr" anchorCtr="1"/>
        <a:lstStyle/>
        <a:p>
          <a:pPr>
            <a:defRPr sz="1440" b="0" i="0" u="none" strike="noStrike" kern="1200" spc="0" baseline="0">
              <a:solidFill>
                <a:sysClr val="windowText" lastClr="000000"/>
              </a:solidFill>
              <a:latin typeface="Times" charset="0"/>
              <a:ea typeface="Times" charset="0"/>
              <a:cs typeface="Times" charset="0"/>
            </a:defRPr>
          </a:pPr>
          <a:endParaRPr lang="en-US"/>
        </a:p>
      </c:txPr>
    </c:title>
    <c:autoTitleDeleted val="0"/>
    <c:plotArea>
      <c:layout/>
      <c:scatterChart>
        <c:scatterStyle val="lineMarker"/>
        <c:varyColors val="0"/>
        <c:ser>
          <c:idx val="1"/>
          <c:order val="0"/>
          <c:tx>
            <c:v>non-TBI</c:v>
          </c:tx>
          <c:spPr>
            <a:ln w="47625" cap="rnd">
              <a:noFill/>
              <a:round/>
            </a:ln>
            <a:effectLst/>
          </c:spPr>
          <c:marker>
            <c:symbol val="circle"/>
            <c:size val="5"/>
            <c:spPr>
              <a:solidFill>
                <a:schemeClr val="accent2"/>
              </a:solidFill>
              <a:ln w="9525">
                <a:solidFill>
                  <a:schemeClr val="accent2"/>
                </a:solidFill>
              </a:ln>
              <a:effectLst/>
            </c:spPr>
          </c:marker>
          <c:xVal>
            <c:numRef>
              <c:f>Pos_arou!$D$2:$D$46</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11.0</c:v>
                </c:pt>
                <c:pt idx="13">
                  <c:v>12.0</c:v>
                </c:pt>
                <c:pt idx="14">
                  <c:v>12.0</c:v>
                </c:pt>
                <c:pt idx="15">
                  <c:v>12.0</c:v>
                </c:pt>
                <c:pt idx="16">
                  <c:v>13.0</c:v>
                </c:pt>
                <c:pt idx="17">
                  <c:v>13.0</c:v>
                </c:pt>
                <c:pt idx="18">
                  <c:v>13.0</c:v>
                </c:pt>
                <c:pt idx="19">
                  <c:v>14.0</c:v>
                </c:pt>
                <c:pt idx="20">
                  <c:v>14.0</c:v>
                </c:pt>
                <c:pt idx="21">
                  <c:v>14.0</c:v>
                </c:pt>
                <c:pt idx="22">
                  <c:v>14.0</c:v>
                </c:pt>
                <c:pt idx="23">
                  <c:v>15.0</c:v>
                </c:pt>
                <c:pt idx="24">
                  <c:v>15.0</c:v>
                </c:pt>
                <c:pt idx="25">
                  <c:v>15.0</c:v>
                </c:pt>
                <c:pt idx="26">
                  <c:v>16.0</c:v>
                </c:pt>
                <c:pt idx="27">
                  <c:v>16.0</c:v>
                </c:pt>
                <c:pt idx="28">
                  <c:v>16.0</c:v>
                </c:pt>
                <c:pt idx="29">
                  <c:v>16.0</c:v>
                </c:pt>
                <c:pt idx="30">
                  <c:v>17.0</c:v>
                </c:pt>
                <c:pt idx="31">
                  <c:v>17.0</c:v>
                </c:pt>
                <c:pt idx="32">
                  <c:v>17.0</c:v>
                </c:pt>
                <c:pt idx="33">
                  <c:v>17.0</c:v>
                </c:pt>
                <c:pt idx="34">
                  <c:v>18.0</c:v>
                </c:pt>
                <c:pt idx="35">
                  <c:v>18.0</c:v>
                </c:pt>
                <c:pt idx="36">
                  <c:v>18.0</c:v>
                </c:pt>
                <c:pt idx="37">
                  <c:v>18.0</c:v>
                </c:pt>
                <c:pt idx="38">
                  <c:v>19.0</c:v>
                </c:pt>
                <c:pt idx="39">
                  <c:v>19.0</c:v>
                </c:pt>
                <c:pt idx="40">
                  <c:v>19.0</c:v>
                </c:pt>
                <c:pt idx="41">
                  <c:v>20.0</c:v>
                </c:pt>
                <c:pt idx="42">
                  <c:v>20.0</c:v>
                </c:pt>
                <c:pt idx="43">
                  <c:v>20.0</c:v>
                </c:pt>
                <c:pt idx="44">
                  <c:v>20.0</c:v>
                </c:pt>
              </c:numCache>
            </c:numRef>
          </c:xVal>
          <c:yVal>
            <c:numRef>
              <c:f>Pos_arou!$E$2:$E$46</c:f>
              <c:numCache>
                <c:formatCode>General</c:formatCode>
                <c:ptCount val="45"/>
                <c:pt idx="0">
                  <c:v>5.466666666666666</c:v>
                </c:pt>
                <c:pt idx="1">
                  <c:v>5.266666666666666</c:v>
                </c:pt>
                <c:pt idx="2">
                  <c:v>4.333333333333332</c:v>
                </c:pt>
                <c:pt idx="3">
                  <c:v>6.6</c:v>
                </c:pt>
                <c:pt idx="4">
                  <c:v>2.866666666666667</c:v>
                </c:pt>
                <c:pt idx="5">
                  <c:v>4.866666666666666</c:v>
                </c:pt>
                <c:pt idx="6">
                  <c:v>4.4</c:v>
                </c:pt>
                <c:pt idx="7">
                  <c:v>3.066666666666667</c:v>
                </c:pt>
                <c:pt idx="8">
                  <c:v>6.8</c:v>
                </c:pt>
                <c:pt idx="9">
                  <c:v>2.066666666666667</c:v>
                </c:pt>
                <c:pt idx="10">
                  <c:v>6.4</c:v>
                </c:pt>
                <c:pt idx="11">
                  <c:v>5.93333333333334</c:v>
                </c:pt>
                <c:pt idx="12">
                  <c:v>3.866666666666667</c:v>
                </c:pt>
                <c:pt idx="13">
                  <c:v>2.666666666666666</c:v>
                </c:pt>
                <c:pt idx="14">
                  <c:v>5.133333333333333</c:v>
                </c:pt>
                <c:pt idx="15">
                  <c:v>5.53333333333334</c:v>
                </c:pt>
                <c:pt idx="16">
                  <c:v>6.8</c:v>
                </c:pt>
                <c:pt idx="17">
                  <c:v>6.866666666666666</c:v>
                </c:pt>
                <c:pt idx="18">
                  <c:v>6.333333333333332</c:v>
                </c:pt>
                <c:pt idx="19">
                  <c:v>2.8</c:v>
                </c:pt>
                <c:pt idx="20">
                  <c:v>6.133333333333333</c:v>
                </c:pt>
                <c:pt idx="21">
                  <c:v>4.466666666666666</c:v>
                </c:pt>
                <c:pt idx="22">
                  <c:v>6.93333333333334</c:v>
                </c:pt>
                <c:pt idx="23">
                  <c:v>1.8</c:v>
                </c:pt>
                <c:pt idx="24">
                  <c:v>6.133333333333333</c:v>
                </c:pt>
                <c:pt idx="25">
                  <c:v>3.533333333333333</c:v>
                </c:pt>
                <c:pt idx="26">
                  <c:v>3.8</c:v>
                </c:pt>
                <c:pt idx="27">
                  <c:v>2.266666666666667</c:v>
                </c:pt>
                <c:pt idx="28">
                  <c:v>1.2</c:v>
                </c:pt>
                <c:pt idx="29">
                  <c:v>1.333333333333333</c:v>
                </c:pt>
                <c:pt idx="30">
                  <c:v>5.6</c:v>
                </c:pt>
                <c:pt idx="31">
                  <c:v>3.733333333333333</c:v>
                </c:pt>
                <c:pt idx="32">
                  <c:v>6.93333333333334</c:v>
                </c:pt>
                <c:pt idx="33">
                  <c:v>2.933333333333333</c:v>
                </c:pt>
                <c:pt idx="34">
                  <c:v>4.4</c:v>
                </c:pt>
                <c:pt idx="35">
                  <c:v>6.466666666666666</c:v>
                </c:pt>
                <c:pt idx="36">
                  <c:v>5.0</c:v>
                </c:pt>
                <c:pt idx="37">
                  <c:v>1.466666666666667</c:v>
                </c:pt>
                <c:pt idx="38">
                  <c:v>4.73333333333334</c:v>
                </c:pt>
                <c:pt idx="39">
                  <c:v>3.666666666666666</c:v>
                </c:pt>
                <c:pt idx="40">
                  <c:v>5.53333333333334</c:v>
                </c:pt>
                <c:pt idx="41">
                  <c:v>1.733333333333333</c:v>
                </c:pt>
                <c:pt idx="42">
                  <c:v>5.8</c:v>
                </c:pt>
                <c:pt idx="43">
                  <c:v>3.666666666666666</c:v>
                </c:pt>
                <c:pt idx="44">
                  <c:v>7.466666666666666</c:v>
                </c:pt>
              </c:numCache>
            </c:numRef>
          </c:yVal>
          <c:smooth val="0"/>
        </c:ser>
        <c:ser>
          <c:idx val="0"/>
          <c:order val="1"/>
          <c:tx>
            <c:v>mTBI</c:v>
          </c:tx>
          <c:spPr>
            <a:ln w="47625" cap="rnd">
              <a:noFill/>
              <a:round/>
            </a:ln>
            <a:effectLst/>
          </c:spPr>
          <c:marker>
            <c:symbol val="circle"/>
            <c:size val="5"/>
            <c:spPr>
              <a:solidFill>
                <a:schemeClr val="accent1"/>
              </a:solidFill>
              <a:ln w="9525">
                <a:solidFill>
                  <a:schemeClr val="accent1"/>
                </a:solidFill>
              </a:ln>
              <a:effectLst/>
            </c:spPr>
          </c:marker>
          <c:xVal>
            <c:numRef>
              <c:f>Pos_arou!$D$47:$D$91</c:f>
              <c:numCache>
                <c:formatCode>General</c:formatCode>
                <c:ptCount val="45"/>
                <c:pt idx="0">
                  <c:v>9.0</c:v>
                </c:pt>
                <c:pt idx="1">
                  <c:v>9.0</c:v>
                </c:pt>
                <c:pt idx="2">
                  <c:v>9.0</c:v>
                </c:pt>
                <c:pt idx="3">
                  <c:v>9.0</c:v>
                </c:pt>
                <c:pt idx="4">
                  <c:v>10.0</c:v>
                </c:pt>
                <c:pt idx="5">
                  <c:v>10.0</c:v>
                </c:pt>
                <c:pt idx="6">
                  <c:v>10.0</c:v>
                </c:pt>
                <c:pt idx="7">
                  <c:v>10.0</c:v>
                </c:pt>
                <c:pt idx="8">
                  <c:v>11.0</c:v>
                </c:pt>
                <c:pt idx="9">
                  <c:v>11.0</c:v>
                </c:pt>
                <c:pt idx="10">
                  <c:v>11.0</c:v>
                </c:pt>
                <c:pt idx="11">
                  <c:v>11.0</c:v>
                </c:pt>
                <c:pt idx="12">
                  <c:v>12.0</c:v>
                </c:pt>
                <c:pt idx="13">
                  <c:v>12.0</c:v>
                </c:pt>
                <c:pt idx="14">
                  <c:v>12.0</c:v>
                </c:pt>
                <c:pt idx="15">
                  <c:v>12.0</c:v>
                </c:pt>
                <c:pt idx="16">
                  <c:v>12.0</c:v>
                </c:pt>
                <c:pt idx="17">
                  <c:v>13.0</c:v>
                </c:pt>
                <c:pt idx="18">
                  <c:v>13.0</c:v>
                </c:pt>
                <c:pt idx="19">
                  <c:v>13.0</c:v>
                </c:pt>
                <c:pt idx="20">
                  <c:v>13.0</c:v>
                </c:pt>
                <c:pt idx="21">
                  <c:v>14.0</c:v>
                </c:pt>
                <c:pt idx="22">
                  <c:v>14.0</c:v>
                </c:pt>
                <c:pt idx="23">
                  <c:v>15.0</c:v>
                </c:pt>
                <c:pt idx="24">
                  <c:v>15.0</c:v>
                </c:pt>
                <c:pt idx="25">
                  <c:v>15.0</c:v>
                </c:pt>
                <c:pt idx="26">
                  <c:v>15.0</c:v>
                </c:pt>
                <c:pt idx="27">
                  <c:v>16.0</c:v>
                </c:pt>
                <c:pt idx="28">
                  <c:v>16.0</c:v>
                </c:pt>
                <c:pt idx="29">
                  <c:v>16.0</c:v>
                </c:pt>
                <c:pt idx="30">
                  <c:v>16.0</c:v>
                </c:pt>
                <c:pt idx="31">
                  <c:v>17.0</c:v>
                </c:pt>
                <c:pt idx="32">
                  <c:v>17.0</c:v>
                </c:pt>
                <c:pt idx="33">
                  <c:v>17.0</c:v>
                </c:pt>
                <c:pt idx="34">
                  <c:v>17.0</c:v>
                </c:pt>
                <c:pt idx="35">
                  <c:v>18.0</c:v>
                </c:pt>
                <c:pt idx="36">
                  <c:v>18.0</c:v>
                </c:pt>
                <c:pt idx="37">
                  <c:v>18.0</c:v>
                </c:pt>
                <c:pt idx="38">
                  <c:v>18.0</c:v>
                </c:pt>
                <c:pt idx="39">
                  <c:v>19.0</c:v>
                </c:pt>
                <c:pt idx="40">
                  <c:v>19.0</c:v>
                </c:pt>
                <c:pt idx="41">
                  <c:v>19.0</c:v>
                </c:pt>
                <c:pt idx="42">
                  <c:v>20.0</c:v>
                </c:pt>
                <c:pt idx="43">
                  <c:v>20.0</c:v>
                </c:pt>
                <c:pt idx="44">
                  <c:v>20.0</c:v>
                </c:pt>
              </c:numCache>
            </c:numRef>
          </c:xVal>
          <c:yVal>
            <c:numRef>
              <c:f>Pos_arou!$E$47:$E$91</c:f>
              <c:numCache>
                <c:formatCode>General</c:formatCode>
                <c:ptCount val="45"/>
                <c:pt idx="0">
                  <c:v>6.133333333333333</c:v>
                </c:pt>
                <c:pt idx="1">
                  <c:v>4.666666666666667</c:v>
                </c:pt>
                <c:pt idx="2">
                  <c:v>2.2</c:v>
                </c:pt>
                <c:pt idx="3">
                  <c:v>4.0</c:v>
                </c:pt>
                <c:pt idx="4">
                  <c:v>2.933333333333333</c:v>
                </c:pt>
                <c:pt idx="5">
                  <c:v>3.8</c:v>
                </c:pt>
                <c:pt idx="6">
                  <c:v>5.066666666666666</c:v>
                </c:pt>
                <c:pt idx="7">
                  <c:v>7.53333333333334</c:v>
                </c:pt>
                <c:pt idx="8">
                  <c:v>7.0</c:v>
                </c:pt>
                <c:pt idx="9">
                  <c:v>5.466666666666666</c:v>
                </c:pt>
                <c:pt idx="10">
                  <c:v>3.533333333333333</c:v>
                </c:pt>
                <c:pt idx="11">
                  <c:v>4.866666666666666</c:v>
                </c:pt>
                <c:pt idx="12">
                  <c:v>2.933333333333333</c:v>
                </c:pt>
                <c:pt idx="13">
                  <c:v>3.666666666666666</c:v>
                </c:pt>
                <c:pt idx="14">
                  <c:v>5.0</c:v>
                </c:pt>
                <c:pt idx="15">
                  <c:v>5.2</c:v>
                </c:pt>
                <c:pt idx="16">
                  <c:v>2.666666666666666</c:v>
                </c:pt>
                <c:pt idx="17">
                  <c:v>5.93333333333334</c:v>
                </c:pt>
                <c:pt idx="18">
                  <c:v>5.93333333333334</c:v>
                </c:pt>
                <c:pt idx="19">
                  <c:v>1.266666666666667</c:v>
                </c:pt>
                <c:pt idx="20">
                  <c:v>4.73333333333334</c:v>
                </c:pt>
                <c:pt idx="21">
                  <c:v>5.333333333333332</c:v>
                </c:pt>
                <c:pt idx="22">
                  <c:v>3.666666666666666</c:v>
                </c:pt>
                <c:pt idx="23">
                  <c:v>5.93333333333334</c:v>
                </c:pt>
                <c:pt idx="24">
                  <c:v>6.666666666666667</c:v>
                </c:pt>
                <c:pt idx="25">
                  <c:v>4.066666666666666</c:v>
                </c:pt>
                <c:pt idx="26">
                  <c:v>5.93333333333334</c:v>
                </c:pt>
                <c:pt idx="27">
                  <c:v>3.6</c:v>
                </c:pt>
                <c:pt idx="28">
                  <c:v>6.0</c:v>
                </c:pt>
                <c:pt idx="29">
                  <c:v>2.866666666666667</c:v>
                </c:pt>
                <c:pt idx="30">
                  <c:v>3.666666666666666</c:v>
                </c:pt>
                <c:pt idx="31">
                  <c:v>4.53333333333334</c:v>
                </c:pt>
                <c:pt idx="32">
                  <c:v>4.73333333333334</c:v>
                </c:pt>
                <c:pt idx="33">
                  <c:v>3.266666666666667</c:v>
                </c:pt>
                <c:pt idx="34">
                  <c:v>2.933333333333333</c:v>
                </c:pt>
                <c:pt idx="35">
                  <c:v>6.73333333333334</c:v>
                </c:pt>
                <c:pt idx="36">
                  <c:v>1.866666666666667</c:v>
                </c:pt>
                <c:pt idx="37">
                  <c:v>5.8</c:v>
                </c:pt>
                <c:pt idx="38">
                  <c:v>6.0</c:v>
                </c:pt>
                <c:pt idx="39">
                  <c:v>4.53333333333334</c:v>
                </c:pt>
                <c:pt idx="40">
                  <c:v>5.2</c:v>
                </c:pt>
                <c:pt idx="41">
                  <c:v>4.866666666666666</c:v>
                </c:pt>
                <c:pt idx="42">
                  <c:v>5.6</c:v>
                </c:pt>
                <c:pt idx="43">
                  <c:v>5.8</c:v>
                </c:pt>
                <c:pt idx="44">
                  <c:v>6.8</c:v>
                </c:pt>
              </c:numCache>
            </c:numRef>
          </c:yVal>
          <c:smooth val="0"/>
        </c:ser>
        <c:dLbls>
          <c:showLegendKey val="0"/>
          <c:showVal val="0"/>
          <c:showCatName val="0"/>
          <c:showSerName val="0"/>
          <c:showPercent val="0"/>
          <c:showBubbleSize val="0"/>
        </c:dLbls>
        <c:axId val="79542496"/>
        <c:axId val="62171920"/>
      </c:scatterChart>
      <c:valAx>
        <c:axId val="79542496"/>
        <c:scaling>
          <c:orientation val="minMax"/>
          <c:max val="21.0"/>
          <c:min val="8.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Hour</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62171920"/>
        <c:crosses val="autoZero"/>
        <c:crossBetween val="midCat"/>
        <c:majorUnit val="2.0"/>
      </c:valAx>
      <c:valAx>
        <c:axId val="62171920"/>
        <c:scaling>
          <c:orientation val="minMax"/>
          <c:max val="9.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r>
                  <a:rPr lang="en-US"/>
                  <a:t>Arousal Ratings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crossAx val="7954249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charset="0"/>
              <a:ea typeface="Times" charset="0"/>
              <a:cs typeface="Times"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0">
          <a:solidFill>
            <a:sysClr val="windowText" lastClr="000000"/>
          </a:solidFill>
          <a:latin typeface="Times" charset="0"/>
          <a:ea typeface="Times" charset="0"/>
          <a:cs typeface="Times"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72395833333333"/>
          <c:y val="0.0902777777777778"/>
          <c:w val="0.534895833333333"/>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Take2!$D$82:$D$83</c:f>
                <c:numCache>
                  <c:formatCode>General</c:formatCode>
                  <c:ptCount val="2"/>
                  <c:pt idx="0">
                    <c:v>4.2</c:v>
                  </c:pt>
                  <c:pt idx="1">
                    <c:v>4.2</c:v>
                  </c:pt>
                </c:numCache>
              </c:numRef>
            </c:plus>
            <c:minus>
              <c:numRef>
                <c:f>Take2!$D$82:$D$83</c:f>
                <c:numCache>
                  <c:formatCode>General</c:formatCode>
                  <c:ptCount val="2"/>
                  <c:pt idx="0">
                    <c:v>4.2</c:v>
                  </c:pt>
                  <c:pt idx="1">
                    <c:v>4.2</c:v>
                  </c:pt>
                </c:numCache>
              </c:numRef>
            </c:minus>
          </c:errBars>
          <c:cat>
            <c:strRef>
              <c:f>Take2!$N$90:$O$90</c:f>
              <c:strCache>
                <c:ptCount val="2"/>
                <c:pt idx="0">
                  <c:v>Non-TBI</c:v>
                </c:pt>
                <c:pt idx="1">
                  <c:v>TBI</c:v>
                </c:pt>
              </c:strCache>
            </c:strRef>
          </c:cat>
          <c:val>
            <c:numRef>
              <c:f>Take2!$C$82:$C$83</c:f>
              <c:numCache>
                <c:formatCode>General</c:formatCode>
                <c:ptCount val="2"/>
                <c:pt idx="0">
                  <c:v>57.1</c:v>
                </c:pt>
                <c:pt idx="1">
                  <c:v>63.9</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Take2!$D$84:$D$85</c:f>
                <c:numCache>
                  <c:formatCode>General</c:formatCode>
                  <c:ptCount val="2"/>
                  <c:pt idx="0">
                    <c:v>4.2</c:v>
                  </c:pt>
                  <c:pt idx="1">
                    <c:v>4.0</c:v>
                  </c:pt>
                </c:numCache>
              </c:numRef>
            </c:plus>
            <c:minus>
              <c:numRef>
                <c:f>Take2!$D$84:$D$85</c:f>
                <c:numCache>
                  <c:formatCode>General</c:formatCode>
                  <c:ptCount val="2"/>
                  <c:pt idx="0">
                    <c:v>4.2</c:v>
                  </c:pt>
                  <c:pt idx="1">
                    <c:v>4.0</c:v>
                  </c:pt>
                </c:numCache>
              </c:numRef>
            </c:minus>
          </c:errBars>
          <c:cat>
            <c:strRef>
              <c:f>Take2!$N$90:$O$90</c:f>
              <c:strCache>
                <c:ptCount val="2"/>
                <c:pt idx="0">
                  <c:v>Non-TBI</c:v>
                </c:pt>
                <c:pt idx="1">
                  <c:v>TBI</c:v>
                </c:pt>
              </c:strCache>
            </c:strRef>
          </c:cat>
          <c:val>
            <c:numRef>
              <c:f>Take2!$C$84:$C$85</c:f>
              <c:numCache>
                <c:formatCode>General</c:formatCode>
                <c:ptCount val="2"/>
                <c:pt idx="0">
                  <c:v>73.5</c:v>
                </c:pt>
                <c:pt idx="1">
                  <c:v>62.5</c:v>
                </c:pt>
              </c:numCache>
            </c:numRef>
          </c:val>
        </c:ser>
        <c:dLbls>
          <c:showLegendKey val="0"/>
          <c:showVal val="0"/>
          <c:showCatName val="0"/>
          <c:showSerName val="0"/>
          <c:showPercent val="0"/>
          <c:showBubbleSize val="0"/>
        </c:dLbls>
        <c:gapWidth val="115"/>
        <c:axId val="81090288"/>
        <c:axId val="31480608"/>
      </c:barChart>
      <c:catAx>
        <c:axId val="81090288"/>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31480608"/>
        <c:crosses val="autoZero"/>
        <c:auto val="1"/>
        <c:lblAlgn val="ctr"/>
        <c:lblOffset val="100"/>
        <c:noMultiLvlLbl val="0"/>
      </c:catAx>
      <c:valAx>
        <c:axId val="31480608"/>
        <c:scaling>
          <c:orientation val="minMax"/>
          <c:max val="85.0"/>
          <c:min val="35.0"/>
        </c:scaling>
        <c:delete val="0"/>
        <c:axPos val="l"/>
        <c:majorGridlines/>
        <c:title>
          <c:tx>
            <c:rich>
              <a:bodyPr rot="-5400000" vert="horz"/>
              <a:lstStyle/>
              <a:p>
                <a:pPr>
                  <a:defRPr sz="800">
                    <a:latin typeface="Times"/>
                    <a:cs typeface="Times"/>
                  </a:defRPr>
                </a:pPr>
                <a:r>
                  <a:rPr lang="en-US" sz="800">
                    <a:latin typeface="Times"/>
                    <a:cs typeface="Times"/>
                  </a:rPr>
                  <a:t>Corrected Recognition (%)</a:t>
                </a:r>
              </a:p>
            </c:rich>
          </c:tx>
          <c:layout>
            <c:manualLayout>
              <c:xMode val="edge"/>
              <c:yMode val="edge"/>
              <c:x val="0.0"/>
              <c:y val="0.140294181977253"/>
            </c:manualLayout>
          </c:layout>
          <c:overlay val="0"/>
        </c:title>
        <c:numFmt formatCode="General" sourceLinked="1"/>
        <c:majorTickMark val="out"/>
        <c:minorTickMark val="none"/>
        <c:tickLblPos val="nextTo"/>
        <c:txPr>
          <a:bodyPr/>
          <a:lstStyle/>
          <a:p>
            <a:pPr>
              <a:defRPr sz="1000" b="1">
                <a:latin typeface="Times"/>
                <a:cs typeface="Times"/>
              </a:defRPr>
            </a:pPr>
            <a:endParaRPr lang="en-US"/>
          </a:p>
        </c:txPr>
        <c:crossAx val="81090288"/>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88020833333333"/>
          <c:y val="0.0902777777777778"/>
          <c:w val="0.5609375"/>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Take2!$D$115:$D$116</c:f>
                <c:numCache>
                  <c:formatCode>General</c:formatCode>
                  <c:ptCount val="2"/>
                  <c:pt idx="0">
                    <c:v>2.0</c:v>
                  </c:pt>
                  <c:pt idx="1">
                    <c:v>2.1</c:v>
                  </c:pt>
                </c:numCache>
              </c:numRef>
            </c:plus>
            <c:minus>
              <c:numRef>
                <c:f>Take2!$D$115:$D$116</c:f>
                <c:numCache>
                  <c:formatCode>General</c:formatCode>
                  <c:ptCount val="2"/>
                  <c:pt idx="0">
                    <c:v>2.0</c:v>
                  </c:pt>
                  <c:pt idx="1">
                    <c:v>2.1</c:v>
                  </c:pt>
                </c:numCache>
              </c:numRef>
            </c:minus>
          </c:errBars>
          <c:cat>
            <c:strRef>
              <c:f>Take2!$K$107:$L$107</c:f>
              <c:strCache>
                <c:ptCount val="2"/>
                <c:pt idx="0">
                  <c:v>Non-TBI</c:v>
                </c:pt>
                <c:pt idx="1">
                  <c:v>TBI</c:v>
                </c:pt>
              </c:strCache>
            </c:strRef>
          </c:cat>
          <c:val>
            <c:numRef>
              <c:f>Take2!$C$115:$C$116</c:f>
              <c:numCache>
                <c:formatCode>General</c:formatCode>
                <c:ptCount val="2"/>
                <c:pt idx="0">
                  <c:v>14.7</c:v>
                </c:pt>
                <c:pt idx="1">
                  <c:v>6.9</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Take2!$D$117:$D$118</c:f>
                <c:numCache>
                  <c:formatCode>General</c:formatCode>
                  <c:ptCount val="2"/>
                  <c:pt idx="0">
                    <c:v>1.9</c:v>
                  </c:pt>
                  <c:pt idx="1">
                    <c:v>1.9</c:v>
                  </c:pt>
                </c:numCache>
              </c:numRef>
            </c:plus>
            <c:minus>
              <c:numRef>
                <c:f>Take2!$D$117:$D$118</c:f>
                <c:numCache>
                  <c:formatCode>General</c:formatCode>
                  <c:ptCount val="2"/>
                  <c:pt idx="0">
                    <c:v>1.9</c:v>
                  </c:pt>
                  <c:pt idx="1">
                    <c:v>1.9</c:v>
                  </c:pt>
                </c:numCache>
              </c:numRef>
            </c:minus>
          </c:errBars>
          <c:cat>
            <c:strRef>
              <c:f>Take2!$K$107:$L$107</c:f>
              <c:strCache>
                <c:ptCount val="2"/>
                <c:pt idx="0">
                  <c:v>Non-TBI</c:v>
                </c:pt>
                <c:pt idx="1">
                  <c:v>TBI</c:v>
                </c:pt>
              </c:strCache>
            </c:strRef>
          </c:cat>
          <c:val>
            <c:numRef>
              <c:f>Take2!$C$117:$C$118</c:f>
              <c:numCache>
                <c:formatCode>General</c:formatCode>
                <c:ptCount val="2"/>
                <c:pt idx="0">
                  <c:v>9.1</c:v>
                </c:pt>
                <c:pt idx="1">
                  <c:v>10.9</c:v>
                </c:pt>
              </c:numCache>
            </c:numRef>
          </c:val>
        </c:ser>
        <c:dLbls>
          <c:showLegendKey val="0"/>
          <c:showVal val="0"/>
          <c:showCatName val="0"/>
          <c:showSerName val="0"/>
          <c:showPercent val="0"/>
          <c:showBubbleSize val="0"/>
        </c:dLbls>
        <c:gapWidth val="115"/>
        <c:axId val="77535168"/>
        <c:axId val="41625152"/>
      </c:barChart>
      <c:catAx>
        <c:axId val="77535168"/>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41625152"/>
        <c:crosses val="autoZero"/>
        <c:auto val="1"/>
        <c:lblAlgn val="ctr"/>
        <c:lblOffset val="100"/>
        <c:noMultiLvlLbl val="0"/>
      </c:catAx>
      <c:valAx>
        <c:axId val="41625152"/>
        <c:scaling>
          <c:orientation val="minMax"/>
          <c:max val="25.0"/>
        </c:scaling>
        <c:delete val="0"/>
        <c:axPos val="l"/>
        <c:majorGridlines/>
        <c:title>
          <c:tx>
            <c:rich>
              <a:bodyPr rot="-5400000" vert="horz"/>
              <a:lstStyle/>
              <a:p>
                <a:pPr>
                  <a:defRPr sz="800">
                    <a:latin typeface="Times"/>
                    <a:cs typeface="Times"/>
                  </a:defRPr>
                </a:pPr>
                <a:r>
                  <a:rPr lang="en-US" sz="800">
                    <a:latin typeface="Times"/>
                    <a:cs typeface="Times"/>
                  </a:rPr>
                  <a:t>False Alarms (%)</a:t>
                </a:r>
              </a:p>
            </c:rich>
          </c:tx>
          <c:layout>
            <c:manualLayout>
              <c:xMode val="edge"/>
              <c:yMode val="edge"/>
              <c:x val="0.0194444444444444"/>
              <c:y val="0.30521289005541"/>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77535168"/>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72395833333333"/>
          <c:y val="0.0902777777777778"/>
          <c:w val="0.5609375"/>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Take2!$D$126:$D$127</c:f>
                <c:numCache>
                  <c:formatCode>General</c:formatCode>
                  <c:ptCount val="2"/>
                  <c:pt idx="0">
                    <c:v>2.3</c:v>
                  </c:pt>
                  <c:pt idx="1">
                    <c:v>2.3</c:v>
                  </c:pt>
                </c:numCache>
              </c:numRef>
            </c:plus>
            <c:minus>
              <c:numRef>
                <c:f>Take2!$D$126:$D$127</c:f>
                <c:numCache>
                  <c:formatCode>General</c:formatCode>
                  <c:ptCount val="2"/>
                  <c:pt idx="0">
                    <c:v>2.3</c:v>
                  </c:pt>
                  <c:pt idx="1">
                    <c:v>2.3</c:v>
                  </c:pt>
                </c:numCache>
              </c:numRef>
            </c:minus>
          </c:errBars>
          <c:cat>
            <c:strRef>
              <c:f>Take2!$K$107:$L$107</c:f>
              <c:strCache>
                <c:ptCount val="2"/>
                <c:pt idx="0">
                  <c:v>Non-TBI</c:v>
                </c:pt>
                <c:pt idx="1">
                  <c:v>TBI</c:v>
                </c:pt>
              </c:strCache>
            </c:strRef>
          </c:cat>
          <c:val>
            <c:numRef>
              <c:f>Take2!$C$126:$C$127</c:f>
              <c:numCache>
                <c:formatCode>General</c:formatCode>
                <c:ptCount val="2"/>
                <c:pt idx="0">
                  <c:v>18.2</c:v>
                </c:pt>
                <c:pt idx="1">
                  <c:v>7.8</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Take2!$D$128:$D$129</c:f>
                <c:numCache>
                  <c:formatCode>General</c:formatCode>
                  <c:ptCount val="2"/>
                  <c:pt idx="0">
                    <c:v>2.2</c:v>
                  </c:pt>
                  <c:pt idx="1">
                    <c:v>2.1</c:v>
                  </c:pt>
                </c:numCache>
              </c:numRef>
            </c:plus>
            <c:minus>
              <c:numRef>
                <c:f>Take2!$D$128:$D$129</c:f>
                <c:numCache>
                  <c:formatCode>General</c:formatCode>
                  <c:ptCount val="2"/>
                  <c:pt idx="0">
                    <c:v>2.2</c:v>
                  </c:pt>
                  <c:pt idx="1">
                    <c:v>2.1</c:v>
                  </c:pt>
                </c:numCache>
              </c:numRef>
            </c:minus>
          </c:errBars>
          <c:cat>
            <c:strRef>
              <c:f>Take2!$K$107:$L$107</c:f>
              <c:strCache>
                <c:ptCount val="2"/>
                <c:pt idx="0">
                  <c:v>Non-TBI</c:v>
                </c:pt>
                <c:pt idx="1">
                  <c:v>TBI</c:v>
                </c:pt>
              </c:strCache>
            </c:strRef>
          </c:cat>
          <c:val>
            <c:numRef>
              <c:f>Take2!$C$128:$C$129</c:f>
              <c:numCache>
                <c:formatCode>General</c:formatCode>
                <c:ptCount val="2"/>
                <c:pt idx="0">
                  <c:v>8.3</c:v>
                </c:pt>
                <c:pt idx="1">
                  <c:v>12.8</c:v>
                </c:pt>
              </c:numCache>
            </c:numRef>
          </c:val>
        </c:ser>
        <c:dLbls>
          <c:showLegendKey val="0"/>
          <c:showVal val="0"/>
          <c:showCatName val="0"/>
          <c:showSerName val="0"/>
          <c:showPercent val="0"/>
          <c:showBubbleSize val="0"/>
        </c:dLbls>
        <c:gapWidth val="115"/>
        <c:axId val="66240176"/>
        <c:axId val="41317888"/>
      </c:barChart>
      <c:catAx>
        <c:axId val="66240176"/>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41317888"/>
        <c:crosses val="autoZero"/>
        <c:auto val="1"/>
        <c:lblAlgn val="ctr"/>
        <c:lblOffset val="100"/>
        <c:noMultiLvlLbl val="0"/>
      </c:catAx>
      <c:valAx>
        <c:axId val="41317888"/>
        <c:scaling>
          <c:orientation val="minMax"/>
        </c:scaling>
        <c:delete val="0"/>
        <c:axPos val="l"/>
        <c:majorGridlines/>
        <c:title>
          <c:tx>
            <c:rich>
              <a:bodyPr rot="-5400000" vert="horz"/>
              <a:lstStyle/>
              <a:p>
                <a:pPr>
                  <a:defRPr sz="800">
                    <a:latin typeface="Times"/>
                    <a:cs typeface="Times"/>
                  </a:defRPr>
                </a:pPr>
                <a:r>
                  <a:rPr lang="en-US" sz="800">
                    <a:latin typeface="Times"/>
                    <a:cs typeface="Times"/>
                  </a:rPr>
                  <a:t>False</a:t>
                </a:r>
                <a:r>
                  <a:rPr lang="en-US" sz="800" baseline="0">
                    <a:latin typeface="Times"/>
                    <a:cs typeface="Times"/>
                  </a:rPr>
                  <a:t> Alarms (%)</a:t>
                </a:r>
                <a:endParaRPr lang="en-US" sz="800">
                  <a:latin typeface="Times"/>
                  <a:cs typeface="Times"/>
                </a:endParaRPr>
              </a:p>
            </c:rich>
          </c:tx>
          <c:layout>
            <c:manualLayout>
              <c:xMode val="edge"/>
              <c:yMode val="edge"/>
              <c:x val="0.0194444444444444"/>
              <c:y val="0.30521289005541"/>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66240176"/>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88020833333333"/>
          <c:y val="0.0902777777777778"/>
          <c:w val="0.5609375"/>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Take2!$D$51:$D$52</c:f>
                <c:numCache>
                  <c:formatCode>General</c:formatCode>
                  <c:ptCount val="2"/>
                  <c:pt idx="0">
                    <c:v>4.0</c:v>
                  </c:pt>
                  <c:pt idx="1">
                    <c:v>4.1</c:v>
                  </c:pt>
                </c:numCache>
              </c:numRef>
            </c:plus>
            <c:minus>
              <c:numRef>
                <c:f>Take2!$D$51:$D$52</c:f>
                <c:numCache>
                  <c:formatCode>General</c:formatCode>
                  <c:ptCount val="2"/>
                  <c:pt idx="0">
                    <c:v>4.0</c:v>
                  </c:pt>
                  <c:pt idx="1">
                    <c:v>4.1</c:v>
                  </c:pt>
                </c:numCache>
              </c:numRef>
            </c:minus>
          </c:errBars>
          <c:cat>
            <c:strRef>
              <c:f>Take2!$O$40:$P$40</c:f>
              <c:strCache>
                <c:ptCount val="2"/>
                <c:pt idx="0">
                  <c:v>Non-TBI</c:v>
                </c:pt>
                <c:pt idx="1">
                  <c:v>TBI</c:v>
                </c:pt>
              </c:strCache>
            </c:strRef>
          </c:cat>
          <c:val>
            <c:numRef>
              <c:f>Take2!$C$51:$C$52</c:f>
              <c:numCache>
                <c:formatCode>General</c:formatCode>
                <c:ptCount val="2"/>
                <c:pt idx="0">
                  <c:v>65.7</c:v>
                </c:pt>
                <c:pt idx="1">
                  <c:v>61.8</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Take2!$D$53:$D$54</c:f>
                <c:numCache>
                  <c:formatCode>General</c:formatCode>
                  <c:ptCount val="2"/>
                  <c:pt idx="0">
                    <c:v>4.0</c:v>
                  </c:pt>
                  <c:pt idx="1">
                    <c:v>3.8</c:v>
                  </c:pt>
                </c:numCache>
              </c:numRef>
            </c:plus>
            <c:minus>
              <c:numRef>
                <c:f>Take2!$D$53:$D$54</c:f>
                <c:numCache>
                  <c:formatCode>General</c:formatCode>
                  <c:ptCount val="2"/>
                  <c:pt idx="0">
                    <c:v>4.0</c:v>
                  </c:pt>
                  <c:pt idx="1">
                    <c:v>3.8</c:v>
                  </c:pt>
                </c:numCache>
              </c:numRef>
            </c:minus>
          </c:errBars>
          <c:cat>
            <c:strRef>
              <c:f>Take2!$O$40:$P$40</c:f>
              <c:strCache>
                <c:ptCount val="2"/>
                <c:pt idx="0">
                  <c:v>Non-TBI</c:v>
                </c:pt>
                <c:pt idx="1">
                  <c:v>TBI</c:v>
                </c:pt>
              </c:strCache>
            </c:strRef>
          </c:cat>
          <c:val>
            <c:numRef>
              <c:f>Take2!$C$53:$C$54</c:f>
              <c:numCache>
                <c:formatCode>General</c:formatCode>
                <c:ptCount val="2"/>
                <c:pt idx="0">
                  <c:v>79.0</c:v>
                </c:pt>
                <c:pt idx="1">
                  <c:v>73.5</c:v>
                </c:pt>
              </c:numCache>
            </c:numRef>
          </c:val>
        </c:ser>
        <c:dLbls>
          <c:showLegendKey val="0"/>
          <c:showVal val="0"/>
          <c:showCatName val="0"/>
          <c:showSerName val="0"/>
          <c:showPercent val="0"/>
          <c:showBubbleSize val="0"/>
        </c:dLbls>
        <c:gapWidth val="115"/>
        <c:axId val="34363264"/>
        <c:axId val="77564336"/>
      </c:barChart>
      <c:catAx>
        <c:axId val="34363264"/>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77564336"/>
        <c:crosses val="autoZero"/>
        <c:auto val="1"/>
        <c:lblAlgn val="ctr"/>
        <c:lblOffset val="100"/>
        <c:noMultiLvlLbl val="0"/>
      </c:catAx>
      <c:valAx>
        <c:axId val="77564336"/>
        <c:scaling>
          <c:orientation val="minMax"/>
          <c:max val="95.0"/>
          <c:min val="35.0"/>
        </c:scaling>
        <c:delete val="0"/>
        <c:axPos val="l"/>
        <c:majorGridlines/>
        <c:title>
          <c:tx>
            <c:rich>
              <a:bodyPr rot="-5400000" vert="horz"/>
              <a:lstStyle/>
              <a:p>
                <a:pPr>
                  <a:defRPr sz="800"/>
                </a:pPr>
                <a:r>
                  <a:rPr lang="en-US" sz="800">
                    <a:latin typeface="Times"/>
                    <a:cs typeface="Times"/>
                  </a:rPr>
                  <a:t>Hit Rate (%)</a:t>
                </a:r>
              </a:p>
            </c:rich>
          </c:tx>
          <c:layout>
            <c:manualLayout>
              <c:xMode val="edge"/>
              <c:yMode val="edge"/>
              <c:x val="0.00625"/>
              <c:y val="0.306575349956255"/>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34363264"/>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72395833333333"/>
          <c:y val="0.0902777777777778"/>
          <c:w val="0.550520833333333"/>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Take2!$D$61:$D$62</c:f>
                <c:numCache>
                  <c:formatCode>General</c:formatCode>
                  <c:ptCount val="2"/>
                  <c:pt idx="0">
                    <c:v>3.5</c:v>
                  </c:pt>
                  <c:pt idx="1">
                    <c:v>3.6</c:v>
                  </c:pt>
                </c:numCache>
              </c:numRef>
            </c:plus>
            <c:minus>
              <c:numRef>
                <c:f>Take2!$D$61:$D$62</c:f>
                <c:numCache>
                  <c:formatCode>General</c:formatCode>
                  <c:ptCount val="2"/>
                  <c:pt idx="0">
                    <c:v>3.5</c:v>
                  </c:pt>
                  <c:pt idx="1">
                    <c:v>3.6</c:v>
                  </c:pt>
                </c:numCache>
              </c:numRef>
            </c:minus>
          </c:errBars>
          <c:cat>
            <c:strRef>
              <c:f>Take2!$O$40:$P$40</c:f>
              <c:strCache>
                <c:ptCount val="2"/>
                <c:pt idx="0">
                  <c:v>Non-TBI</c:v>
                </c:pt>
                <c:pt idx="1">
                  <c:v>TBI</c:v>
                </c:pt>
              </c:strCache>
            </c:strRef>
          </c:cat>
          <c:val>
            <c:numRef>
              <c:f>Take2!$C$61:$C$62</c:f>
              <c:numCache>
                <c:formatCode>General</c:formatCode>
                <c:ptCount val="2"/>
                <c:pt idx="0">
                  <c:v>75.3</c:v>
                </c:pt>
                <c:pt idx="1">
                  <c:v>76.7</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Take2!$D$63:$D$64</c:f>
                <c:numCache>
                  <c:formatCode>General</c:formatCode>
                  <c:ptCount val="2"/>
                  <c:pt idx="0">
                    <c:v>3.5</c:v>
                  </c:pt>
                  <c:pt idx="1">
                    <c:v>3.3</c:v>
                  </c:pt>
                </c:numCache>
              </c:numRef>
            </c:plus>
            <c:minus>
              <c:numRef>
                <c:f>Take2!$D$63:$D$64</c:f>
                <c:numCache>
                  <c:formatCode>General</c:formatCode>
                  <c:ptCount val="2"/>
                  <c:pt idx="0">
                    <c:v>3.5</c:v>
                  </c:pt>
                  <c:pt idx="1">
                    <c:v>3.3</c:v>
                  </c:pt>
                </c:numCache>
              </c:numRef>
            </c:minus>
          </c:errBars>
          <c:cat>
            <c:strRef>
              <c:f>Take2!$O$40:$P$40</c:f>
              <c:strCache>
                <c:ptCount val="2"/>
                <c:pt idx="0">
                  <c:v>Non-TBI</c:v>
                </c:pt>
                <c:pt idx="1">
                  <c:v>TBI</c:v>
                </c:pt>
              </c:strCache>
            </c:strRef>
          </c:cat>
          <c:val>
            <c:numRef>
              <c:f>Take2!$C$63:$C$64</c:f>
              <c:numCache>
                <c:formatCode>General</c:formatCode>
                <c:ptCount val="2"/>
                <c:pt idx="0">
                  <c:v>82.0</c:v>
                </c:pt>
                <c:pt idx="1">
                  <c:v>75.2</c:v>
                </c:pt>
              </c:numCache>
            </c:numRef>
          </c:val>
        </c:ser>
        <c:dLbls>
          <c:showLegendKey val="0"/>
          <c:showVal val="0"/>
          <c:showCatName val="0"/>
          <c:showSerName val="0"/>
          <c:showPercent val="0"/>
          <c:showBubbleSize val="0"/>
        </c:dLbls>
        <c:gapWidth val="115"/>
        <c:axId val="28835952"/>
        <c:axId val="28840128"/>
      </c:barChart>
      <c:catAx>
        <c:axId val="28835952"/>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28840128"/>
        <c:crosses val="autoZero"/>
        <c:auto val="1"/>
        <c:lblAlgn val="ctr"/>
        <c:lblOffset val="100"/>
        <c:noMultiLvlLbl val="0"/>
      </c:catAx>
      <c:valAx>
        <c:axId val="28840128"/>
        <c:scaling>
          <c:orientation val="minMax"/>
          <c:min val="35.0"/>
        </c:scaling>
        <c:delete val="0"/>
        <c:axPos val="l"/>
        <c:majorGridlines/>
        <c:title>
          <c:tx>
            <c:rich>
              <a:bodyPr rot="-5400000" vert="horz"/>
              <a:lstStyle/>
              <a:p>
                <a:pPr>
                  <a:defRPr sz="800">
                    <a:latin typeface="Times"/>
                    <a:cs typeface="Times"/>
                  </a:defRPr>
                </a:pPr>
                <a:r>
                  <a:rPr lang="en-US" sz="800">
                    <a:latin typeface="Times"/>
                    <a:cs typeface="Times"/>
                  </a:rPr>
                  <a:t>Hit</a:t>
                </a:r>
                <a:r>
                  <a:rPr lang="en-US" sz="800" baseline="0">
                    <a:latin typeface="Times"/>
                    <a:cs typeface="Times"/>
                  </a:rPr>
                  <a:t> Rate (%)</a:t>
                </a:r>
                <a:endParaRPr lang="en-US" sz="800">
                  <a:latin typeface="Times"/>
                  <a:cs typeface="Times"/>
                </a:endParaRPr>
              </a:p>
            </c:rich>
          </c:tx>
          <c:layout>
            <c:manualLayout>
              <c:xMode val="edge"/>
              <c:yMode val="edge"/>
              <c:x val="0.0"/>
              <c:y val="0.310990266841645"/>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28835952"/>
        <c:crosses val="autoZero"/>
        <c:crossBetween val="between"/>
      </c:valAx>
    </c:plotArea>
    <c:legend>
      <c:legendPos val="r"/>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234010826771654"/>
          <c:y val="0.0902777777777778"/>
          <c:w val="0.56182250656168"/>
          <c:h val="0.766666666666667"/>
        </c:manualLayout>
      </c:layout>
      <c:barChart>
        <c:barDir val="col"/>
        <c:grouping val="clustered"/>
        <c:varyColors val="0"/>
        <c:ser>
          <c:idx val="1"/>
          <c:order val="1"/>
          <c:tx>
            <c:v>Wake</c:v>
          </c:tx>
          <c:spPr>
            <a:solidFill>
              <a:schemeClr val="bg1">
                <a:lumMod val="85000"/>
              </a:schemeClr>
            </a:solidFill>
            <a:ln>
              <a:solidFill>
                <a:schemeClr val="tx1">
                  <a:lumMod val="75000"/>
                  <a:lumOff val="25000"/>
                </a:schemeClr>
              </a:solidFill>
            </a:ln>
            <a:effectLst/>
          </c:spPr>
          <c:invertIfNegative val="0"/>
          <c:errBars>
            <c:errBarType val="both"/>
            <c:errValType val="cust"/>
            <c:noEndCap val="0"/>
            <c:plus>
              <c:numRef>
                <c:f>Take2!$D$5:$D$6</c:f>
                <c:numCache>
                  <c:formatCode>General</c:formatCode>
                  <c:ptCount val="2"/>
                  <c:pt idx="0">
                    <c:v>0.06</c:v>
                  </c:pt>
                  <c:pt idx="1">
                    <c:v>0.062</c:v>
                  </c:pt>
                </c:numCache>
              </c:numRef>
            </c:plus>
            <c:minus>
              <c:numRef>
                <c:f>Take2!$D$5:$D$6</c:f>
                <c:numCache>
                  <c:formatCode>General</c:formatCode>
                  <c:ptCount val="2"/>
                  <c:pt idx="0">
                    <c:v>0.06</c:v>
                  </c:pt>
                  <c:pt idx="1">
                    <c:v>0.062</c:v>
                  </c:pt>
                </c:numCache>
              </c:numRef>
            </c:minus>
          </c:errBars>
          <c:cat>
            <c:strRef>
              <c:f>Take2!$K$1:$L$1</c:f>
              <c:strCache>
                <c:ptCount val="2"/>
                <c:pt idx="0">
                  <c:v>Non-TBI</c:v>
                </c:pt>
                <c:pt idx="1">
                  <c:v>TBI</c:v>
                </c:pt>
              </c:strCache>
            </c:strRef>
          </c:cat>
          <c:val>
            <c:numRef>
              <c:f>Take2!$C$5:$C$6</c:f>
              <c:numCache>
                <c:formatCode>General</c:formatCode>
                <c:ptCount val="2"/>
                <c:pt idx="0">
                  <c:v>-0.158</c:v>
                </c:pt>
                <c:pt idx="1">
                  <c:v>-0.102</c:v>
                </c:pt>
              </c:numCache>
            </c:numRef>
          </c:val>
        </c:ser>
        <c:ser>
          <c:idx val="0"/>
          <c:order val="0"/>
          <c:tx>
            <c:v>Sleep</c:v>
          </c:tx>
          <c:spPr>
            <a:solidFill>
              <a:schemeClr val="tx1">
                <a:lumMod val="75000"/>
                <a:lumOff val="25000"/>
              </a:schemeClr>
            </a:solidFill>
            <a:ln>
              <a:solidFill>
                <a:schemeClr val="tx1">
                  <a:lumMod val="75000"/>
                  <a:lumOff val="25000"/>
                </a:schemeClr>
              </a:solidFill>
            </a:ln>
            <a:effectLst/>
          </c:spPr>
          <c:invertIfNegative val="0"/>
          <c:errBars>
            <c:errBarType val="both"/>
            <c:errValType val="cust"/>
            <c:noEndCap val="0"/>
            <c:plus>
              <c:numRef>
                <c:f>Take2!$D$7:$D$8</c:f>
                <c:numCache>
                  <c:formatCode>General</c:formatCode>
                  <c:ptCount val="2"/>
                  <c:pt idx="0">
                    <c:v>0.058</c:v>
                  </c:pt>
                  <c:pt idx="1">
                    <c:v>0.056</c:v>
                  </c:pt>
                </c:numCache>
              </c:numRef>
            </c:plus>
            <c:minus>
              <c:numRef>
                <c:f>Take2!$D$7:$D$8</c:f>
                <c:numCache>
                  <c:formatCode>General</c:formatCode>
                  <c:ptCount val="2"/>
                  <c:pt idx="0">
                    <c:v>0.058</c:v>
                  </c:pt>
                  <c:pt idx="1">
                    <c:v>0.056</c:v>
                  </c:pt>
                </c:numCache>
              </c:numRef>
            </c:minus>
          </c:errBars>
          <c:cat>
            <c:strRef>
              <c:f>Take2!$K$1:$L$1</c:f>
              <c:strCache>
                <c:ptCount val="2"/>
                <c:pt idx="0">
                  <c:v>Non-TBI</c:v>
                </c:pt>
                <c:pt idx="1">
                  <c:v>TBI</c:v>
                </c:pt>
              </c:strCache>
            </c:strRef>
          </c:cat>
          <c:val>
            <c:numRef>
              <c:f>Take2!$C$7:$C$8</c:f>
              <c:numCache>
                <c:formatCode>General</c:formatCode>
                <c:ptCount val="2"/>
                <c:pt idx="0">
                  <c:v>-0.168</c:v>
                </c:pt>
                <c:pt idx="1">
                  <c:v>-0.145</c:v>
                </c:pt>
              </c:numCache>
            </c:numRef>
          </c:val>
        </c:ser>
        <c:dLbls>
          <c:showLegendKey val="0"/>
          <c:showVal val="0"/>
          <c:showCatName val="0"/>
          <c:showSerName val="0"/>
          <c:showPercent val="0"/>
          <c:showBubbleSize val="0"/>
        </c:dLbls>
        <c:gapWidth val="150"/>
        <c:axId val="41632416"/>
        <c:axId val="33574192"/>
      </c:barChart>
      <c:catAx>
        <c:axId val="41632416"/>
        <c:scaling>
          <c:orientation val="minMax"/>
        </c:scaling>
        <c:delete val="0"/>
        <c:axPos val="b"/>
        <c:numFmt formatCode="General" sourceLinked="0"/>
        <c:majorTickMark val="out"/>
        <c:minorTickMark val="none"/>
        <c:tickLblPos val="low"/>
        <c:txPr>
          <a:bodyPr/>
          <a:lstStyle/>
          <a:p>
            <a:pPr>
              <a:defRPr sz="800" b="1">
                <a:latin typeface="Times"/>
                <a:cs typeface="Times"/>
              </a:defRPr>
            </a:pPr>
            <a:endParaRPr lang="en-US"/>
          </a:p>
        </c:txPr>
        <c:crossAx val="33574192"/>
        <c:crosses val="autoZero"/>
        <c:auto val="1"/>
        <c:lblAlgn val="ctr"/>
        <c:lblOffset val="100"/>
        <c:noMultiLvlLbl val="0"/>
      </c:catAx>
      <c:valAx>
        <c:axId val="33574192"/>
        <c:scaling>
          <c:orientation val="minMax"/>
          <c:min val="-1.0"/>
        </c:scaling>
        <c:delete val="0"/>
        <c:axPos val="l"/>
        <c:majorGridlines/>
        <c:title>
          <c:tx>
            <c:rich>
              <a:bodyPr rot="-5400000" vert="horz"/>
              <a:lstStyle/>
              <a:p>
                <a:pPr>
                  <a:defRPr sz="800">
                    <a:latin typeface="Times"/>
                    <a:cs typeface="Times"/>
                  </a:defRPr>
                </a:pPr>
                <a:r>
                  <a:rPr lang="en-US" sz="800" b="1" i="0" u="none" strike="noStrike" baseline="0">
                    <a:effectLst/>
                  </a:rPr>
                  <a:t>ΔValence </a:t>
                </a:r>
                <a:endParaRPr lang="en-US" sz="800">
                  <a:latin typeface="Times"/>
                  <a:cs typeface="Times"/>
                </a:endParaRPr>
              </a:p>
            </c:rich>
          </c:tx>
          <c:layout>
            <c:manualLayout>
              <c:xMode val="edge"/>
              <c:yMode val="edge"/>
              <c:x val="0.0194444444444444"/>
              <c:y val="0.363425925925926"/>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41632416"/>
        <c:crosses val="autoZero"/>
        <c:crossBetween val="between"/>
      </c:valAx>
    </c:plotArea>
    <c:legend>
      <c:legendPos val="r"/>
      <c:layout>
        <c:manualLayout>
          <c:xMode val="edge"/>
          <c:yMode val="edge"/>
          <c:x val="0.795833333333333"/>
          <c:y val="0.375555555555555"/>
          <c:w val="0.183333333333333"/>
          <c:h val="0.221111111111111"/>
        </c:manualLayout>
      </c:layout>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20625"/>
          <c:y val="0.0902777777777778"/>
          <c:w val="0.610416666666667"/>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Take2!$D$17:$D$18</c:f>
                <c:numCache>
                  <c:formatCode>General</c:formatCode>
                  <c:ptCount val="2"/>
                  <c:pt idx="0">
                    <c:v>0.122</c:v>
                  </c:pt>
                  <c:pt idx="1">
                    <c:v>0.124</c:v>
                  </c:pt>
                </c:numCache>
              </c:numRef>
            </c:plus>
            <c:minus>
              <c:numRef>
                <c:f>Take2!$D$17:$D$18</c:f>
                <c:numCache>
                  <c:formatCode>General</c:formatCode>
                  <c:ptCount val="2"/>
                  <c:pt idx="0">
                    <c:v>0.122</c:v>
                  </c:pt>
                  <c:pt idx="1">
                    <c:v>0.124</c:v>
                  </c:pt>
                </c:numCache>
              </c:numRef>
            </c:minus>
          </c:errBars>
          <c:cat>
            <c:strRef>
              <c:f>Take2!$K$1:$L$1</c:f>
              <c:strCache>
                <c:ptCount val="2"/>
                <c:pt idx="0">
                  <c:v>Non-TBI</c:v>
                </c:pt>
                <c:pt idx="1">
                  <c:v>TBI</c:v>
                </c:pt>
              </c:strCache>
            </c:strRef>
          </c:cat>
          <c:val>
            <c:numRef>
              <c:f>Take2!$C$17:$C$18</c:f>
              <c:numCache>
                <c:formatCode>General</c:formatCode>
                <c:ptCount val="2"/>
                <c:pt idx="0">
                  <c:v>0.769</c:v>
                </c:pt>
                <c:pt idx="1">
                  <c:v>0.221</c:v>
                </c:pt>
              </c:numCache>
            </c:numRef>
          </c:val>
        </c:ser>
        <c:ser>
          <c:idx val="0"/>
          <c:order val="0"/>
          <c:tx>
            <c:v>Sleep</c:v>
          </c:tx>
          <c:spPr>
            <a:solidFill>
              <a:schemeClr val="tx1">
                <a:lumMod val="75000"/>
                <a:lumOff val="25000"/>
              </a:schemeClr>
            </a:solidFill>
            <a:ln>
              <a:solidFill>
                <a:srgbClr val="404040"/>
              </a:solidFill>
            </a:ln>
            <a:effectLst/>
          </c:spPr>
          <c:invertIfNegative val="0"/>
          <c:errBars>
            <c:errBarType val="both"/>
            <c:errValType val="cust"/>
            <c:noEndCap val="0"/>
            <c:plus>
              <c:numRef>
                <c:f>Take2!$D$19:$D$20</c:f>
                <c:numCache>
                  <c:formatCode>General</c:formatCode>
                  <c:ptCount val="2"/>
                  <c:pt idx="0">
                    <c:v>0.116</c:v>
                  </c:pt>
                  <c:pt idx="1">
                    <c:v>0.112</c:v>
                  </c:pt>
                </c:numCache>
              </c:numRef>
            </c:plus>
            <c:minus>
              <c:numRef>
                <c:f>Take2!$D$19:$D$20</c:f>
                <c:numCache>
                  <c:formatCode>General</c:formatCode>
                  <c:ptCount val="2"/>
                  <c:pt idx="0">
                    <c:v>0.116</c:v>
                  </c:pt>
                  <c:pt idx="1">
                    <c:v>0.112</c:v>
                  </c:pt>
                </c:numCache>
              </c:numRef>
            </c:minus>
          </c:errBars>
          <c:cat>
            <c:strRef>
              <c:f>Take2!$K$1:$L$1</c:f>
              <c:strCache>
                <c:ptCount val="2"/>
                <c:pt idx="0">
                  <c:v>Non-TBI</c:v>
                </c:pt>
                <c:pt idx="1">
                  <c:v>TBI</c:v>
                </c:pt>
              </c:strCache>
            </c:strRef>
          </c:cat>
          <c:val>
            <c:numRef>
              <c:f>Take2!$C$19:$C$20</c:f>
              <c:numCache>
                <c:formatCode>General</c:formatCode>
                <c:ptCount val="2"/>
                <c:pt idx="0">
                  <c:v>0.362</c:v>
                </c:pt>
                <c:pt idx="1">
                  <c:v>0.289</c:v>
                </c:pt>
              </c:numCache>
            </c:numRef>
          </c:val>
        </c:ser>
        <c:dLbls>
          <c:showLegendKey val="0"/>
          <c:showVal val="0"/>
          <c:showCatName val="0"/>
          <c:showSerName val="0"/>
          <c:showPercent val="0"/>
          <c:showBubbleSize val="0"/>
        </c:dLbls>
        <c:gapWidth val="150"/>
        <c:axId val="41914624"/>
        <c:axId val="41651424"/>
      </c:barChart>
      <c:catAx>
        <c:axId val="41914624"/>
        <c:scaling>
          <c:orientation val="minMax"/>
        </c:scaling>
        <c:delete val="0"/>
        <c:axPos val="b"/>
        <c:numFmt formatCode="General" sourceLinked="0"/>
        <c:majorTickMark val="out"/>
        <c:minorTickMark val="none"/>
        <c:tickLblPos val="nextTo"/>
        <c:txPr>
          <a:bodyPr/>
          <a:lstStyle/>
          <a:p>
            <a:pPr>
              <a:defRPr sz="800" b="1">
                <a:latin typeface="Times"/>
                <a:cs typeface="Times"/>
              </a:defRPr>
            </a:pPr>
            <a:endParaRPr lang="en-US"/>
          </a:p>
        </c:txPr>
        <c:crossAx val="41651424"/>
        <c:crosses val="autoZero"/>
        <c:auto val="1"/>
        <c:lblAlgn val="ctr"/>
        <c:lblOffset val="100"/>
        <c:noMultiLvlLbl val="0"/>
      </c:catAx>
      <c:valAx>
        <c:axId val="41651424"/>
        <c:scaling>
          <c:orientation val="minMax"/>
        </c:scaling>
        <c:delete val="0"/>
        <c:axPos val="l"/>
        <c:majorGridlines/>
        <c:title>
          <c:tx>
            <c:rich>
              <a:bodyPr rot="-5400000" vert="horz"/>
              <a:lstStyle/>
              <a:p>
                <a:pPr>
                  <a:defRPr sz="800">
                    <a:latin typeface="Times"/>
                    <a:cs typeface="Times"/>
                  </a:defRPr>
                </a:pPr>
                <a:r>
                  <a:rPr lang="en-US" sz="800" b="1" i="0" u="none" strike="noStrike" baseline="0">
                    <a:effectLst/>
                  </a:rPr>
                  <a:t>ΔValence </a:t>
                </a:r>
                <a:endParaRPr lang="en-US" sz="800">
                  <a:latin typeface="Times"/>
                  <a:cs typeface="Times"/>
                </a:endParaRPr>
              </a:p>
            </c:rich>
          </c:tx>
          <c:layout>
            <c:manualLayout>
              <c:xMode val="edge"/>
              <c:yMode val="edge"/>
              <c:x val="0.0194443077427821"/>
              <c:y val="0.365740923009624"/>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41914624"/>
        <c:crosses val="autoZero"/>
        <c:crossBetween val="between"/>
      </c:valAx>
    </c:plotArea>
    <c:legend>
      <c:legendPos val="r"/>
      <c:layout>
        <c:manualLayout>
          <c:xMode val="edge"/>
          <c:yMode val="edge"/>
          <c:x val="0.811458333333333"/>
          <c:y val="0.375555555555555"/>
          <c:w val="0.183333333333333"/>
          <c:h val="0.221111111111111"/>
        </c:manualLayout>
      </c:layout>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234010826771654"/>
          <c:y val="0.0902777777777778"/>
          <c:w val="0.56182250656168"/>
          <c:h val="0.766666666666667"/>
        </c:manualLayout>
      </c:layout>
      <c:barChart>
        <c:barDir val="col"/>
        <c:grouping val="clustered"/>
        <c:varyColors val="0"/>
        <c:ser>
          <c:idx val="1"/>
          <c:order val="1"/>
          <c:tx>
            <c:v>Wake</c:v>
          </c:tx>
          <c:spPr>
            <a:solidFill>
              <a:srgbClr val="D9D9D9"/>
            </a:solidFill>
            <a:ln>
              <a:solidFill>
                <a:srgbClr val="404040"/>
              </a:solidFill>
            </a:ln>
            <a:effectLst/>
          </c:spPr>
          <c:invertIfNegative val="0"/>
          <c:errBars>
            <c:errBarType val="both"/>
            <c:errValType val="cust"/>
            <c:noEndCap val="0"/>
            <c:plus>
              <c:numRef>
                <c:f>Take2!$D$29:$D$30</c:f>
                <c:numCache>
                  <c:formatCode>General</c:formatCode>
                  <c:ptCount val="2"/>
                  <c:pt idx="0">
                    <c:v>0.274</c:v>
                  </c:pt>
                  <c:pt idx="1">
                    <c:v>0.282</c:v>
                  </c:pt>
                </c:numCache>
              </c:numRef>
            </c:plus>
            <c:minus>
              <c:numRef>
                <c:f>Take2!$D$29:$D$30</c:f>
                <c:numCache>
                  <c:formatCode>General</c:formatCode>
                  <c:ptCount val="2"/>
                  <c:pt idx="0">
                    <c:v>0.274</c:v>
                  </c:pt>
                  <c:pt idx="1">
                    <c:v>0.282</c:v>
                  </c:pt>
                </c:numCache>
              </c:numRef>
            </c:minus>
          </c:errBars>
          <c:cat>
            <c:strRef>
              <c:f>Take2!$K$1:$L$1</c:f>
              <c:strCache>
                <c:ptCount val="2"/>
                <c:pt idx="0">
                  <c:v>Non-TBI</c:v>
                </c:pt>
                <c:pt idx="1">
                  <c:v>TBI</c:v>
                </c:pt>
              </c:strCache>
            </c:strRef>
          </c:cat>
          <c:val>
            <c:numRef>
              <c:f>Take2!$C$29:$C$30</c:f>
              <c:numCache>
                <c:formatCode>General</c:formatCode>
                <c:ptCount val="2"/>
                <c:pt idx="0">
                  <c:v>-0.344</c:v>
                </c:pt>
                <c:pt idx="1">
                  <c:v>0.449</c:v>
                </c:pt>
              </c:numCache>
            </c:numRef>
          </c:val>
        </c:ser>
        <c:ser>
          <c:idx val="0"/>
          <c:order val="0"/>
          <c:tx>
            <c:v>Sleep</c:v>
          </c:tx>
          <c:spPr>
            <a:solidFill>
              <a:srgbClr val="404040"/>
            </a:solidFill>
            <a:ln>
              <a:solidFill>
                <a:srgbClr val="404040"/>
              </a:solidFill>
            </a:ln>
            <a:effectLst/>
          </c:spPr>
          <c:invertIfNegative val="0"/>
          <c:errBars>
            <c:errBarType val="both"/>
            <c:errValType val="cust"/>
            <c:noEndCap val="0"/>
            <c:plus>
              <c:numRef>
                <c:f>Take2!$D$31:$D$32</c:f>
                <c:numCache>
                  <c:formatCode>General</c:formatCode>
                  <c:ptCount val="2"/>
                  <c:pt idx="0">
                    <c:v>0.26</c:v>
                  </c:pt>
                  <c:pt idx="1">
                    <c:v>0.258</c:v>
                  </c:pt>
                </c:numCache>
              </c:numRef>
            </c:plus>
            <c:minus>
              <c:numRef>
                <c:f>Take2!$D$31:$D$32</c:f>
                <c:numCache>
                  <c:formatCode>General</c:formatCode>
                  <c:ptCount val="2"/>
                  <c:pt idx="0">
                    <c:v>0.26</c:v>
                  </c:pt>
                  <c:pt idx="1">
                    <c:v>0.258</c:v>
                  </c:pt>
                </c:numCache>
              </c:numRef>
            </c:minus>
          </c:errBars>
          <c:cat>
            <c:strRef>
              <c:f>Take2!$K$1:$L$1</c:f>
              <c:strCache>
                <c:ptCount val="2"/>
                <c:pt idx="0">
                  <c:v>Non-TBI</c:v>
                </c:pt>
                <c:pt idx="1">
                  <c:v>TBI</c:v>
                </c:pt>
              </c:strCache>
            </c:strRef>
          </c:cat>
          <c:val>
            <c:numRef>
              <c:f>Take2!$C$31:$C$32</c:f>
              <c:numCache>
                <c:formatCode>General</c:formatCode>
                <c:ptCount val="2"/>
                <c:pt idx="0">
                  <c:v>-0.345</c:v>
                </c:pt>
                <c:pt idx="1">
                  <c:v>0.437</c:v>
                </c:pt>
              </c:numCache>
            </c:numRef>
          </c:val>
        </c:ser>
        <c:dLbls>
          <c:showLegendKey val="0"/>
          <c:showVal val="0"/>
          <c:showCatName val="0"/>
          <c:showSerName val="0"/>
          <c:showPercent val="0"/>
          <c:showBubbleSize val="0"/>
        </c:dLbls>
        <c:gapWidth val="150"/>
        <c:axId val="100965536"/>
        <c:axId val="101008000"/>
      </c:barChart>
      <c:catAx>
        <c:axId val="100965536"/>
        <c:scaling>
          <c:orientation val="minMax"/>
        </c:scaling>
        <c:delete val="0"/>
        <c:axPos val="b"/>
        <c:numFmt formatCode="General" sourceLinked="0"/>
        <c:majorTickMark val="out"/>
        <c:minorTickMark val="none"/>
        <c:tickLblPos val="low"/>
        <c:txPr>
          <a:bodyPr/>
          <a:lstStyle/>
          <a:p>
            <a:pPr>
              <a:defRPr sz="800" b="1">
                <a:latin typeface="Times"/>
                <a:cs typeface="Times"/>
              </a:defRPr>
            </a:pPr>
            <a:endParaRPr lang="en-US"/>
          </a:p>
        </c:txPr>
        <c:crossAx val="101008000"/>
        <c:crosses val="autoZero"/>
        <c:auto val="1"/>
        <c:lblAlgn val="ctr"/>
        <c:lblOffset val="100"/>
        <c:noMultiLvlLbl val="0"/>
      </c:catAx>
      <c:valAx>
        <c:axId val="101008000"/>
        <c:scaling>
          <c:orientation val="minMax"/>
        </c:scaling>
        <c:delete val="0"/>
        <c:axPos val="l"/>
        <c:majorGridlines/>
        <c:title>
          <c:tx>
            <c:rich>
              <a:bodyPr rot="-5400000" vert="horz"/>
              <a:lstStyle/>
              <a:p>
                <a:pPr>
                  <a:defRPr sz="800">
                    <a:latin typeface="Times"/>
                    <a:cs typeface="Times"/>
                  </a:defRPr>
                </a:pPr>
                <a:r>
                  <a:rPr lang="en-US" sz="800" b="1" i="0" u="none" strike="noStrike" baseline="0">
                    <a:effectLst/>
                  </a:rPr>
                  <a:t>ΔArousal </a:t>
                </a:r>
                <a:endParaRPr lang="en-US" sz="800">
                  <a:latin typeface="Times"/>
                  <a:cs typeface="Times"/>
                </a:endParaRPr>
              </a:p>
            </c:rich>
          </c:tx>
          <c:layout>
            <c:manualLayout>
              <c:xMode val="edge"/>
              <c:yMode val="edge"/>
              <c:x val="0.0194444444444444"/>
              <c:y val="0.368055555555556"/>
            </c:manualLayout>
          </c:layout>
          <c:overlay val="0"/>
        </c:title>
        <c:numFmt formatCode="General" sourceLinked="1"/>
        <c:majorTickMark val="out"/>
        <c:minorTickMark val="none"/>
        <c:tickLblPos val="nextTo"/>
        <c:txPr>
          <a:bodyPr/>
          <a:lstStyle/>
          <a:p>
            <a:pPr>
              <a:defRPr b="1">
                <a:latin typeface="Times"/>
                <a:cs typeface="Times"/>
              </a:defRPr>
            </a:pPr>
            <a:endParaRPr lang="en-US"/>
          </a:p>
        </c:txPr>
        <c:crossAx val="100965536"/>
        <c:crosses val="autoZero"/>
        <c:crossBetween val="between"/>
      </c:valAx>
    </c:plotArea>
    <c:legend>
      <c:legendPos val="r"/>
      <c:layout>
        <c:manualLayout>
          <c:xMode val="edge"/>
          <c:yMode val="edge"/>
          <c:x val="0.795833333333333"/>
          <c:y val="0.361666666666667"/>
          <c:w val="0.183333333333333"/>
          <c:h val="0.221111111111111"/>
        </c:manualLayout>
      </c:layout>
      <c:overlay val="0"/>
      <c:txPr>
        <a:bodyPr/>
        <a:lstStyle/>
        <a:p>
          <a:pPr>
            <a:defRPr sz="800" b="1">
              <a:latin typeface="Times"/>
              <a:cs typeface="Times"/>
            </a:defRPr>
          </a:pPr>
          <a:endParaRPr lang="en-US"/>
        </a:p>
      </c:txPr>
    </c:legend>
    <c:plotVisOnly val="1"/>
    <c:dispBlanksAs val="gap"/>
    <c:showDLblsOverMax val="0"/>
  </c:chart>
  <c:spPr>
    <a:ln>
      <a:noFill/>
    </a:ln>
  </c:sp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cdr:y>
    </cdr:from>
    <cdr:to>
      <cdr:x>0.14063</cdr:x>
      <cdr:y>0.1875</cdr:y>
    </cdr:to>
    <cdr:sp macro="" textlink="">
      <cdr:nvSpPr>
        <cdr:cNvPr id="2" name="Text Box 35"/>
        <cdr:cNvSpPr txBox="1"/>
      </cdr:nvSpPr>
      <cdr:spPr>
        <a:xfrm xmlns:a="http://schemas.openxmlformats.org/drawingml/2006/main">
          <a:off x="0" y="0"/>
          <a:ext cx="342900" cy="34290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C572A759-6A51-4108-AA02-DFA0A04FC94B}">
            <ma14:wrappingTextBoxFlag xmlns:ma14="http://schemas.microsoft.com/office/mac/drawingml/2011/main"/>
          </a:ext>
        </a:extLst>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1300" b="1">
              <a:latin typeface="Times"/>
              <a:cs typeface="Times"/>
            </a:rPr>
            <a:t>A</a:t>
          </a:r>
        </a:p>
      </cdr:txBody>
    </cdr:sp>
  </cdr:relSizeAnchor>
</c:userShapes>
</file>

<file path=word/drawings/drawing2.xml><?xml version="1.0" encoding="utf-8"?>
<c:userShapes xmlns:c="http://schemas.openxmlformats.org/drawingml/2006/chart">
  <cdr:relSizeAnchor xmlns:cdr="http://schemas.openxmlformats.org/drawingml/2006/chartDrawing">
    <cdr:from>
      <cdr:x>0.90625</cdr:x>
      <cdr:y>0.75</cdr:y>
    </cdr:from>
    <cdr:to>
      <cdr:x>1</cdr:x>
      <cdr:y>0.90278</cdr:y>
    </cdr:to>
    <cdr:sp macro="" textlink="">
      <cdr:nvSpPr>
        <cdr:cNvPr id="3" name="Text Box 1"/>
        <cdr:cNvSpPr txBox="1"/>
      </cdr:nvSpPr>
      <cdr:spPr>
        <a:xfrm xmlns:a="http://schemas.openxmlformats.org/drawingml/2006/main">
          <a:off x="2209800" y="1371600"/>
          <a:ext cx="228600" cy="279400"/>
        </a:xfrm>
        <a:prstGeom xmlns:a="http://schemas.openxmlformats.org/drawingml/2006/main" prst="rect">
          <a:avLst/>
        </a:prstGeom>
      </cdr:spPr>
    </cdr:sp>
  </cdr:relSizeAnchor>
  <cdr:relSizeAnchor xmlns:cdr="http://schemas.openxmlformats.org/drawingml/2006/chartDrawing">
    <cdr:from>
      <cdr:x>0.90625</cdr:x>
      <cdr:y>0.77778</cdr:y>
    </cdr:from>
    <cdr:to>
      <cdr:x>1</cdr:x>
      <cdr:y>0.90278</cdr:y>
    </cdr:to>
    <cdr:sp macro="" textlink="">
      <cdr:nvSpPr>
        <cdr:cNvPr id="4" name="Text Box 1"/>
        <cdr:cNvSpPr txBox="1"/>
      </cdr:nvSpPr>
      <cdr:spPr>
        <a:xfrm xmlns:a="http://schemas.openxmlformats.org/drawingml/2006/main">
          <a:off x="2222500" y="1422400"/>
          <a:ext cx="228600" cy="228600"/>
        </a:xfrm>
        <a:prstGeom xmlns:a="http://schemas.openxmlformats.org/drawingml/2006/main" prst="rect">
          <a:avLst/>
        </a:prstGeom>
      </cdr:spPr>
    </cdr:sp>
  </cdr:relSizeAnchor>
  <cdr:relSizeAnchor xmlns:cdr="http://schemas.openxmlformats.org/drawingml/2006/chartDrawing">
    <cdr:from>
      <cdr:x>0.90625</cdr:x>
      <cdr:y>0.77778</cdr:y>
    </cdr:from>
    <cdr:to>
      <cdr:x>1</cdr:x>
      <cdr:y>0.90278</cdr:y>
    </cdr:to>
    <cdr:sp macro="" textlink="">
      <cdr:nvSpPr>
        <cdr:cNvPr id="5" name="Text Box 1"/>
        <cdr:cNvSpPr txBox="1"/>
      </cdr:nvSpPr>
      <cdr:spPr>
        <a:xfrm xmlns:a="http://schemas.openxmlformats.org/drawingml/2006/main">
          <a:off x="2222500" y="1422400"/>
          <a:ext cx="228600" cy="228600"/>
        </a:xfrm>
        <a:prstGeom xmlns:a="http://schemas.openxmlformats.org/drawingml/2006/main" prst="rect">
          <a:avLst/>
        </a:prstGeom>
      </cdr:spPr>
    </cdr:sp>
  </cdr:relSizeAnchor>
  <cdr:relSizeAnchor xmlns:cdr="http://schemas.openxmlformats.org/drawingml/2006/chartDrawing">
    <cdr:from>
      <cdr:x>0.90625</cdr:x>
      <cdr:y>0.77778</cdr:y>
    </cdr:from>
    <cdr:to>
      <cdr:x>1</cdr:x>
      <cdr:y>0.90278</cdr:y>
    </cdr:to>
    <cdr:sp macro="" textlink="">
      <cdr:nvSpPr>
        <cdr:cNvPr id="6" name="Text Box 1"/>
        <cdr:cNvSpPr txBox="1"/>
      </cdr:nvSpPr>
      <cdr:spPr>
        <a:xfrm xmlns:a="http://schemas.openxmlformats.org/drawingml/2006/main">
          <a:off x="2222500" y="1422400"/>
          <a:ext cx="228600" cy="228600"/>
        </a:xfrm>
        <a:prstGeom xmlns:a="http://schemas.openxmlformats.org/drawingml/2006/main" prst="rect">
          <a:avLst/>
        </a:prstGeom>
      </cdr:spPr>
    </cdr:sp>
  </cdr:relSizeAnchor>
  <cdr:relSizeAnchor xmlns:cdr="http://schemas.openxmlformats.org/drawingml/2006/chartDrawing">
    <cdr:from>
      <cdr:x>0</cdr:x>
      <cdr:y>0</cdr:y>
    </cdr:from>
    <cdr:to>
      <cdr:x>0.14063</cdr:x>
      <cdr:y>0.1875</cdr:y>
    </cdr:to>
    <cdr:sp macro="" textlink="">
      <cdr:nvSpPr>
        <cdr:cNvPr id="7" name="Text Box 35"/>
        <cdr:cNvSpPr txBox="1"/>
      </cdr:nvSpPr>
      <cdr:spPr>
        <a:xfrm xmlns:a="http://schemas.openxmlformats.org/drawingml/2006/main">
          <a:off x="0" y="0"/>
          <a:ext cx="342900" cy="34290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C572A759-6A51-4108-AA02-DFA0A04FC94B}">
            <ma14:wrappingTextBoxFlag xmlns:ma14="http://schemas.microsoft.com/office/mac/drawingml/2011/main"/>
          </a:ext>
        </a:extLst>
      </cdr:spPr>
      <cdr:style>
        <a:lnRef xmlns:a="http://schemas.openxmlformats.org/drawingml/2006/main" idx="0">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r>
            <a:rPr lang="en-US" sz="1300" b="1">
              <a:latin typeface="Times"/>
              <a:cs typeface="Times"/>
            </a:rPr>
            <a:t>B</a:t>
          </a:r>
        </a:p>
      </cdr:txBody>
    </cdr:sp>
  </cdr:relSizeAnchor>
</c:userShapes>
</file>

<file path=word/drawings/drawing3.xml><?xml version="1.0" encoding="utf-8"?>
<c:userShapes xmlns:c="http://schemas.openxmlformats.org/drawingml/2006/chart">
  <cdr:relSizeAnchor xmlns:cdr="http://schemas.openxmlformats.org/drawingml/2006/chartDrawing">
    <cdr:from>
      <cdr:x>0.90625</cdr:x>
      <cdr:y>0.77778</cdr:y>
    </cdr:from>
    <cdr:to>
      <cdr:x>1</cdr:x>
      <cdr:y>0.90278</cdr:y>
    </cdr:to>
    <cdr:sp macro="" textlink="">
      <cdr:nvSpPr>
        <cdr:cNvPr id="2" name="Text Box 1"/>
        <cdr:cNvSpPr txBox="1"/>
      </cdr:nvSpPr>
      <cdr:spPr>
        <a:xfrm xmlns:a="http://schemas.openxmlformats.org/drawingml/2006/main">
          <a:off x="2222500" y="1422400"/>
          <a:ext cx="228600" cy="228600"/>
        </a:xfrm>
        <a:prstGeom xmlns:a="http://schemas.openxmlformats.org/drawingml/2006/main" prst="rect">
          <a:avLst/>
        </a:prstGeom>
      </cdr:spPr>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192</Pages>
  <Words>144766</Words>
  <Characters>825171</Characters>
  <Application>Microsoft Macintosh Word</Application>
  <DocSecurity>0</DocSecurity>
  <Lines>6876</Lines>
  <Paragraphs>1936</Paragraphs>
  <ScaleCrop>false</ScaleCrop>
  <HeadingPairs>
    <vt:vector size="2" baseType="variant">
      <vt:variant>
        <vt:lpstr>Title</vt:lpstr>
      </vt:variant>
      <vt:variant>
        <vt:i4>1</vt:i4>
      </vt:variant>
    </vt:vector>
  </HeadingPairs>
  <TitlesOfParts>
    <vt:vector size="1" baseType="lpstr">
      <vt:lpstr>TITLE OF THESIS OR DISSERTATION</vt:lpstr>
    </vt:vector>
  </TitlesOfParts>
  <Company>UMass Amherst -OIT / HDS</Company>
  <LinksUpToDate>false</LinksUpToDate>
  <CharactersWithSpaces>968001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dc:title>
  <dc:subject/>
  <dc:creator>Academic Computing</dc:creator>
  <cp:keywords/>
  <dc:description/>
  <cp:lastModifiedBy>Janna Mantua</cp:lastModifiedBy>
  <cp:revision>2</cp:revision>
  <cp:lastPrinted>2010-10-12T18:52:00Z</cp:lastPrinted>
  <dcterms:created xsi:type="dcterms:W3CDTF">2017-12-21T01:18:00Z</dcterms:created>
  <dcterms:modified xsi:type="dcterms:W3CDTF">2017-12-21T01:18:00Z</dcterms:modified>
</cp:coreProperties>
</file>