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6139D7" w14:textId="77777777" w:rsidR="00D05CAC" w:rsidRDefault="00D05CAC" w:rsidP="0021155C">
      <w:pPr>
        <w:jc w:val="center"/>
      </w:pPr>
    </w:p>
    <w:p w14:paraId="7CF49ACF" w14:textId="77777777" w:rsidR="00D05CAC" w:rsidRDefault="00D05CAC" w:rsidP="00D05CAC">
      <w:pPr>
        <w:pStyle w:val="StyleCentered"/>
      </w:pPr>
    </w:p>
    <w:p w14:paraId="4EE3EFC2" w14:textId="77777777" w:rsidR="00D05CAC" w:rsidRDefault="00D05CAC" w:rsidP="00D05CAC">
      <w:pPr>
        <w:pStyle w:val="StyleCentered"/>
      </w:pPr>
    </w:p>
    <w:p w14:paraId="1971C95C" w14:textId="77777777" w:rsidR="00D05CAC" w:rsidRDefault="00D05CAC" w:rsidP="00D05CAC">
      <w:pPr>
        <w:pStyle w:val="StyleCentered"/>
      </w:pPr>
    </w:p>
    <w:p w14:paraId="3D4686C5" w14:textId="77777777" w:rsidR="00631CF9" w:rsidRDefault="00631CF9" w:rsidP="00631CF9">
      <w:pPr>
        <w:pStyle w:val="StyleCentered"/>
      </w:pPr>
    </w:p>
    <w:p w14:paraId="55ACFDD2" w14:textId="77777777" w:rsidR="00D05CAC" w:rsidRDefault="00D05CAC" w:rsidP="00631CF9">
      <w:pPr>
        <w:pStyle w:val="StyleCentered"/>
      </w:pPr>
    </w:p>
    <w:p w14:paraId="68923B5A" w14:textId="00AB2EC5" w:rsidR="00D05CAC" w:rsidRPr="00EC7258" w:rsidRDefault="00D421E8" w:rsidP="00D05CAC">
      <w:pPr>
        <w:pStyle w:val="StyleCentered"/>
      </w:pPr>
      <w:r w:rsidRPr="00EC7258">
        <w:t>IMPACT OF BODYWEIGHT ON TISSUE-SPECIFIC FOLATE STATUS, GENOME WIDE AND GENE-SPECIFIC DNA METHYLATION IN NORMAL BREAST TISSUES FROM PREMENOPAUSAL WOMEN</w:t>
      </w:r>
    </w:p>
    <w:p w14:paraId="4CFBD246" w14:textId="77777777" w:rsidR="00D05CAC" w:rsidRDefault="00D05CAC" w:rsidP="00D05CAC">
      <w:pPr>
        <w:pStyle w:val="StyleCentered"/>
      </w:pPr>
    </w:p>
    <w:p w14:paraId="73BE9474" w14:textId="77777777" w:rsidR="00D05CAC" w:rsidRDefault="00D05CAC" w:rsidP="00D05CAC">
      <w:pPr>
        <w:pStyle w:val="StyleCentered"/>
      </w:pPr>
    </w:p>
    <w:p w14:paraId="71521BDA" w14:textId="77777777" w:rsidR="00D05CAC" w:rsidRDefault="00D05CAC" w:rsidP="00D05CAC">
      <w:pPr>
        <w:pStyle w:val="StyleCentered"/>
      </w:pPr>
    </w:p>
    <w:p w14:paraId="760361D1" w14:textId="77777777" w:rsidR="00D05CAC" w:rsidRDefault="00D05CAC" w:rsidP="00D05CAC">
      <w:pPr>
        <w:pStyle w:val="StyleCentered"/>
      </w:pPr>
    </w:p>
    <w:p w14:paraId="7ACC9738" w14:textId="77777777" w:rsidR="00D05CAC" w:rsidRDefault="00D05CAC" w:rsidP="00D05CAC">
      <w:pPr>
        <w:pStyle w:val="StyleCentered"/>
      </w:pPr>
    </w:p>
    <w:p w14:paraId="15D228C5" w14:textId="77777777" w:rsidR="00D05CAC" w:rsidRDefault="00D05CAC" w:rsidP="00D05CAC">
      <w:pPr>
        <w:pStyle w:val="StyleCentered"/>
      </w:pPr>
    </w:p>
    <w:p w14:paraId="3A72D6EC" w14:textId="77777777" w:rsidR="00D05CAC" w:rsidRDefault="00D05CAC" w:rsidP="00D05CAC">
      <w:pPr>
        <w:pStyle w:val="StyleCentered"/>
      </w:pPr>
    </w:p>
    <w:p w14:paraId="62ABEEE7" w14:textId="77777777" w:rsidR="00D05CAC" w:rsidRDefault="00D05CAC" w:rsidP="00D05CAC">
      <w:pPr>
        <w:pStyle w:val="StyleCentered"/>
      </w:pPr>
    </w:p>
    <w:p w14:paraId="78F90595" w14:textId="74AEA7E5" w:rsidR="00D05CAC" w:rsidRDefault="00D05CAC" w:rsidP="002718EB">
      <w:pPr>
        <w:pStyle w:val="StyleCentered"/>
      </w:pPr>
      <w:r w:rsidRPr="003D5CCA">
        <w:t xml:space="preserve">A </w:t>
      </w:r>
      <w:r w:rsidR="00D421E8">
        <w:t>Thesis</w:t>
      </w:r>
      <w:r w:rsidRPr="003D5CCA">
        <w:t xml:space="preserve"> Presented</w:t>
      </w:r>
    </w:p>
    <w:p w14:paraId="04581407" w14:textId="77777777" w:rsidR="002718EB" w:rsidRPr="003D5CCA" w:rsidRDefault="002718EB" w:rsidP="002718EB">
      <w:pPr>
        <w:pStyle w:val="StyleCentered"/>
      </w:pPr>
    </w:p>
    <w:p w14:paraId="4204FD6D" w14:textId="77777777" w:rsidR="00D05CAC" w:rsidRPr="003D5CCA" w:rsidRDefault="00D05CAC" w:rsidP="00D05CAC">
      <w:pPr>
        <w:pStyle w:val="StyleCentered"/>
      </w:pPr>
      <w:r w:rsidRPr="003D5CCA">
        <w:t>by</w:t>
      </w:r>
    </w:p>
    <w:p w14:paraId="547B10DE" w14:textId="77777777" w:rsidR="00D05CAC" w:rsidRPr="003D5CCA" w:rsidRDefault="00D05CAC" w:rsidP="00D05CAC">
      <w:pPr>
        <w:pStyle w:val="StyleCentered"/>
      </w:pPr>
    </w:p>
    <w:p w14:paraId="1042FF6D" w14:textId="263D7D34" w:rsidR="00D05CAC" w:rsidRPr="003D5CCA" w:rsidRDefault="00D421E8" w:rsidP="00D05CAC">
      <w:pPr>
        <w:pStyle w:val="StyleCentered"/>
      </w:pPr>
      <w:r>
        <w:t>ARMINA-LYN FREDERICK</w:t>
      </w:r>
    </w:p>
    <w:p w14:paraId="754DA5DA" w14:textId="77777777" w:rsidR="00D05CAC" w:rsidRDefault="00D05CAC" w:rsidP="00D05CAC">
      <w:pPr>
        <w:pStyle w:val="StyleCentered"/>
      </w:pPr>
    </w:p>
    <w:p w14:paraId="3EE0914F" w14:textId="77777777" w:rsidR="00D05CAC" w:rsidRDefault="00D05CAC" w:rsidP="00D05CAC">
      <w:pPr>
        <w:pStyle w:val="StyleCentered"/>
      </w:pPr>
    </w:p>
    <w:p w14:paraId="483359F1" w14:textId="77777777" w:rsidR="00D05CAC" w:rsidRDefault="00D05CAC" w:rsidP="00D05CAC">
      <w:pPr>
        <w:pStyle w:val="StyleCentered"/>
      </w:pPr>
    </w:p>
    <w:p w14:paraId="750E4F02" w14:textId="77777777" w:rsidR="00D05CAC" w:rsidRDefault="00D05CAC" w:rsidP="00D05CAC">
      <w:pPr>
        <w:pStyle w:val="StyleCentered"/>
      </w:pPr>
    </w:p>
    <w:p w14:paraId="40FA0579" w14:textId="77777777" w:rsidR="00D05CAC" w:rsidRDefault="00D05CAC" w:rsidP="00D05CAC">
      <w:pPr>
        <w:pStyle w:val="StyleCentered"/>
      </w:pPr>
    </w:p>
    <w:p w14:paraId="52B0D5A3" w14:textId="77777777" w:rsidR="00D05CAC" w:rsidRDefault="00D05CAC" w:rsidP="00D05CAC">
      <w:pPr>
        <w:pStyle w:val="StyleCentered"/>
      </w:pPr>
    </w:p>
    <w:p w14:paraId="6500B085" w14:textId="77777777" w:rsidR="00D05CAC" w:rsidRDefault="00D05CAC" w:rsidP="00D05CAC">
      <w:pPr>
        <w:pStyle w:val="StyleCentered"/>
      </w:pPr>
    </w:p>
    <w:p w14:paraId="6680C424" w14:textId="77777777" w:rsidR="00D05CAC" w:rsidRDefault="00D05CAC" w:rsidP="00D05CAC">
      <w:pPr>
        <w:pStyle w:val="StyleCentered"/>
      </w:pPr>
    </w:p>
    <w:p w14:paraId="74F19382" w14:textId="77777777" w:rsidR="00561F7D" w:rsidRPr="003D5CCA" w:rsidRDefault="00561F7D" w:rsidP="002718EB">
      <w:pPr>
        <w:pStyle w:val="StyleCentered"/>
      </w:pPr>
    </w:p>
    <w:p w14:paraId="72B4DAC9" w14:textId="77777777" w:rsidR="00D05CAC" w:rsidRPr="003D5CCA" w:rsidRDefault="00D05CAC" w:rsidP="00D05CAC">
      <w:pPr>
        <w:pStyle w:val="StyleCentered"/>
      </w:pPr>
      <w:r w:rsidRPr="003D5CCA">
        <w:t>Submitted to the Graduate School of the</w:t>
      </w:r>
    </w:p>
    <w:p w14:paraId="1F3A34E7" w14:textId="77777777" w:rsidR="00D05CAC" w:rsidRPr="003D5CCA" w:rsidRDefault="00D05CAC" w:rsidP="00D05CAC">
      <w:pPr>
        <w:pStyle w:val="StyleCentered"/>
      </w:pPr>
      <w:r w:rsidRPr="003D5CCA">
        <w:t>University of Massachusetts Amherst in partial fulfillment</w:t>
      </w:r>
    </w:p>
    <w:p w14:paraId="170C3A58" w14:textId="77777777" w:rsidR="00D05CAC" w:rsidRPr="003D5CCA" w:rsidRDefault="00D05CAC" w:rsidP="00D05CAC">
      <w:pPr>
        <w:pStyle w:val="StyleCentered"/>
      </w:pPr>
      <w:r w:rsidRPr="003D5CCA">
        <w:t>of the requirements for the degree of</w:t>
      </w:r>
    </w:p>
    <w:p w14:paraId="4B26ECD4" w14:textId="77777777" w:rsidR="00D05CAC" w:rsidRDefault="00D05CAC" w:rsidP="00D05CAC">
      <w:pPr>
        <w:pStyle w:val="StyleCentered"/>
      </w:pPr>
    </w:p>
    <w:p w14:paraId="2F5856F6" w14:textId="77777777" w:rsidR="002718EB" w:rsidRPr="003D5CCA" w:rsidRDefault="002718EB" w:rsidP="002718EB">
      <w:pPr>
        <w:pStyle w:val="StyleCentered"/>
      </w:pPr>
    </w:p>
    <w:p w14:paraId="675F0F82" w14:textId="3040143A" w:rsidR="00D05CAC" w:rsidRPr="003D5CCA" w:rsidRDefault="00D421E8" w:rsidP="00D05CAC">
      <w:pPr>
        <w:pStyle w:val="StyleCentered"/>
      </w:pPr>
      <w:r>
        <w:t>MASTER OF SCIENCE</w:t>
      </w:r>
    </w:p>
    <w:p w14:paraId="44E2CF69" w14:textId="77777777" w:rsidR="00D05CAC" w:rsidRDefault="00D05CAC" w:rsidP="00D05CAC">
      <w:pPr>
        <w:pStyle w:val="StyleCentered"/>
      </w:pPr>
    </w:p>
    <w:p w14:paraId="4C3BB92C" w14:textId="77777777" w:rsidR="002718EB" w:rsidRPr="003D5CCA" w:rsidRDefault="002718EB" w:rsidP="00D05CAC">
      <w:pPr>
        <w:pStyle w:val="StyleCentered"/>
      </w:pPr>
    </w:p>
    <w:p w14:paraId="2A3BB882" w14:textId="67633AB4" w:rsidR="00D05CAC" w:rsidRDefault="00D421E8" w:rsidP="00D05CAC">
      <w:pPr>
        <w:pStyle w:val="StyleCentered"/>
      </w:pPr>
      <w:r>
        <w:t>May</w:t>
      </w:r>
      <w:r w:rsidR="00D05CAC" w:rsidRPr="003D5CCA">
        <w:t xml:space="preserve"> </w:t>
      </w:r>
      <w:r>
        <w:t>2018</w:t>
      </w:r>
    </w:p>
    <w:p w14:paraId="50221FCD" w14:textId="77777777" w:rsidR="002718EB" w:rsidRPr="003D5CCA" w:rsidRDefault="002718EB" w:rsidP="00D05CAC">
      <w:pPr>
        <w:pStyle w:val="StyleCentered"/>
      </w:pPr>
    </w:p>
    <w:p w14:paraId="482AEDBD" w14:textId="77777777" w:rsidR="00D05CAC" w:rsidRPr="003D5CCA" w:rsidRDefault="00D05CAC" w:rsidP="00D05CAC">
      <w:pPr>
        <w:pStyle w:val="StyleCentered"/>
      </w:pPr>
    </w:p>
    <w:p w14:paraId="31EF4593" w14:textId="5CB7A682" w:rsidR="00D05CAC" w:rsidRPr="003D5CCA" w:rsidRDefault="00D421E8" w:rsidP="00D05CAC">
      <w:pPr>
        <w:pStyle w:val="StyleCentered"/>
      </w:pPr>
      <w:r>
        <w:t>Nutrition</w:t>
      </w:r>
    </w:p>
    <w:p w14:paraId="434CF10B" w14:textId="77777777" w:rsidR="00D05CAC" w:rsidRDefault="00D05CAC" w:rsidP="00D05CAC">
      <w:pPr>
        <w:pStyle w:val="StyleCentered"/>
      </w:pPr>
    </w:p>
    <w:p w14:paraId="79C80843" w14:textId="77777777" w:rsidR="002718EB" w:rsidRDefault="002718EB" w:rsidP="00C01D9F">
      <w:pPr>
        <w:pStyle w:val="TOCHeading"/>
      </w:pPr>
      <w:r>
        <w:br w:type="page"/>
      </w:r>
    </w:p>
    <w:p w14:paraId="09F1E74E" w14:textId="77777777" w:rsidR="00D05CAC" w:rsidRDefault="00D05CAC" w:rsidP="00D05CAC">
      <w:pPr>
        <w:pStyle w:val="StyleCentered"/>
      </w:pPr>
    </w:p>
    <w:p w14:paraId="204363A5" w14:textId="77777777" w:rsidR="00D05CAC" w:rsidRDefault="00D05CAC" w:rsidP="00D05CAC">
      <w:pPr>
        <w:pStyle w:val="StyleCentered"/>
      </w:pPr>
    </w:p>
    <w:p w14:paraId="54526F48" w14:textId="77777777" w:rsidR="00D05CAC" w:rsidRDefault="00D05CAC" w:rsidP="00D05CAC">
      <w:pPr>
        <w:pStyle w:val="StyleCentered"/>
      </w:pPr>
    </w:p>
    <w:p w14:paraId="7983FBCA" w14:textId="77777777" w:rsidR="00D05CAC" w:rsidRDefault="00D05CAC" w:rsidP="00D05CAC">
      <w:pPr>
        <w:pStyle w:val="StyleCentered"/>
      </w:pPr>
    </w:p>
    <w:p w14:paraId="575F5E08" w14:textId="77777777" w:rsidR="00D05CAC" w:rsidRDefault="00D05CAC" w:rsidP="00D05CAC">
      <w:pPr>
        <w:pStyle w:val="StyleCentered"/>
      </w:pPr>
    </w:p>
    <w:p w14:paraId="00A7373F" w14:textId="77777777" w:rsidR="00D05CAC" w:rsidRDefault="00D05CAC" w:rsidP="00D05CAC">
      <w:pPr>
        <w:pStyle w:val="StyleCentered"/>
      </w:pPr>
    </w:p>
    <w:p w14:paraId="29FF134D" w14:textId="77777777" w:rsidR="00D05CAC" w:rsidRDefault="00D05CAC" w:rsidP="00D05CAC">
      <w:pPr>
        <w:pStyle w:val="StyleCentered"/>
      </w:pPr>
    </w:p>
    <w:p w14:paraId="39943948" w14:textId="77777777" w:rsidR="00D05CAC" w:rsidRDefault="00D05CAC" w:rsidP="00D05CAC">
      <w:pPr>
        <w:pStyle w:val="StyleCentered"/>
      </w:pPr>
    </w:p>
    <w:p w14:paraId="06664900" w14:textId="77777777" w:rsidR="00D05CAC" w:rsidRDefault="00D05CAC" w:rsidP="00D05CAC">
      <w:pPr>
        <w:pStyle w:val="StyleCentered"/>
      </w:pPr>
    </w:p>
    <w:p w14:paraId="1D0B4BE2" w14:textId="77777777" w:rsidR="00D05CAC" w:rsidRDefault="00D05CAC" w:rsidP="00D05CAC">
      <w:pPr>
        <w:pStyle w:val="StyleCentered"/>
      </w:pPr>
    </w:p>
    <w:p w14:paraId="556AF07F" w14:textId="77777777" w:rsidR="00D05CAC" w:rsidRDefault="00D05CAC" w:rsidP="00D05CAC">
      <w:pPr>
        <w:pStyle w:val="StyleCentered"/>
      </w:pPr>
    </w:p>
    <w:p w14:paraId="02991859" w14:textId="77777777" w:rsidR="00D05CAC" w:rsidRDefault="00D05CAC" w:rsidP="00D05CAC">
      <w:pPr>
        <w:pStyle w:val="StyleCentered"/>
      </w:pPr>
    </w:p>
    <w:p w14:paraId="4647CA80" w14:textId="77777777" w:rsidR="00D05CAC" w:rsidRDefault="00D05CAC" w:rsidP="00D05CAC">
      <w:pPr>
        <w:pStyle w:val="StyleCentered"/>
      </w:pPr>
    </w:p>
    <w:p w14:paraId="4B3064DF" w14:textId="77777777" w:rsidR="00D05CAC" w:rsidRDefault="00D05CAC" w:rsidP="00D05CAC">
      <w:pPr>
        <w:pStyle w:val="StyleCentered"/>
      </w:pPr>
    </w:p>
    <w:p w14:paraId="1A9A9DB9" w14:textId="77777777" w:rsidR="00D05CAC" w:rsidRDefault="00D05CAC" w:rsidP="00D05CAC">
      <w:pPr>
        <w:pStyle w:val="StyleCentered"/>
      </w:pPr>
    </w:p>
    <w:p w14:paraId="38A18C76" w14:textId="77777777" w:rsidR="00D05CAC" w:rsidRDefault="00D05CAC" w:rsidP="00D05CAC">
      <w:pPr>
        <w:pStyle w:val="StyleCentered"/>
      </w:pPr>
    </w:p>
    <w:p w14:paraId="289664EF" w14:textId="77777777" w:rsidR="00D05CAC" w:rsidRDefault="00D05CAC" w:rsidP="00D05CAC">
      <w:pPr>
        <w:pStyle w:val="StyleCentered"/>
      </w:pPr>
    </w:p>
    <w:p w14:paraId="2CAAE50A" w14:textId="77777777" w:rsidR="00D05CAC" w:rsidRDefault="00D05CAC" w:rsidP="00D05CAC">
      <w:pPr>
        <w:pStyle w:val="StyleCentered"/>
      </w:pPr>
    </w:p>
    <w:p w14:paraId="33217DA9" w14:textId="77777777" w:rsidR="00D05CAC" w:rsidRDefault="00D05CAC" w:rsidP="00D05CAC">
      <w:pPr>
        <w:pStyle w:val="StyleCentered"/>
      </w:pPr>
    </w:p>
    <w:p w14:paraId="26DE8BBF" w14:textId="77777777" w:rsidR="00D05CAC" w:rsidRDefault="00D05CAC" w:rsidP="00D05CAC">
      <w:pPr>
        <w:pStyle w:val="StyleCentered"/>
      </w:pPr>
    </w:p>
    <w:p w14:paraId="42A3DF93" w14:textId="77777777" w:rsidR="00D05CAC" w:rsidRDefault="00D05CAC" w:rsidP="00D05CAC">
      <w:pPr>
        <w:pStyle w:val="StyleCentered"/>
      </w:pPr>
    </w:p>
    <w:p w14:paraId="23C4E54B" w14:textId="77777777" w:rsidR="00D05CAC" w:rsidRDefault="00D05CAC" w:rsidP="00D05CAC">
      <w:pPr>
        <w:pStyle w:val="StyleCentered"/>
      </w:pPr>
    </w:p>
    <w:p w14:paraId="539D2E62" w14:textId="77777777" w:rsidR="00D05CAC" w:rsidRDefault="00D05CAC" w:rsidP="00D05CAC">
      <w:pPr>
        <w:pStyle w:val="StyleCentered"/>
      </w:pPr>
    </w:p>
    <w:p w14:paraId="50095206" w14:textId="77777777" w:rsidR="00D05CAC" w:rsidRDefault="00D05CAC" w:rsidP="00D05CAC">
      <w:pPr>
        <w:pStyle w:val="StyleCentered"/>
      </w:pPr>
    </w:p>
    <w:p w14:paraId="109C83A7" w14:textId="77777777" w:rsidR="00D05CAC" w:rsidRDefault="00D05CAC" w:rsidP="00D05CAC">
      <w:pPr>
        <w:pStyle w:val="StyleCentered"/>
      </w:pPr>
    </w:p>
    <w:p w14:paraId="5F735E7B" w14:textId="77777777" w:rsidR="00D05CAC" w:rsidRDefault="00D05CAC" w:rsidP="00D05CAC">
      <w:pPr>
        <w:pStyle w:val="StyleCentered"/>
      </w:pPr>
    </w:p>
    <w:p w14:paraId="67FC7317" w14:textId="77777777" w:rsidR="00D05CAC" w:rsidRDefault="00D05CAC" w:rsidP="00D05CAC">
      <w:pPr>
        <w:pStyle w:val="StyleCentered"/>
      </w:pPr>
    </w:p>
    <w:p w14:paraId="5AD83476" w14:textId="77777777" w:rsidR="00D05CAC" w:rsidRDefault="00D05CAC" w:rsidP="00D05CAC">
      <w:pPr>
        <w:pStyle w:val="StyleCentered"/>
      </w:pPr>
    </w:p>
    <w:p w14:paraId="33617D6B" w14:textId="77777777" w:rsidR="00D05CAC" w:rsidRDefault="00D05CAC" w:rsidP="00D05CAC">
      <w:pPr>
        <w:pStyle w:val="StyleCentered"/>
      </w:pPr>
    </w:p>
    <w:p w14:paraId="3E153096" w14:textId="77777777" w:rsidR="00D05CAC" w:rsidRDefault="00D05CAC" w:rsidP="00D05CAC">
      <w:pPr>
        <w:pStyle w:val="StyleCentered"/>
      </w:pPr>
    </w:p>
    <w:p w14:paraId="4DF5C59B" w14:textId="77777777" w:rsidR="00D05CAC" w:rsidRDefault="00D05CAC" w:rsidP="00D05CAC">
      <w:pPr>
        <w:pStyle w:val="StyleCentered"/>
      </w:pPr>
    </w:p>
    <w:p w14:paraId="68AAA05A" w14:textId="77777777" w:rsidR="00D05CAC" w:rsidRDefault="00D05CAC" w:rsidP="00D05CAC">
      <w:pPr>
        <w:pStyle w:val="StyleCentered"/>
      </w:pPr>
    </w:p>
    <w:p w14:paraId="74D67CC0" w14:textId="77777777" w:rsidR="00D05CAC" w:rsidRDefault="00D05CAC" w:rsidP="00D05CAC">
      <w:pPr>
        <w:pStyle w:val="StyleCentered"/>
      </w:pPr>
    </w:p>
    <w:p w14:paraId="637CCCB5" w14:textId="77777777" w:rsidR="00D05CAC" w:rsidRDefault="00D05CAC" w:rsidP="00D05CAC">
      <w:pPr>
        <w:pStyle w:val="StyleCentered"/>
      </w:pPr>
    </w:p>
    <w:p w14:paraId="45C61871" w14:textId="77777777" w:rsidR="00D05CAC" w:rsidRDefault="00D05CAC" w:rsidP="00D05CAC">
      <w:pPr>
        <w:pStyle w:val="StyleCentered"/>
      </w:pPr>
    </w:p>
    <w:p w14:paraId="5BA474FA" w14:textId="77777777" w:rsidR="00D05CAC" w:rsidRDefault="00D05CAC" w:rsidP="00D05CAC">
      <w:pPr>
        <w:pStyle w:val="StyleCentered"/>
      </w:pPr>
    </w:p>
    <w:p w14:paraId="4F287110" w14:textId="77777777" w:rsidR="00D05CAC" w:rsidRDefault="00D05CAC" w:rsidP="00D05CAC">
      <w:pPr>
        <w:pStyle w:val="StyleCentered"/>
      </w:pPr>
    </w:p>
    <w:p w14:paraId="5D864F46" w14:textId="77777777" w:rsidR="00D05CAC" w:rsidRDefault="00D05CAC" w:rsidP="00D272CC">
      <w:pPr>
        <w:pStyle w:val="StyleCentered"/>
      </w:pPr>
    </w:p>
    <w:p w14:paraId="049C0FD1" w14:textId="77777777" w:rsidR="00561F7D" w:rsidRDefault="00561F7D" w:rsidP="00D272CC">
      <w:pPr>
        <w:pStyle w:val="StyleCentered"/>
      </w:pPr>
    </w:p>
    <w:p w14:paraId="7217812A" w14:textId="201DD9FB" w:rsidR="00D05CAC" w:rsidRPr="003D5CCA" w:rsidRDefault="00D05CAC" w:rsidP="00D05CAC">
      <w:pPr>
        <w:pStyle w:val="StyleCentered"/>
      </w:pPr>
      <w:r w:rsidRPr="003D5CCA">
        <w:t>© Copyr</w:t>
      </w:r>
      <w:r w:rsidR="00D421E8">
        <w:t>ight by Armina-Lyn Frederick 2018</w:t>
      </w:r>
    </w:p>
    <w:p w14:paraId="0AC329F6" w14:textId="77777777" w:rsidR="00D05CAC" w:rsidRPr="003D5CCA" w:rsidRDefault="00D05CAC" w:rsidP="00D272CC">
      <w:pPr>
        <w:pStyle w:val="StyleCentered"/>
      </w:pPr>
    </w:p>
    <w:p w14:paraId="7C2D8606" w14:textId="77777777" w:rsidR="00D05CAC" w:rsidRPr="003D5CCA" w:rsidRDefault="00D05CAC" w:rsidP="00D05CAC">
      <w:pPr>
        <w:pStyle w:val="StyleCentered"/>
      </w:pPr>
      <w:r w:rsidRPr="003D5CCA">
        <w:t>All Rights Reserved</w:t>
      </w:r>
    </w:p>
    <w:p w14:paraId="797B9534" w14:textId="77777777" w:rsidR="00D05CAC" w:rsidRDefault="00D05CAC" w:rsidP="00D05CAC">
      <w:pPr>
        <w:pStyle w:val="StyleCentered"/>
      </w:pPr>
    </w:p>
    <w:p w14:paraId="1517E401" w14:textId="77777777" w:rsidR="00D05CAC" w:rsidRDefault="00D05CAC" w:rsidP="00D05CAC">
      <w:pPr>
        <w:pStyle w:val="StyleCentered"/>
      </w:pPr>
    </w:p>
    <w:p w14:paraId="5092B46F" w14:textId="77777777" w:rsidR="00D05CAC" w:rsidRDefault="00D05CAC" w:rsidP="00D05CAC">
      <w:pPr>
        <w:pStyle w:val="StyleCentered"/>
      </w:pPr>
    </w:p>
    <w:p w14:paraId="2720D766" w14:textId="77777777" w:rsidR="00D05CAC" w:rsidRDefault="00D05CAC" w:rsidP="00D05CAC">
      <w:pPr>
        <w:pStyle w:val="StyleCentered"/>
      </w:pPr>
    </w:p>
    <w:p w14:paraId="31F42C10" w14:textId="77777777" w:rsidR="00D05CAC" w:rsidRDefault="00D05CAC" w:rsidP="00D05CAC">
      <w:pPr>
        <w:pStyle w:val="StyleCentered"/>
      </w:pPr>
    </w:p>
    <w:p w14:paraId="7F4B2AA4" w14:textId="77777777" w:rsidR="00D05CAC" w:rsidRDefault="00D05CAC" w:rsidP="00D05CAC">
      <w:pPr>
        <w:pStyle w:val="StyleCentered"/>
      </w:pPr>
    </w:p>
    <w:p w14:paraId="01AFC4B3" w14:textId="77777777" w:rsidR="00D05CAC" w:rsidRDefault="00D05CAC" w:rsidP="00D05CAC">
      <w:pPr>
        <w:pStyle w:val="StyleCentered"/>
      </w:pPr>
    </w:p>
    <w:p w14:paraId="4F19C8E4" w14:textId="77777777" w:rsidR="00A01788" w:rsidRPr="003D5CCA" w:rsidRDefault="00A01788" w:rsidP="00D05CAC">
      <w:pPr>
        <w:pStyle w:val="StyleCentered"/>
      </w:pPr>
    </w:p>
    <w:p w14:paraId="2B3C9FB5" w14:textId="39F69F9A" w:rsidR="00406224" w:rsidRPr="003362BE" w:rsidRDefault="00D421E8" w:rsidP="00406224">
      <w:pPr>
        <w:pStyle w:val="StyleCentered"/>
        <w:rPr>
          <w:b/>
        </w:rPr>
      </w:pPr>
      <w:r>
        <w:rPr>
          <w:b/>
        </w:rPr>
        <w:t>IMPACT</w:t>
      </w:r>
      <w:r w:rsidR="00406224" w:rsidRPr="003362BE">
        <w:rPr>
          <w:b/>
        </w:rPr>
        <w:t xml:space="preserve"> </w:t>
      </w:r>
      <w:r>
        <w:rPr>
          <w:b/>
        </w:rPr>
        <w:t>OF BODYWEIGHT ON TISSUE-SPECIFIC FOLATE STATUS, GENOME WIDE AND GENE-SPECIFIC DNA METHYLATION IN NORMAL BREAST TISSUES FROM PREMENOPAUSAL WOMEN</w:t>
      </w:r>
    </w:p>
    <w:p w14:paraId="4FC7BB2B" w14:textId="77777777" w:rsidR="00D05CAC" w:rsidRPr="003D5CCA" w:rsidRDefault="00D05CAC" w:rsidP="00D05CAC">
      <w:pPr>
        <w:pStyle w:val="StyleCentered"/>
      </w:pPr>
    </w:p>
    <w:p w14:paraId="3C644759" w14:textId="77777777" w:rsidR="00D05CAC" w:rsidRDefault="00D05CAC" w:rsidP="00D05CAC">
      <w:pPr>
        <w:pStyle w:val="StyleCentered"/>
      </w:pPr>
    </w:p>
    <w:p w14:paraId="6E11FC4B" w14:textId="77777777" w:rsidR="00D05CAC" w:rsidRDefault="00D05CAC" w:rsidP="00D05CAC">
      <w:pPr>
        <w:pStyle w:val="StyleCentered"/>
      </w:pPr>
    </w:p>
    <w:p w14:paraId="4308B6B7" w14:textId="77777777" w:rsidR="00D05CAC" w:rsidRDefault="00D05CAC" w:rsidP="00D05CAC">
      <w:pPr>
        <w:pStyle w:val="StyleCentered"/>
      </w:pPr>
    </w:p>
    <w:p w14:paraId="405672DB" w14:textId="77777777" w:rsidR="00D05CAC" w:rsidRDefault="00D05CAC" w:rsidP="00D05CAC">
      <w:pPr>
        <w:pStyle w:val="StyleCentered"/>
      </w:pPr>
    </w:p>
    <w:p w14:paraId="4F81165F" w14:textId="77777777" w:rsidR="00D05CAC" w:rsidRDefault="00D05CAC" w:rsidP="00D05CAC">
      <w:pPr>
        <w:pStyle w:val="StyleCentered"/>
      </w:pPr>
    </w:p>
    <w:p w14:paraId="26441A0C" w14:textId="77777777" w:rsidR="00D05CAC" w:rsidRPr="003D5CCA" w:rsidRDefault="00D05CAC" w:rsidP="00D05CAC">
      <w:pPr>
        <w:pStyle w:val="StyleCentered"/>
      </w:pPr>
    </w:p>
    <w:p w14:paraId="1DA8088A" w14:textId="77777777" w:rsidR="00D05CAC" w:rsidRPr="003D5CCA" w:rsidRDefault="00D05CAC" w:rsidP="00D05CAC">
      <w:pPr>
        <w:pStyle w:val="StyleCentered"/>
      </w:pPr>
      <w:r w:rsidRPr="003D5CCA">
        <w:t>A Dissertation Presented</w:t>
      </w:r>
    </w:p>
    <w:p w14:paraId="525C693A" w14:textId="77777777" w:rsidR="00D05CAC" w:rsidRPr="003D5CCA" w:rsidRDefault="00D05CAC" w:rsidP="00D05CAC">
      <w:pPr>
        <w:pStyle w:val="StyleCentered"/>
      </w:pPr>
    </w:p>
    <w:p w14:paraId="3E3DC0C5" w14:textId="77777777" w:rsidR="00D05CAC" w:rsidRPr="003D5CCA" w:rsidRDefault="00D05CAC" w:rsidP="00D05CAC">
      <w:pPr>
        <w:pStyle w:val="StyleCentered"/>
      </w:pPr>
      <w:r w:rsidRPr="003D5CCA">
        <w:t>by</w:t>
      </w:r>
    </w:p>
    <w:p w14:paraId="62191237" w14:textId="77777777" w:rsidR="00D05CAC" w:rsidRPr="003D5CCA" w:rsidRDefault="00D05CAC" w:rsidP="00D05CAC">
      <w:pPr>
        <w:pStyle w:val="StyleCentered"/>
      </w:pPr>
    </w:p>
    <w:p w14:paraId="76DCC136" w14:textId="4D58ECEA" w:rsidR="00D05CAC" w:rsidRPr="003D5CCA" w:rsidRDefault="00D421E8" w:rsidP="00D05CAC">
      <w:pPr>
        <w:pStyle w:val="StyleCentered"/>
      </w:pPr>
      <w:r>
        <w:t xml:space="preserve">ARMINA-LYN </w:t>
      </w:r>
      <w:r w:rsidR="002A0D50">
        <w:t xml:space="preserve">M. </w:t>
      </w:r>
      <w:r>
        <w:t>FREDERICK</w:t>
      </w:r>
    </w:p>
    <w:p w14:paraId="0DED30C7" w14:textId="77777777" w:rsidR="00D05CAC" w:rsidRDefault="00D05CAC" w:rsidP="00D05CAC">
      <w:pPr>
        <w:pStyle w:val="StyleCentered"/>
      </w:pPr>
    </w:p>
    <w:p w14:paraId="5F74F505" w14:textId="77777777" w:rsidR="00D05CAC" w:rsidRDefault="00D05CAC" w:rsidP="00D05CAC">
      <w:pPr>
        <w:pStyle w:val="StyleCentered"/>
      </w:pPr>
    </w:p>
    <w:p w14:paraId="24E89989" w14:textId="77777777" w:rsidR="00D05CAC" w:rsidRDefault="00D05CAC" w:rsidP="00D05CAC">
      <w:pPr>
        <w:pStyle w:val="StyleCentered"/>
      </w:pPr>
    </w:p>
    <w:p w14:paraId="0A56D2A6" w14:textId="77777777" w:rsidR="00D05CAC" w:rsidRDefault="00D05CAC" w:rsidP="00D05CAC">
      <w:pPr>
        <w:pStyle w:val="StyleCentered"/>
      </w:pPr>
    </w:p>
    <w:p w14:paraId="3FDBCE6C" w14:textId="77777777" w:rsidR="00D05CAC" w:rsidRPr="003D5CCA" w:rsidRDefault="00D05CAC" w:rsidP="007D5F15">
      <w:pPr>
        <w:pStyle w:val="StyleCentered"/>
      </w:pPr>
    </w:p>
    <w:p w14:paraId="6E8ACDD6" w14:textId="77777777" w:rsidR="00D05CAC" w:rsidRDefault="00D05CAC" w:rsidP="00D05CAC">
      <w:r w:rsidRPr="003D5CCA">
        <w:t>Approved as to style and content by:</w:t>
      </w:r>
    </w:p>
    <w:p w14:paraId="5E078B51" w14:textId="77777777" w:rsidR="00986F29" w:rsidRPr="003D5CCA" w:rsidRDefault="00986F29" w:rsidP="00D05CAC"/>
    <w:p w14:paraId="627896F0" w14:textId="77777777" w:rsidR="00D05CAC" w:rsidRPr="003D5CCA" w:rsidRDefault="00D05CAC" w:rsidP="00D05CAC"/>
    <w:p w14:paraId="47436056" w14:textId="77777777" w:rsidR="00D05CAC" w:rsidRDefault="00D05CAC" w:rsidP="00D07305">
      <w:pPr>
        <w:tabs>
          <w:tab w:val="right" w:leader="underscore" w:pos="4320"/>
        </w:tabs>
      </w:pPr>
      <w:r>
        <w:tab/>
      </w:r>
    </w:p>
    <w:p w14:paraId="7ED39356" w14:textId="75FA9C1B" w:rsidR="00D05CAC" w:rsidRPr="003D5CCA" w:rsidRDefault="00D421E8" w:rsidP="00D05CAC">
      <w:pPr>
        <w:tabs>
          <w:tab w:val="right" w:leader="underscore" w:pos="4680"/>
        </w:tabs>
      </w:pPr>
      <w:r>
        <w:t>Zhenhua Liu</w:t>
      </w:r>
      <w:r w:rsidR="00D05CAC" w:rsidRPr="003D5CCA">
        <w:t>, Chair</w:t>
      </w:r>
    </w:p>
    <w:p w14:paraId="15C8511E" w14:textId="77777777" w:rsidR="00D05CAC" w:rsidRDefault="00D05CAC" w:rsidP="00D05CAC">
      <w:pPr>
        <w:tabs>
          <w:tab w:val="right" w:leader="underscore" w:pos="4680"/>
        </w:tabs>
      </w:pPr>
    </w:p>
    <w:p w14:paraId="40DC9D94" w14:textId="77777777" w:rsidR="00D05CAC" w:rsidRDefault="00D05CAC" w:rsidP="00D05CAC">
      <w:pPr>
        <w:tabs>
          <w:tab w:val="right" w:leader="underscore" w:pos="4680"/>
        </w:tabs>
      </w:pPr>
    </w:p>
    <w:p w14:paraId="6A95FAA6" w14:textId="77777777" w:rsidR="00D05CAC" w:rsidRDefault="00D05CAC" w:rsidP="00D07305">
      <w:pPr>
        <w:tabs>
          <w:tab w:val="right" w:leader="underscore" w:pos="4320"/>
        </w:tabs>
      </w:pPr>
      <w:r>
        <w:tab/>
      </w:r>
    </w:p>
    <w:p w14:paraId="16BDA1E0" w14:textId="035E982F" w:rsidR="00D05CAC" w:rsidRPr="003D5CCA" w:rsidRDefault="00D421E8" w:rsidP="00D05CAC">
      <w:pPr>
        <w:tabs>
          <w:tab w:val="right" w:leader="underscore" w:pos="4680"/>
        </w:tabs>
      </w:pPr>
      <w:r>
        <w:t>Richard Wood</w:t>
      </w:r>
      <w:r w:rsidR="00D05CAC" w:rsidRPr="003D5CCA">
        <w:t>, Member</w:t>
      </w:r>
    </w:p>
    <w:p w14:paraId="03F7D39D" w14:textId="77777777" w:rsidR="00D05CAC" w:rsidRDefault="00D05CAC" w:rsidP="00D05CAC">
      <w:pPr>
        <w:tabs>
          <w:tab w:val="right" w:leader="underscore" w:pos="4680"/>
        </w:tabs>
      </w:pPr>
    </w:p>
    <w:p w14:paraId="557DDB37" w14:textId="77777777" w:rsidR="00D05CAC" w:rsidRPr="003D5CCA" w:rsidRDefault="00D05CAC" w:rsidP="00D05CAC">
      <w:pPr>
        <w:tabs>
          <w:tab w:val="right" w:leader="underscore" w:pos="4680"/>
        </w:tabs>
      </w:pPr>
    </w:p>
    <w:p w14:paraId="47BFAA20" w14:textId="77777777" w:rsidR="00D05CAC" w:rsidRDefault="00D05CAC" w:rsidP="00D05CAC"/>
    <w:p w14:paraId="5F01022A" w14:textId="77777777" w:rsidR="00D421E8" w:rsidRDefault="00D421E8" w:rsidP="00D05CAC"/>
    <w:p w14:paraId="44BCDCD9" w14:textId="77777777" w:rsidR="00D421E8" w:rsidRDefault="00D421E8" w:rsidP="00D05CAC"/>
    <w:p w14:paraId="1EEE74A7" w14:textId="77777777" w:rsidR="00D05CAC" w:rsidRDefault="00D05CAC" w:rsidP="00D05CAC"/>
    <w:p w14:paraId="3CFDFB24" w14:textId="77777777" w:rsidR="00561F7D" w:rsidRDefault="00561F7D" w:rsidP="00D05CAC"/>
    <w:p w14:paraId="76987110" w14:textId="77777777" w:rsidR="00986F29" w:rsidRDefault="00986F29" w:rsidP="00D05CAC"/>
    <w:p w14:paraId="51365C9C" w14:textId="77777777" w:rsidR="00986F29" w:rsidRPr="003D5CCA" w:rsidRDefault="00986F29" w:rsidP="00D05CAC"/>
    <w:p w14:paraId="2D8BB8CB" w14:textId="77777777" w:rsidR="00D05CAC" w:rsidRDefault="00D05CAC" w:rsidP="00D05CAC">
      <w:pPr>
        <w:tabs>
          <w:tab w:val="right" w:leader="underscore" w:pos="8640"/>
        </w:tabs>
        <w:ind w:left="4320"/>
      </w:pPr>
      <w:r>
        <w:tab/>
      </w:r>
    </w:p>
    <w:p w14:paraId="643D21B4" w14:textId="433BC3C8" w:rsidR="00D05CAC" w:rsidRPr="003D5CCA" w:rsidRDefault="00D421E8" w:rsidP="00D05CAC">
      <w:pPr>
        <w:ind w:left="4320"/>
      </w:pPr>
      <w:r>
        <w:t>Richard Wood</w:t>
      </w:r>
    </w:p>
    <w:p w14:paraId="1842EE0E" w14:textId="207D07B6" w:rsidR="00D05CAC" w:rsidRDefault="00E641DC" w:rsidP="00D05CAC">
      <w:pPr>
        <w:ind w:left="4320"/>
      </w:pPr>
      <w:r>
        <w:t>Nutrition, Department Head</w:t>
      </w:r>
    </w:p>
    <w:p w14:paraId="5AB345A2" w14:textId="77777777" w:rsidR="007D5F15" w:rsidRDefault="007D5F15">
      <w:pPr>
        <w:suppressAutoHyphens w:val="0"/>
      </w:pPr>
      <w:r>
        <w:br w:type="page"/>
      </w:r>
    </w:p>
    <w:p w14:paraId="60730B7B" w14:textId="77777777" w:rsidR="00D05CAC" w:rsidRDefault="00D05CAC" w:rsidP="00D05CAC">
      <w:pPr>
        <w:pStyle w:val="StyleCentered"/>
        <w:sectPr w:rsidR="00D05CAC" w:rsidSect="00850125">
          <w:endnotePr>
            <w:numFmt w:val="decimal"/>
            <w:numRestart w:val="eachSect"/>
          </w:endnotePr>
          <w:pgSz w:w="12240" w:h="15840"/>
          <w:pgMar w:top="1440" w:right="1440" w:bottom="1440" w:left="2160" w:header="720" w:footer="720" w:gutter="0"/>
          <w:cols w:space="720"/>
          <w:docGrid w:linePitch="360"/>
        </w:sectPr>
      </w:pPr>
    </w:p>
    <w:p w14:paraId="388C4EB7" w14:textId="106CCC0A" w:rsidR="00D05CAC" w:rsidRDefault="00D05CAC" w:rsidP="00C01D9F">
      <w:pPr>
        <w:pStyle w:val="Heading1"/>
      </w:pPr>
      <w:bookmarkStart w:id="0" w:name="_Toc510174004"/>
      <w:r w:rsidRPr="003D5CCA">
        <w:lastRenderedPageBreak/>
        <w:t>ACKNOWLEDG</w:t>
      </w:r>
      <w:r w:rsidR="00121E1F">
        <w:t>E</w:t>
      </w:r>
      <w:r w:rsidRPr="003D5CCA">
        <w:t>MENTS</w:t>
      </w:r>
      <w:bookmarkEnd w:id="0"/>
    </w:p>
    <w:p w14:paraId="0ACFA390" w14:textId="77777777" w:rsidR="00BD4602" w:rsidRDefault="003C71EB" w:rsidP="00BD4602">
      <w:r>
        <w:tab/>
      </w:r>
    </w:p>
    <w:p w14:paraId="58B292F6" w14:textId="030D2CEC" w:rsidR="003B4B00" w:rsidRDefault="009A7C2C" w:rsidP="00714AD6">
      <w:pPr>
        <w:pStyle w:val="Paragraph-text"/>
      </w:pPr>
      <w:r>
        <w:t xml:space="preserve">Foremost, </w:t>
      </w:r>
      <w:r w:rsidR="002E4C47">
        <w:t xml:space="preserve">I owe my deepest </w:t>
      </w:r>
      <w:r>
        <w:t>gratitude to</w:t>
      </w:r>
      <w:r w:rsidR="00950CBB">
        <w:t>ward</w:t>
      </w:r>
      <w:r w:rsidR="00D36232">
        <w:t xml:space="preserve"> </w:t>
      </w:r>
      <w:r w:rsidR="00835EEF">
        <w:t xml:space="preserve">Professors </w:t>
      </w:r>
      <w:r>
        <w:t>Zhenhua Liu</w:t>
      </w:r>
      <w:r w:rsidR="00855926">
        <w:t xml:space="preserve"> and Richard Wood</w:t>
      </w:r>
      <w:r w:rsidR="00BA1B5E">
        <w:t>, for</w:t>
      </w:r>
      <w:r w:rsidR="00EE2118">
        <w:t xml:space="preserve"> their </w:t>
      </w:r>
      <w:r w:rsidR="00D36232">
        <w:t xml:space="preserve">unwavering </w:t>
      </w:r>
      <w:r w:rsidR="00EE2118">
        <w:t>support</w:t>
      </w:r>
      <w:r w:rsidR="00BA1B5E">
        <w:t xml:space="preserve"> </w:t>
      </w:r>
      <w:r w:rsidR="006963E1">
        <w:t xml:space="preserve">during my studies </w:t>
      </w:r>
      <w:r w:rsidR="00855926">
        <w:t xml:space="preserve">at </w:t>
      </w:r>
      <w:r w:rsidR="00EE2118">
        <w:t>University of Massachusetts Amherst</w:t>
      </w:r>
      <w:r w:rsidR="00855926">
        <w:t xml:space="preserve">. </w:t>
      </w:r>
      <w:r w:rsidR="00D36232">
        <w:t xml:space="preserve">A special thanks to </w:t>
      </w:r>
      <w:r w:rsidR="00855926">
        <w:t xml:space="preserve">Dr. Liu </w:t>
      </w:r>
      <w:r w:rsidR="00D36232">
        <w:t>for sitting as</w:t>
      </w:r>
      <w:r w:rsidR="00846404">
        <w:t xml:space="preserve"> </w:t>
      </w:r>
      <w:r w:rsidR="00D36232">
        <w:t xml:space="preserve">my </w:t>
      </w:r>
      <w:r w:rsidR="00C34138">
        <w:t xml:space="preserve">thesis chair and academic advisor, </w:t>
      </w:r>
      <w:r w:rsidR="00846404">
        <w:t xml:space="preserve">and </w:t>
      </w:r>
      <w:r w:rsidR="00D36232">
        <w:t>for directing many of my independent studies. H</w:t>
      </w:r>
      <w:r w:rsidR="00846404">
        <w:t xml:space="preserve">is lectures sparked </w:t>
      </w:r>
      <w:r w:rsidR="003B7CB8">
        <w:t>so many</w:t>
      </w:r>
      <w:r w:rsidR="00846404">
        <w:t xml:space="preserve"> </w:t>
      </w:r>
      <w:r w:rsidR="00D36232">
        <w:t>interesting questions</w:t>
      </w:r>
      <w:r w:rsidR="003B7CB8">
        <w:t xml:space="preserve"> for me</w:t>
      </w:r>
      <w:r w:rsidR="00D36232">
        <w:t xml:space="preserve">, </w:t>
      </w:r>
      <w:r w:rsidR="00EE2118">
        <w:t xml:space="preserve">including the topic of this thesis. </w:t>
      </w:r>
      <w:r w:rsidR="00D36232">
        <w:t xml:space="preserve">Thanks to </w:t>
      </w:r>
      <w:r w:rsidR="00EE2118">
        <w:t>Dr. Wood</w:t>
      </w:r>
      <w:r w:rsidR="00D36232">
        <w:t xml:space="preserve">, who always called </w:t>
      </w:r>
      <w:r w:rsidR="00855926">
        <w:t xml:space="preserve">me in </w:t>
      </w:r>
      <w:r w:rsidR="00D36232">
        <w:t>from the hallway for</w:t>
      </w:r>
      <w:r w:rsidR="00855926">
        <w:t xml:space="preserve"> a long, friendly talk when</w:t>
      </w:r>
      <w:r w:rsidR="009771B0">
        <w:t>ever</w:t>
      </w:r>
      <w:r w:rsidR="00855926">
        <w:t xml:space="preserve"> I </w:t>
      </w:r>
      <w:r w:rsidR="009771B0">
        <w:t>lingered</w:t>
      </w:r>
      <w:r w:rsidR="00855926">
        <w:t xml:space="preserve"> at his open </w:t>
      </w:r>
      <w:r w:rsidR="00D36232">
        <w:t xml:space="preserve">office </w:t>
      </w:r>
      <w:r w:rsidR="00855926">
        <w:t>door</w:t>
      </w:r>
      <w:r w:rsidR="00D36232">
        <w:t xml:space="preserve">. </w:t>
      </w:r>
    </w:p>
    <w:p w14:paraId="35799F72" w14:textId="191D1DD4" w:rsidR="0067291F" w:rsidRDefault="000E662B" w:rsidP="00930903">
      <w:pPr>
        <w:pStyle w:val="Paragraph-text"/>
      </w:pPr>
      <w:r>
        <w:t>I would like to thank the th</w:t>
      </w:r>
      <w:r w:rsidR="006963E1">
        <w:t>ree people</w:t>
      </w:r>
      <w:r>
        <w:t xml:space="preserve"> whose counsel and friendship </w:t>
      </w:r>
      <w:r w:rsidR="002A0A96">
        <w:t>served as</w:t>
      </w:r>
      <w:r w:rsidR="006963E1">
        <w:t xml:space="preserve"> my </w:t>
      </w:r>
      <w:r>
        <w:t>strongest support system</w:t>
      </w:r>
      <w:r w:rsidR="006963E1">
        <w:t xml:space="preserve"> throughout the years</w:t>
      </w:r>
      <w:r w:rsidR="00337E36">
        <w:t>;</w:t>
      </w:r>
      <w:r w:rsidR="002A0A96">
        <w:t xml:space="preserve"> Professors Alayne Ronnenberg, Laura Christoph and Riccardo Racicot</w:t>
      </w:r>
      <w:r w:rsidR="006963E1">
        <w:t xml:space="preserve">. </w:t>
      </w:r>
      <w:r w:rsidR="002A4B9D">
        <w:t xml:space="preserve">My heartfelt thanks to </w:t>
      </w:r>
      <w:r w:rsidR="002A0A96">
        <w:t>Dr.</w:t>
      </w:r>
      <w:r w:rsidR="002A4B9D">
        <w:t xml:space="preserve"> Ronnenberg, whose commitment and sense of humor helped me through the most challenging times. </w:t>
      </w:r>
      <w:r w:rsidR="002A0A96">
        <w:t>Dr.</w:t>
      </w:r>
      <w:r w:rsidR="006963E1">
        <w:t xml:space="preserve"> Christoph </w:t>
      </w:r>
      <w:r w:rsidR="002A0A96">
        <w:t>first</w:t>
      </w:r>
      <w:r w:rsidR="00714AD6">
        <w:t xml:space="preserve"> </w:t>
      </w:r>
      <w:r w:rsidR="002A0A96">
        <w:t>recognized</w:t>
      </w:r>
      <w:r w:rsidR="00714AD6">
        <w:t xml:space="preserve"> my </w:t>
      </w:r>
      <w:r w:rsidR="006963E1">
        <w:t xml:space="preserve">enthusiasm </w:t>
      </w:r>
      <w:r w:rsidR="002A0A96">
        <w:t>for</w:t>
      </w:r>
      <w:r w:rsidR="002A4B9D">
        <w:t xml:space="preserve"> </w:t>
      </w:r>
      <w:r w:rsidR="002A0A96">
        <w:t>scientific inquiry and pushed</w:t>
      </w:r>
      <w:r w:rsidR="006963E1">
        <w:t xml:space="preserve"> me </w:t>
      </w:r>
      <w:r w:rsidR="002A0A96">
        <w:t>into</w:t>
      </w:r>
      <w:r w:rsidR="006963E1">
        <w:t xml:space="preserve"> center stage</w:t>
      </w:r>
      <w:r w:rsidR="002A0A96">
        <w:t xml:space="preserve"> whenever I excelled</w:t>
      </w:r>
      <w:r w:rsidR="006963E1">
        <w:t xml:space="preserve">. </w:t>
      </w:r>
      <w:r w:rsidR="002A4B9D">
        <w:t>Riccardo</w:t>
      </w:r>
      <w:r w:rsidR="006963E1">
        <w:t xml:space="preserve"> Racicot,</w:t>
      </w:r>
      <w:r w:rsidR="00930903">
        <w:t xml:space="preserve"> </w:t>
      </w:r>
      <w:r w:rsidR="002A4B9D">
        <w:t>whose thesis I proof-read,</w:t>
      </w:r>
      <w:r w:rsidR="0047542F">
        <w:t xml:space="preserve"> </w:t>
      </w:r>
      <w:r w:rsidR="002A0A96">
        <w:t xml:space="preserve">instilled </w:t>
      </w:r>
      <w:r w:rsidR="00714AD6">
        <w:t xml:space="preserve">the importance of </w:t>
      </w:r>
      <w:r w:rsidR="00E01B4B">
        <w:t xml:space="preserve">science communication and </w:t>
      </w:r>
      <w:r w:rsidR="002A0A96">
        <w:t xml:space="preserve">always made </w:t>
      </w:r>
      <w:r w:rsidR="002A4B9D">
        <w:t xml:space="preserve">everything </w:t>
      </w:r>
      <w:r w:rsidR="002A0A96">
        <w:t xml:space="preserve">seem </w:t>
      </w:r>
      <w:r w:rsidR="002A4B9D">
        <w:t>a little less scary</w:t>
      </w:r>
      <w:r>
        <w:t xml:space="preserve">. </w:t>
      </w:r>
      <w:r w:rsidR="009771B0">
        <w:t>Thank you for encouraging me and teaching me through example.</w:t>
      </w:r>
    </w:p>
    <w:p w14:paraId="042F7D44" w14:textId="3182719F" w:rsidR="00732CB2" w:rsidRDefault="002A0A96" w:rsidP="0047542F">
      <w:pPr>
        <w:pStyle w:val="Paragraph-text"/>
      </w:pPr>
      <w:r>
        <w:t xml:space="preserve">This </w:t>
      </w:r>
      <w:r w:rsidR="008C4E6E">
        <w:t xml:space="preserve">work </w:t>
      </w:r>
      <w:r w:rsidR="000E662B">
        <w:t>is</w:t>
      </w:r>
      <w:r>
        <w:t xml:space="preserve"> a testimonial to</w:t>
      </w:r>
      <w:r w:rsidR="00407BB7">
        <w:t xml:space="preserve"> </w:t>
      </w:r>
      <w:r w:rsidR="008C4E6E">
        <w:t xml:space="preserve">the love, dedication and generosity the women in my life have shown me. </w:t>
      </w:r>
      <w:r w:rsidR="00D36232">
        <w:t xml:space="preserve">My mothers </w:t>
      </w:r>
      <w:r w:rsidR="008C4E6E">
        <w:t>Linda, Laurel, Joanne and Cecile taught me that true strength works through kindness</w:t>
      </w:r>
      <w:r w:rsidR="009771B0">
        <w:t xml:space="preserve">, and </w:t>
      </w:r>
      <w:r w:rsidR="008C4E6E">
        <w:t xml:space="preserve">hard work comes easier to those who are wise to their own strength. </w:t>
      </w:r>
      <w:r w:rsidR="00D36232">
        <w:t>Formally speaking, m</w:t>
      </w:r>
      <w:r w:rsidR="008C4E6E">
        <w:t xml:space="preserve">y best friend </w:t>
      </w:r>
      <w:r w:rsidR="00C455D2">
        <w:t>Rach</w:t>
      </w:r>
      <w:r w:rsidR="008C4E6E">
        <w:t>el</w:t>
      </w:r>
      <w:r w:rsidR="00C455D2">
        <w:t xml:space="preserve"> </w:t>
      </w:r>
      <w:r w:rsidR="00D36232">
        <w:t xml:space="preserve">is the reason I was prepared for my defense, but I </w:t>
      </w:r>
      <w:r w:rsidR="009771B0">
        <w:t>thank her</w:t>
      </w:r>
      <w:r w:rsidR="00D36232">
        <w:t xml:space="preserve"> showing confidence</w:t>
      </w:r>
      <w:r>
        <w:t xml:space="preserve"> in my abilities during periods </w:t>
      </w:r>
      <w:r w:rsidR="009771B0">
        <w:t xml:space="preserve">when </w:t>
      </w:r>
      <w:r w:rsidR="00D36232">
        <w:t>I</w:t>
      </w:r>
      <w:r>
        <w:t xml:space="preserve"> </w:t>
      </w:r>
      <w:r w:rsidR="00D36232">
        <w:t xml:space="preserve">began to </w:t>
      </w:r>
      <w:r>
        <w:t>doubt my own</w:t>
      </w:r>
      <w:r w:rsidR="00D36232">
        <w:t xml:space="preserve">. </w:t>
      </w:r>
      <w:r w:rsidR="009771B0">
        <w:t xml:space="preserve">Finally, my heart goes to </w:t>
      </w:r>
      <w:r w:rsidR="00C455D2">
        <w:t>my future husband M</w:t>
      </w:r>
      <w:r w:rsidR="00732CB2">
        <w:t>att James,</w:t>
      </w:r>
      <w:r w:rsidRPr="002A0A96">
        <w:t xml:space="preserve"> </w:t>
      </w:r>
      <w:r w:rsidR="009771B0">
        <w:t xml:space="preserve">for keeping up with me </w:t>
      </w:r>
      <w:r>
        <w:t xml:space="preserve">and </w:t>
      </w:r>
      <w:r w:rsidR="00732CB2">
        <w:t xml:space="preserve">for </w:t>
      </w:r>
      <w:r w:rsidR="002E4C47">
        <w:t>the two eggs and toast every</w:t>
      </w:r>
      <w:r w:rsidR="00C455D2">
        <w:t xml:space="preserve"> morning</w:t>
      </w:r>
      <w:r w:rsidR="00732CB2">
        <w:t xml:space="preserve">. </w:t>
      </w:r>
    </w:p>
    <w:p w14:paraId="00DB64C3" w14:textId="77777777" w:rsidR="00D05CAC" w:rsidRPr="00EC7258" w:rsidRDefault="00D05CAC" w:rsidP="00C01D9F">
      <w:pPr>
        <w:pStyle w:val="Heading1"/>
      </w:pPr>
      <w:bookmarkStart w:id="1" w:name="_Toc510174005"/>
      <w:r w:rsidRPr="00EC7258">
        <w:lastRenderedPageBreak/>
        <w:t>ABSTRACT</w:t>
      </w:r>
      <w:bookmarkEnd w:id="1"/>
    </w:p>
    <w:p w14:paraId="07F0EDC4" w14:textId="77777777" w:rsidR="00D421E8" w:rsidRPr="00EC7258" w:rsidRDefault="00D421E8" w:rsidP="00D421E8">
      <w:pPr>
        <w:pStyle w:val="StyleCentered"/>
      </w:pPr>
      <w:r w:rsidRPr="00EC7258">
        <w:t>IMPACT OF BODYWEIGHT ON TISSUE-SPECIFIC FOLATE STATUS, GENOME WIDE AND GENE-SPECIFIC DNA METHYLATION IN NORMAL BREAST TISSUES FROM PREMENOPAUSAL WOMEN</w:t>
      </w:r>
    </w:p>
    <w:p w14:paraId="737414F7" w14:textId="77777777" w:rsidR="00D05CAC" w:rsidRPr="003D5CCA" w:rsidRDefault="00D05CAC" w:rsidP="00D05CAC">
      <w:pPr>
        <w:pStyle w:val="StyleCentered"/>
      </w:pPr>
    </w:p>
    <w:p w14:paraId="47554EFA" w14:textId="13B318E9" w:rsidR="00D05CAC" w:rsidRPr="003D5CCA" w:rsidRDefault="00D421E8" w:rsidP="00D05CAC">
      <w:pPr>
        <w:pStyle w:val="StyleCentered"/>
      </w:pPr>
      <w:r>
        <w:t>MAY 2018</w:t>
      </w:r>
    </w:p>
    <w:p w14:paraId="2EC3A16A" w14:textId="77777777" w:rsidR="00D05CAC" w:rsidRPr="003D5CCA" w:rsidRDefault="00D05CAC" w:rsidP="00D05CAC">
      <w:pPr>
        <w:pStyle w:val="StyleCentered"/>
      </w:pPr>
    </w:p>
    <w:p w14:paraId="22143C1F" w14:textId="6C6BDFE1" w:rsidR="00D05CAC" w:rsidRPr="003D5CCA" w:rsidRDefault="00D421E8" w:rsidP="00D05CAC">
      <w:pPr>
        <w:pStyle w:val="StyleCentered"/>
      </w:pPr>
      <w:r>
        <w:t>ARMINA-LYN FREDERICK, B.S</w:t>
      </w:r>
      <w:r w:rsidR="00D05CAC" w:rsidRPr="003D5CCA">
        <w:t xml:space="preserve">., </w:t>
      </w:r>
      <w:r>
        <w:t>UNIVERSITY OF MASSACHUSETTS AMHERST</w:t>
      </w:r>
    </w:p>
    <w:p w14:paraId="37C279FE" w14:textId="77777777" w:rsidR="00D05CAC" w:rsidRPr="003D5CCA" w:rsidRDefault="00D05CAC" w:rsidP="00D421E8">
      <w:pPr>
        <w:pStyle w:val="StyleCentered"/>
        <w:jc w:val="left"/>
      </w:pPr>
    </w:p>
    <w:p w14:paraId="3ACECFD4" w14:textId="0F9D01D1" w:rsidR="00D05CAC" w:rsidRPr="003D5CCA" w:rsidRDefault="00D421E8" w:rsidP="00D05CAC">
      <w:pPr>
        <w:pStyle w:val="StyleCentered"/>
      </w:pPr>
      <w:r>
        <w:t>M.S</w:t>
      </w:r>
      <w:r w:rsidR="00D05CAC" w:rsidRPr="003D5CCA">
        <w:t>., UNIVERSITY OF MASSACHUSETTS AMHERST</w:t>
      </w:r>
    </w:p>
    <w:p w14:paraId="2B07C797" w14:textId="77777777" w:rsidR="00D05CAC" w:rsidRPr="003D5CCA" w:rsidRDefault="00D05CAC" w:rsidP="00D05CAC">
      <w:pPr>
        <w:pStyle w:val="StyleCentered"/>
      </w:pPr>
    </w:p>
    <w:p w14:paraId="6480C1F2" w14:textId="714D5EE3" w:rsidR="00D05CAC" w:rsidRDefault="00D05CAC" w:rsidP="00D05CAC">
      <w:pPr>
        <w:pStyle w:val="StyleCentered"/>
      </w:pPr>
      <w:r w:rsidRPr="003D5CCA">
        <w:t xml:space="preserve">Directed by: Professor </w:t>
      </w:r>
      <w:r w:rsidR="00D421E8">
        <w:t>Zhenhua Liu</w:t>
      </w:r>
    </w:p>
    <w:p w14:paraId="5A9E1FE5" w14:textId="77777777" w:rsidR="000A7200" w:rsidRPr="003D5CCA" w:rsidRDefault="000A7200" w:rsidP="00D05CAC">
      <w:pPr>
        <w:pStyle w:val="StyleCentered"/>
      </w:pPr>
    </w:p>
    <w:p w14:paraId="0BF27DF1" w14:textId="06C41180" w:rsidR="00D05CAC" w:rsidRDefault="000A7200" w:rsidP="000A7200">
      <w:pPr>
        <w:pStyle w:val="StyleCentered"/>
        <w:spacing w:line="480" w:lineRule="auto"/>
        <w:jc w:val="left"/>
      </w:pPr>
      <w:r>
        <w:t xml:space="preserve">Obesity has reached an epidemic level in the United States. A number of epidemiological studies have established obesity as a critical risk factor for postmenopausal breast cancer (post-BC), whereas a reverse association holds prior to menopause. A significant scientific gap exists in understanding the mechanism(s) underpinning this epidemiological phenomenon, particularly the reverse association between obesity and premenopausal breast cancer (pre-BC). This study aimed to understand how folate metabolism and DNA methylation informs the association between obesity and pre-BC. Fifty normal breast tissue samples were collected from premenopausal women who underwent reduction mammoplasty. We developed and measured the breast tissue folate by a Lactobacillus Casei microbiological assay, and the DNA methylation of </w:t>
      </w:r>
      <w:r w:rsidRPr="003317A3">
        <w:t>LINE-1</w:t>
      </w:r>
      <w:r>
        <w:t xml:space="preserve">, a biomarker of genome-wide methylation, and the promoter methylation and gene expression of SFRP1, a tumor suppressor, were measured by pyrosequencing and real-time PCR. We found a high BMI is associated with increased folate level in the mammary tissue, with an increase of 2.65 ng/g of folate per every 5-unit increase of BMI (p &lt; 0.05). The </w:t>
      </w:r>
      <w:r w:rsidRPr="003317A3">
        <w:t>LINE-1</w:t>
      </w:r>
      <w:r>
        <w:t xml:space="preserve"> DNA methylation was significantly associated with BMI (p &lt; 0.05), and marginally associated with folate concentration (p = 0.087).  For the 8 CpG </w:t>
      </w:r>
      <w:r>
        <w:lastRenderedPageBreak/>
        <w:t xml:space="preserve">sites analyzed in the promoter region of the SFRP1 gene, no associations were observed for either BMI or tissue folate (p &gt; 0.05), although a high expression of SFRP1 was observed in subjects with high BMI or high folate (p &lt; 0.05). This study demonstrated that, in premenopausal women, obesity is associated with an increased mammary folate status, genome-wide DNA methylation and SFRP1 gene expression, indicating that the improved folate and epigenetic status is potentially responsible for the reverse association between obesity and pre-BC. More studies are warranted to further understand how obesity mediates pre-BC via altering folate metabolism and DNA methylation. </w:t>
      </w:r>
    </w:p>
    <w:p w14:paraId="25213A3E" w14:textId="2AE01F16" w:rsidR="000A7200" w:rsidRDefault="000A7200">
      <w:pPr>
        <w:suppressAutoHyphens w:val="0"/>
      </w:pPr>
      <w:r>
        <w:br w:type="page"/>
      </w:r>
    </w:p>
    <w:p w14:paraId="731562AF" w14:textId="77777777" w:rsidR="000A7200" w:rsidRDefault="000A7200" w:rsidP="000A7200">
      <w:pPr>
        <w:pStyle w:val="StyleCentered"/>
        <w:spacing w:line="480" w:lineRule="auto"/>
        <w:jc w:val="left"/>
      </w:pPr>
    </w:p>
    <w:p w14:paraId="70D64291" w14:textId="77777777" w:rsidR="00D05CAC" w:rsidRPr="00C9585F" w:rsidRDefault="00D05CAC" w:rsidP="00D05CAC">
      <w:pPr>
        <w:pStyle w:val="StyleBoldCentered"/>
      </w:pPr>
      <w:r w:rsidRPr="00C9585F">
        <w:t>TABLE OF CONTENTS</w:t>
      </w:r>
    </w:p>
    <w:p w14:paraId="66C4A178" w14:textId="77777777" w:rsidR="00D05CAC" w:rsidRDefault="00D05CAC" w:rsidP="00D05CAC">
      <w:pPr>
        <w:pStyle w:val="StyleCentered"/>
      </w:pPr>
    </w:p>
    <w:p w14:paraId="20736EE8" w14:textId="77777777" w:rsidR="00D05CAC" w:rsidRDefault="00D05CAC" w:rsidP="00D05CAC">
      <w:pPr>
        <w:tabs>
          <w:tab w:val="right" w:pos="8640"/>
        </w:tabs>
      </w:pPr>
      <w:r>
        <w:tab/>
        <w:t>Page</w:t>
      </w:r>
    </w:p>
    <w:p w14:paraId="07728CDB" w14:textId="77777777" w:rsidR="00D05CAC" w:rsidRDefault="00D05CAC" w:rsidP="00D05CAC">
      <w:pPr>
        <w:tabs>
          <w:tab w:val="right" w:pos="8640"/>
        </w:tabs>
      </w:pPr>
    </w:p>
    <w:p w14:paraId="08E89CF1" w14:textId="14F9B0BE" w:rsidR="00B24691" w:rsidRDefault="00541CA6">
      <w:pPr>
        <w:pStyle w:val="TOC1"/>
        <w:rPr>
          <w:rFonts w:asciiTheme="minorHAnsi" w:eastAsiaTheme="minorEastAsia" w:hAnsiTheme="minorHAnsi" w:cstheme="minorBidi"/>
          <w:noProof/>
        </w:rPr>
      </w:pPr>
      <w:r>
        <w:rPr>
          <w:noProof/>
        </w:rPr>
        <w:fldChar w:fldCharType="begin"/>
      </w:r>
      <w:r>
        <w:rPr>
          <w:noProof/>
        </w:rPr>
        <w:instrText xml:space="preserve"> TOC \o "1-5" </w:instrText>
      </w:r>
      <w:r>
        <w:rPr>
          <w:noProof/>
        </w:rPr>
        <w:fldChar w:fldCharType="separate"/>
      </w:r>
      <w:r w:rsidR="00B24691">
        <w:rPr>
          <w:noProof/>
        </w:rPr>
        <w:t>ACKNOWLEDGEMENTS</w:t>
      </w:r>
      <w:r w:rsidR="00B24691">
        <w:rPr>
          <w:noProof/>
        </w:rPr>
        <w:tab/>
      </w:r>
      <w:r w:rsidR="00B24691">
        <w:rPr>
          <w:noProof/>
        </w:rPr>
        <w:fldChar w:fldCharType="begin"/>
      </w:r>
      <w:r w:rsidR="00B24691">
        <w:rPr>
          <w:noProof/>
        </w:rPr>
        <w:instrText xml:space="preserve"> PAGEREF _Toc510174004 \h </w:instrText>
      </w:r>
      <w:r w:rsidR="00B24691">
        <w:rPr>
          <w:noProof/>
        </w:rPr>
      </w:r>
      <w:r w:rsidR="00B24691">
        <w:rPr>
          <w:noProof/>
        </w:rPr>
        <w:fldChar w:fldCharType="separate"/>
      </w:r>
      <w:r w:rsidR="00FB4F39">
        <w:rPr>
          <w:noProof/>
        </w:rPr>
        <w:t>iv</w:t>
      </w:r>
      <w:r w:rsidR="00B24691">
        <w:rPr>
          <w:noProof/>
        </w:rPr>
        <w:fldChar w:fldCharType="end"/>
      </w:r>
    </w:p>
    <w:p w14:paraId="5ED98977" w14:textId="34532F47" w:rsidR="00B24691" w:rsidRDefault="00B24691">
      <w:pPr>
        <w:pStyle w:val="TOC1"/>
        <w:rPr>
          <w:rFonts w:asciiTheme="minorHAnsi" w:eastAsiaTheme="minorEastAsia" w:hAnsiTheme="minorHAnsi" w:cstheme="minorBidi"/>
          <w:noProof/>
        </w:rPr>
      </w:pPr>
      <w:r>
        <w:rPr>
          <w:noProof/>
        </w:rPr>
        <w:t>ABSTRACT</w:t>
      </w:r>
      <w:r>
        <w:rPr>
          <w:noProof/>
        </w:rPr>
        <w:tab/>
      </w:r>
      <w:r>
        <w:rPr>
          <w:noProof/>
        </w:rPr>
        <w:fldChar w:fldCharType="begin"/>
      </w:r>
      <w:r>
        <w:rPr>
          <w:noProof/>
        </w:rPr>
        <w:instrText xml:space="preserve"> PAGEREF _Toc510174005 \h </w:instrText>
      </w:r>
      <w:r>
        <w:rPr>
          <w:noProof/>
        </w:rPr>
      </w:r>
      <w:r>
        <w:rPr>
          <w:noProof/>
        </w:rPr>
        <w:fldChar w:fldCharType="separate"/>
      </w:r>
      <w:r w:rsidR="00FB4F39">
        <w:rPr>
          <w:noProof/>
        </w:rPr>
        <w:t>v</w:t>
      </w:r>
      <w:r>
        <w:rPr>
          <w:noProof/>
        </w:rPr>
        <w:fldChar w:fldCharType="end"/>
      </w:r>
    </w:p>
    <w:p w14:paraId="5A7B71BF" w14:textId="7CC0453B" w:rsidR="00B24691" w:rsidRDefault="00B24691">
      <w:pPr>
        <w:pStyle w:val="TOC1"/>
        <w:rPr>
          <w:rFonts w:asciiTheme="minorHAnsi" w:eastAsiaTheme="minorEastAsia" w:hAnsiTheme="minorHAnsi" w:cstheme="minorBidi"/>
          <w:noProof/>
        </w:rPr>
      </w:pPr>
      <w:r>
        <w:rPr>
          <w:noProof/>
        </w:rPr>
        <w:t>LIST OF TABLES</w:t>
      </w:r>
      <w:r>
        <w:rPr>
          <w:noProof/>
        </w:rPr>
        <w:tab/>
      </w:r>
      <w:r>
        <w:rPr>
          <w:noProof/>
        </w:rPr>
        <w:fldChar w:fldCharType="begin"/>
      </w:r>
      <w:r>
        <w:rPr>
          <w:noProof/>
        </w:rPr>
        <w:instrText xml:space="preserve"> PAGEREF _Toc510174006 \h </w:instrText>
      </w:r>
      <w:r>
        <w:rPr>
          <w:noProof/>
        </w:rPr>
      </w:r>
      <w:r>
        <w:rPr>
          <w:noProof/>
        </w:rPr>
        <w:fldChar w:fldCharType="separate"/>
      </w:r>
      <w:r w:rsidR="00FB4F39">
        <w:rPr>
          <w:noProof/>
        </w:rPr>
        <w:t>ix</w:t>
      </w:r>
      <w:r>
        <w:rPr>
          <w:noProof/>
        </w:rPr>
        <w:fldChar w:fldCharType="end"/>
      </w:r>
    </w:p>
    <w:p w14:paraId="4CC78C38" w14:textId="0FF411D4" w:rsidR="00B24691" w:rsidRDefault="00B24691">
      <w:pPr>
        <w:pStyle w:val="TOC1"/>
        <w:rPr>
          <w:rFonts w:asciiTheme="minorHAnsi" w:eastAsiaTheme="minorEastAsia" w:hAnsiTheme="minorHAnsi" w:cstheme="minorBidi"/>
          <w:noProof/>
        </w:rPr>
      </w:pPr>
      <w:r>
        <w:rPr>
          <w:noProof/>
        </w:rPr>
        <w:t>LIST OF FIGURES</w:t>
      </w:r>
      <w:r>
        <w:rPr>
          <w:noProof/>
        </w:rPr>
        <w:tab/>
      </w:r>
      <w:r>
        <w:rPr>
          <w:noProof/>
        </w:rPr>
        <w:fldChar w:fldCharType="begin"/>
      </w:r>
      <w:r>
        <w:rPr>
          <w:noProof/>
        </w:rPr>
        <w:instrText xml:space="preserve"> PAGEREF _Toc510174007 \h </w:instrText>
      </w:r>
      <w:r>
        <w:rPr>
          <w:noProof/>
        </w:rPr>
      </w:r>
      <w:r>
        <w:rPr>
          <w:noProof/>
        </w:rPr>
        <w:fldChar w:fldCharType="separate"/>
      </w:r>
      <w:r w:rsidR="00FB4F39">
        <w:rPr>
          <w:noProof/>
        </w:rPr>
        <w:t>x</w:t>
      </w:r>
      <w:r>
        <w:rPr>
          <w:noProof/>
        </w:rPr>
        <w:fldChar w:fldCharType="end"/>
      </w:r>
    </w:p>
    <w:p w14:paraId="531DD49F" w14:textId="77777777" w:rsidR="005A52D8" w:rsidRDefault="005A52D8">
      <w:pPr>
        <w:pStyle w:val="TOC1"/>
        <w:rPr>
          <w:noProof/>
        </w:rPr>
      </w:pPr>
      <w:r>
        <w:rPr>
          <w:noProof/>
        </w:rPr>
        <w:t>CHAPTER</w:t>
      </w:r>
    </w:p>
    <w:p w14:paraId="1E5B2666" w14:textId="7B651782" w:rsidR="00B24691" w:rsidRDefault="00B24691">
      <w:pPr>
        <w:pStyle w:val="TOC1"/>
        <w:rPr>
          <w:rFonts w:asciiTheme="minorHAnsi" w:eastAsiaTheme="minorEastAsia" w:hAnsiTheme="minorHAnsi" w:cstheme="minorBidi"/>
          <w:noProof/>
        </w:rPr>
      </w:pPr>
      <w:r>
        <w:rPr>
          <w:noProof/>
        </w:rPr>
        <w:t>1. INTRODUCTION</w:t>
      </w:r>
      <w:r>
        <w:rPr>
          <w:noProof/>
        </w:rPr>
        <w:tab/>
      </w:r>
      <w:r>
        <w:rPr>
          <w:noProof/>
        </w:rPr>
        <w:fldChar w:fldCharType="begin"/>
      </w:r>
      <w:r>
        <w:rPr>
          <w:noProof/>
        </w:rPr>
        <w:instrText xml:space="preserve"> PAGEREF _Toc510174008 \h </w:instrText>
      </w:r>
      <w:r>
        <w:rPr>
          <w:noProof/>
        </w:rPr>
      </w:r>
      <w:r>
        <w:rPr>
          <w:noProof/>
        </w:rPr>
        <w:fldChar w:fldCharType="separate"/>
      </w:r>
      <w:r w:rsidR="00FB4F39">
        <w:rPr>
          <w:noProof/>
        </w:rPr>
        <w:t>1</w:t>
      </w:r>
      <w:r>
        <w:rPr>
          <w:noProof/>
        </w:rPr>
        <w:fldChar w:fldCharType="end"/>
      </w:r>
    </w:p>
    <w:p w14:paraId="29DCD9AB" w14:textId="76F03B69" w:rsidR="00B24691" w:rsidRDefault="00B24691">
      <w:pPr>
        <w:pStyle w:val="TOC1"/>
        <w:rPr>
          <w:rFonts w:asciiTheme="minorHAnsi" w:eastAsiaTheme="minorEastAsia" w:hAnsiTheme="minorHAnsi" w:cstheme="minorBidi"/>
          <w:noProof/>
        </w:rPr>
      </w:pPr>
      <w:r>
        <w:rPr>
          <w:noProof/>
        </w:rPr>
        <w:t xml:space="preserve">2. </w:t>
      </w:r>
      <w:r w:rsidRPr="009D5E4F">
        <w:rPr>
          <w:caps/>
          <w:noProof/>
        </w:rPr>
        <w:t>LITERATURE REVIEW</w:t>
      </w:r>
      <w:r>
        <w:rPr>
          <w:noProof/>
        </w:rPr>
        <w:tab/>
      </w:r>
      <w:r>
        <w:rPr>
          <w:noProof/>
        </w:rPr>
        <w:fldChar w:fldCharType="begin"/>
      </w:r>
      <w:r>
        <w:rPr>
          <w:noProof/>
        </w:rPr>
        <w:instrText xml:space="preserve"> PAGEREF _Toc510174009 \h </w:instrText>
      </w:r>
      <w:r>
        <w:rPr>
          <w:noProof/>
        </w:rPr>
      </w:r>
      <w:r>
        <w:rPr>
          <w:noProof/>
        </w:rPr>
        <w:fldChar w:fldCharType="separate"/>
      </w:r>
      <w:r w:rsidR="00FB4F39">
        <w:rPr>
          <w:noProof/>
        </w:rPr>
        <w:t>5</w:t>
      </w:r>
      <w:r>
        <w:rPr>
          <w:noProof/>
        </w:rPr>
        <w:fldChar w:fldCharType="end"/>
      </w:r>
    </w:p>
    <w:p w14:paraId="18973AF5" w14:textId="79891F21" w:rsidR="00B24691" w:rsidRDefault="00B24691">
      <w:pPr>
        <w:pStyle w:val="TOC2"/>
        <w:rPr>
          <w:rFonts w:asciiTheme="minorHAnsi" w:eastAsiaTheme="minorEastAsia" w:hAnsiTheme="minorHAnsi" w:cstheme="minorBidi"/>
          <w:noProof/>
        </w:rPr>
      </w:pPr>
      <w:r>
        <w:rPr>
          <w:noProof/>
        </w:rPr>
        <w:t>2.1 Breast Cancer</w:t>
      </w:r>
      <w:r>
        <w:rPr>
          <w:noProof/>
        </w:rPr>
        <w:tab/>
      </w:r>
      <w:r>
        <w:rPr>
          <w:noProof/>
        </w:rPr>
        <w:fldChar w:fldCharType="begin"/>
      </w:r>
      <w:r>
        <w:rPr>
          <w:noProof/>
        </w:rPr>
        <w:instrText xml:space="preserve"> PAGEREF _Toc510174010 \h </w:instrText>
      </w:r>
      <w:r>
        <w:rPr>
          <w:noProof/>
        </w:rPr>
      </w:r>
      <w:r>
        <w:rPr>
          <w:noProof/>
        </w:rPr>
        <w:fldChar w:fldCharType="separate"/>
      </w:r>
      <w:r w:rsidR="00FB4F39">
        <w:rPr>
          <w:noProof/>
        </w:rPr>
        <w:t>5</w:t>
      </w:r>
      <w:r>
        <w:rPr>
          <w:noProof/>
        </w:rPr>
        <w:fldChar w:fldCharType="end"/>
      </w:r>
    </w:p>
    <w:p w14:paraId="7CBD8791" w14:textId="64F1A075" w:rsidR="00B24691" w:rsidRDefault="00B24691">
      <w:pPr>
        <w:pStyle w:val="TOC2"/>
        <w:rPr>
          <w:rFonts w:asciiTheme="minorHAnsi" w:eastAsiaTheme="minorEastAsia" w:hAnsiTheme="minorHAnsi" w:cstheme="minorBidi"/>
          <w:noProof/>
        </w:rPr>
      </w:pPr>
      <w:r>
        <w:rPr>
          <w:noProof/>
        </w:rPr>
        <w:t>2.2 Obesity and Breast Cancer</w:t>
      </w:r>
      <w:r>
        <w:rPr>
          <w:noProof/>
        </w:rPr>
        <w:tab/>
      </w:r>
      <w:r>
        <w:rPr>
          <w:noProof/>
        </w:rPr>
        <w:fldChar w:fldCharType="begin"/>
      </w:r>
      <w:r>
        <w:rPr>
          <w:noProof/>
        </w:rPr>
        <w:instrText xml:space="preserve"> PAGEREF _Toc510174011 \h </w:instrText>
      </w:r>
      <w:r>
        <w:rPr>
          <w:noProof/>
        </w:rPr>
      </w:r>
      <w:r>
        <w:rPr>
          <w:noProof/>
        </w:rPr>
        <w:fldChar w:fldCharType="separate"/>
      </w:r>
      <w:r w:rsidR="00FB4F39">
        <w:rPr>
          <w:noProof/>
        </w:rPr>
        <w:t>6</w:t>
      </w:r>
      <w:r>
        <w:rPr>
          <w:noProof/>
        </w:rPr>
        <w:fldChar w:fldCharType="end"/>
      </w:r>
    </w:p>
    <w:p w14:paraId="0E06B938" w14:textId="01126745" w:rsidR="00B24691" w:rsidRDefault="00B24691">
      <w:pPr>
        <w:pStyle w:val="TOC2"/>
        <w:rPr>
          <w:rFonts w:asciiTheme="minorHAnsi" w:eastAsiaTheme="minorEastAsia" w:hAnsiTheme="minorHAnsi" w:cstheme="minorBidi"/>
          <w:noProof/>
        </w:rPr>
      </w:pPr>
      <w:r>
        <w:rPr>
          <w:noProof/>
        </w:rPr>
        <w:t>2.3 Epigenetic Alterations in Breast Cancer</w:t>
      </w:r>
      <w:r>
        <w:rPr>
          <w:noProof/>
        </w:rPr>
        <w:tab/>
      </w:r>
      <w:r>
        <w:rPr>
          <w:noProof/>
        </w:rPr>
        <w:fldChar w:fldCharType="begin"/>
      </w:r>
      <w:r>
        <w:rPr>
          <w:noProof/>
        </w:rPr>
        <w:instrText xml:space="preserve"> PAGEREF _Toc510174012 \h </w:instrText>
      </w:r>
      <w:r>
        <w:rPr>
          <w:noProof/>
        </w:rPr>
      </w:r>
      <w:r>
        <w:rPr>
          <w:noProof/>
        </w:rPr>
        <w:fldChar w:fldCharType="separate"/>
      </w:r>
      <w:r w:rsidR="00FB4F39">
        <w:rPr>
          <w:noProof/>
        </w:rPr>
        <w:t>7</w:t>
      </w:r>
      <w:r>
        <w:rPr>
          <w:noProof/>
        </w:rPr>
        <w:fldChar w:fldCharType="end"/>
      </w:r>
    </w:p>
    <w:p w14:paraId="334A5A8A" w14:textId="77777777" w:rsidR="00624F74" w:rsidRDefault="00624F74">
      <w:pPr>
        <w:pStyle w:val="TOC3"/>
        <w:rPr>
          <w:noProof/>
        </w:rPr>
      </w:pPr>
    </w:p>
    <w:p w14:paraId="32FC506B" w14:textId="21806971" w:rsidR="00B24691" w:rsidRDefault="00B24691">
      <w:pPr>
        <w:pStyle w:val="TOC3"/>
        <w:rPr>
          <w:rFonts w:asciiTheme="minorHAnsi" w:eastAsiaTheme="minorEastAsia" w:hAnsiTheme="minorHAnsi" w:cstheme="minorBidi"/>
          <w:noProof/>
        </w:rPr>
      </w:pPr>
      <w:r>
        <w:rPr>
          <w:noProof/>
        </w:rPr>
        <w:t>2.3.1 Gene-Specific Methylation, Obesity and Breast Cancer</w:t>
      </w:r>
      <w:r>
        <w:rPr>
          <w:noProof/>
        </w:rPr>
        <w:tab/>
      </w:r>
      <w:r>
        <w:rPr>
          <w:noProof/>
        </w:rPr>
        <w:fldChar w:fldCharType="begin"/>
      </w:r>
      <w:r>
        <w:rPr>
          <w:noProof/>
        </w:rPr>
        <w:instrText xml:space="preserve"> PAGEREF _Toc510174013 \h </w:instrText>
      </w:r>
      <w:r>
        <w:rPr>
          <w:noProof/>
        </w:rPr>
      </w:r>
      <w:r>
        <w:rPr>
          <w:noProof/>
        </w:rPr>
        <w:fldChar w:fldCharType="separate"/>
      </w:r>
      <w:r w:rsidR="00FB4F39">
        <w:rPr>
          <w:noProof/>
        </w:rPr>
        <w:t>8</w:t>
      </w:r>
      <w:r>
        <w:rPr>
          <w:noProof/>
        </w:rPr>
        <w:fldChar w:fldCharType="end"/>
      </w:r>
    </w:p>
    <w:p w14:paraId="14A5DFC2" w14:textId="519DE5CB" w:rsidR="00B24691" w:rsidRDefault="00B24691">
      <w:pPr>
        <w:pStyle w:val="TOC3"/>
        <w:rPr>
          <w:rFonts w:asciiTheme="minorHAnsi" w:eastAsiaTheme="minorEastAsia" w:hAnsiTheme="minorHAnsi" w:cstheme="minorBidi"/>
          <w:noProof/>
        </w:rPr>
      </w:pPr>
      <w:r>
        <w:rPr>
          <w:noProof/>
        </w:rPr>
        <w:t>2.3.2 Global Methylation, Obesity and Breast Cancer</w:t>
      </w:r>
      <w:r>
        <w:rPr>
          <w:noProof/>
        </w:rPr>
        <w:tab/>
      </w:r>
      <w:r>
        <w:rPr>
          <w:noProof/>
        </w:rPr>
        <w:fldChar w:fldCharType="begin"/>
      </w:r>
      <w:r>
        <w:rPr>
          <w:noProof/>
        </w:rPr>
        <w:instrText xml:space="preserve"> PAGEREF _Toc510174014 \h </w:instrText>
      </w:r>
      <w:r>
        <w:rPr>
          <w:noProof/>
        </w:rPr>
      </w:r>
      <w:r>
        <w:rPr>
          <w:noProof/>
        </w:rPr>
        <w:fldChar w:fldCharType="separate"/>
      </w:r>
      <w:r w:rsidR="00FB4F39">
        <w:rPr>
          <w:noProof/>
        </w:rPr>
        <w:t>10</w:t>
      </w:r>
      <w:r>
        <w:rPr>
          <w:noProof/>
        </w:rPr>
        <w:fldChar w:fldCharType="end"/>
      </w:r>
    </w:p>
    <w:p w14:paraId="76FAFEEC" w14:textId="77777777" w:rsidR="00624F74" w:rsidRDefault="00624F74">
      <w:pPr>
        <w:pStyle w:val="TOC2"/>
        <w:rPr>
          <w:noProof/>
        </w:rPr>
      </w:pPr>
    </w:p>
    <w:p w14:paraId="3A85C282" w14:textId="6B258781" w:rsidR="00B24691" w:rsidRDefault="00B24691">
      <w:pPr>
        <w:pStyle w:val="TOC2"/>
        <w:rPr>
          <w:rFonts w:asciiTheme="minorHAnsi" w:eastAsiaTheme="minorEastAsia" w:hAnsiTheme="minorHAnsi" w:cstheme="minorBidi"/>
          <w:noProof/>
        </w:rPr>
      </w:pPr>
      <w:r>
        <w:rPr>
          <w:noProof/>
        </w:rPr>
        <w:t>2.4 Folate Status and Breast Cancer</w:t>
      </w:r>
      <w:r>
        <w:rPr>
          <w:noProof/>
        </w:rPr>
        <w:tab/>
      </w:r>
      <w:r>
        <w:rPr>
          <w:noProof/>
        </w:rPr>
        <w:fldChar w:fldCharType="begin"/>
      </w:r>
      <w:r>
        <w:rPr>
          <w:noProof/>
        </w:rPr>
        <w:instrText xml:space="preserve"> PAGEREF _Toc510174015 \h </w:instrText>
      </w:r>
      <w:r>
        <w:rPr>
          <w:noProof/>
        </w:rPr>
      </w:r>
      <w:r>
        <w:rPr>
          <w:noProof/>
        </w:rPr>
        <w:fldChar w:fldCharType="separate"/>
      </w:r>
      <w:r w:rsidR="00FB4F39">
        <w:rPr>
          <w:noProof/>
        </w:rPr>
        <w:t>13</w:t>
      </w:r>
      <w:r>
        <w:rPr>
          <w:noProof/>
        </w:rPr>
        <w:fldChar w:fldCharType="end"/>
      </w:r>
    </w:p>
    <w:p w14:paraId="3883D56F" w14:textId="4BF3B2F2" w:rsidR="00B24691" w:rsidRDefault="00B24691">
      <w:pPr>
        <w:pStyle w:val="TOC2"/>
        <w:rPr>
          <w:rFonts w:asciiTheme="minorHAnsi" w:eastAsiaTheme="minorEastAsia" w:hAnsiTheme="minorHAnsi" w:cstheme="minorBidi"/>
          <w:noProof/>
        </w:rPr>
      </w:pPr>
      <w:r>
        <w:rPr>
          <w:noProof/>
        </w:rPr>
        <w:t>2.5 Folate and Methylation</w:t>
      </w:r>
      <w:r>
        <w:rPr>
          <w:noProof/>
        </w:rPr>
        <w:tab/>
      </w:r>
      <w:r>
        <w:rPr>
          <w:noProof/>
        </w:rPr>
        <w:fldChar w:fldCharType="begin"/>
      </w:r>
      <w:r>
        <w:rPr>
          <w:noProof/>
        </w:rPr>
        <w:instrText xml:space="preserve"> PAGEREF _Toc510174016 \h </w:instrText>
      </w:r>
      <w:r>
        <w:rPr>
          <w:noProof/>
        </w:rPr>
      </w:r>
      <w:r>
        <w:rPr>
          <w:noProof/>
        </w:rPr>
        <w:fldChar w:fldCharType="separate"/>
      </w:r>
      <w:r w:rsidR="00FB4F39">
        <w:rPr>
          <w:noProof/>
        </w:rPr>
        <w:t>23</w:t>
      </w:r>
      <w:r>
        <w:rPr>
          <w:noProof/>
        </w:rPr>
        <w:fldChar w:fldCharType="end"/>
      </w:r>
    </w:p>
    <w:p w14:paraId="5002AC4F" w14:textId="22495AB1" w:rsidR="007C14FE" w:rsidRPr="007C14FE" w:rsidRDefault="00B24691" w:rsidP="00C44215">
      <w:pPr>
        <w:pStyle w:val="TOC2"/>
        <w:spacing w:line="480" w:lineRule="auto"/>
        <w:rPr>
          <w:rFonts w:asciiTheme="minorHAnsi" w:eastAsiaTheme="minorEastAsia" w:hAnsiTheme="minorHAnsi" w:cstheme="minorBidi"/>
          <w:noProof/>
        </w:rPr>
      </w:pPr>
      <w:r>
        <w:rPr>
          <w:noProof/>
        </w:rPr>
        <w:t>2.6 Obesity, Folate Status, Methylation and Cancer</w:t>
      </w:r>
      <w:r>
        <w:rPr>
          <w:noProof/>
        </w:rPr>
        <w:tab/>
      </w:r>
      <w:r>
        <w:rPr>
          <w:noProof/>
        </w:rPr>
        <w:fldChar w:fldCharType="begin"/>
      </w:r>
      <w:r>
        <w:rPr>
          <w:noProof/>
        </w:rPr>
        <w:instrText xml:space="preserve"> PAGEREF _Toc510174017 \h </w:instrText>
      </w:r>
      <w:r>
        <w:rPr>
          <w:noProof/>
        </w:rPr>
      </w:r>
      <w:r>
        <w:rPr>
          <w:noProof/>
        </w:rPr>
        <w:fldChar w:fldCharType="separate"/>
      </w:r>
      <w:r w:rsidR="00FB4F39">
        <w:rPr>
          <w:noProof/>
        </w:rPr>
        <w:t>24</w:t>
      </w:r>
      <w:r>
        <w:rPr>
          <w:noProof/>
        </w:rPr>
        <w:fldChar w:fldCharType="end"/>
      </w:r>
    </w:p>
    <w:p w14:paraId="7541D6ED" w14:textId="0585107A" w:rsidR="00B24691" w:rsidRDefault="00624F74">
      <w:pPr>
        <w:pStyle w:val="TOC1"/>
        <w:rPr>
          <w:rFonts w:asciiTheme="minorHAnsi" w:eastAsiaTheme="minorEastAsia" w:hAnsiTheme="minorHAnsi" w:cstheme="minorBidi"/>
          <w:noProof/>
        </w:rPr>
      </w:pPr>
      <w:r>
        <w:rPr>
          <w:noProof/>
        </w:rPr>
        <w:t>3</w:t>
      </w:r>
      <w:r w:rsidR="00B24691">
        <w:rPr>
          <w:noProof/>
        </w:rPr>
        <w:t>. HYPOTHESIS AND SPECIFIC AIMS</w:t>
      </w:r>
      <w:r w:rsidR="00B24691">
        <w:rPr>
          <w:noProof/>
        </w:rPr>
        <w:tab/>
      </w:r>
      <w:r w:rsidR="00B24691">
        <w:rPr>
          <w:noProof/>
        </w:rPr>
        <w:fldChar w:fldCharType="begin"/>
      </w:r>
      <w:r w:rsidR="00B24691">
        <w:rPr>
          <w:noProof/>
        </w:rPr>
        <w:instrText xml:space="preserve"> PAGEREF _Toc510174018 \h </w:instrText>
      </w:r>
      <w:r w:rsidR="00B24691">
        <w:rPr>
          <w:noProof/>
        </w:rPr>
      </w:r>
      <w:r w:rsidR="00B24691">
        <w:rPr>
          <w:noProof/>
        </w:rPr>
        <w:fldChar w:fldCharType="separate"/>
      </w:r>
      <w:r w:rsidR="00FB4F39">
        <w:rPr>
          <w:noProof/>
        </w:rPr>
        <w:t>27</w:t>
      </w:r>
      <w:r w:rsidR="00B24691">
        <w:rPr>
          <w:noProof/>
        </w:rPr>
        <w:fldChar w:fldCharType="end"/>
      </w:r>
    </w:p>
    <w:p w14:paraId="79DF302A" w14:textId="0ED5FB5B" w:rsidR="00B24691" w:rsidRDefault="00B24691">
      <w:pPr>
        <w:pStyle w:val="TOC1"/>
        <w:rPr>
          <w:rFonts w:asciiTheme="minorHAnsi" w:eastAsiaTheme="minorEastAsia" w:hAnsiTheme="minorHAnsi" w:cstheme="minorBidi"/>
          <w:noProof/>
        </w:rPr>
      </w:pPr>
      <w:r w:rsidRPr="009D5E4F">
        <w:rPr>
          <w:caps/>
          <w:noProof/>
        </w:rPr>
        <w:t>4. METHODS</w:t>
      </w:r>
      <w:r>
        <w:rPr>
          <w:noProof/>
        </w:rPr>
        <w:tab/>
      </w:r>
      <w:r>
        <w:rPr>
          <w:noProof/>
        </w:rPr>
        <w:fldChar w:fldCharType="begin"/>
      </w:r>
      <w:r>
        <w:rPr>
          <w:noProof/>
        </w:rPr>
        <w:instrText xml:space="preserve"> PAGEREF _Toc510174019 \h </w:instrText>
      </w:r>
      <w:r>
        <w:rPr>
          <w:noProof/>
        </w:rPr>
      </w:r>
      <w:r>
        <w:rPr>
          <w:noProof/>
        </w:rPr>
        <w:fldChar w:fldCharType="separate"/>
      </w:r>
      <w:r w:rsidR="00FB4F39">
        <w:rPr>
          <w:noProof/>
        </w:rPr>
        <w:t>29</w:t>
      </w:r>
      <w:r>
        <w:rPr>
          <w:noProof/>
        </w:rPr>
        <w:fldChar w:fldCharType="end"/>
      </w:r>
    </w:p>
    <w:p w14:paraId="0247B505" w14:textId="4412100F" w:rsidR="00B24691" w:rsidRDefault="00B24691">
      <w:pPr>
        <w:pStyle w:val="TOC2"/>
        <w:rPr>
          <w:rFonts w:asciiTheme="minorHAnsi" w:eastAsiaTheme="minorEastAsia" w:hAnsiTheme="minorHAnsi" w:cstheme="minorBidi"/>
          <w:noProof/>
        </w:rPr>
      </w:pPr>
      <w:r>
        <w:rPr>
          <w:noProof/>
        </w:rPr>
        <w:t>4.1 Participants</w:t>
      </w:r>
      <w:r>
        <w:rPr>
          <w:noProof/>
        </w:rPr>
        <w:tab/>
      </w:r>
      <w:r>
        <w:rPr>
          <w:noProof/>
        </w:rPr>
        <w:fldChar w:fldCharType="begin"/>
      </w:r>
      <w:r>
        <w:rPr>
          <w:noProof/>
        </w:rPr>
        <w:instrText xml:space="preserve"> PAGEREF _Toc510174020 \h </w:instrText>
      </w:r>
      <w:r>
        <w:rPr>
          <w:noProof/>
        </w:rPr>
      </w:r>
      <w:r>
        <w:rPr>
          <w:noProof/>
        </w:rPr>
        <w:fldChar w:fldCharType="separate"/>
      </w:r>
      <w:r w:rsidR="00FB4F39">
        <w:rPr>
          <w:noProof/>
        </w:rPr>
        <w:t>29</w:t>
      </w:r>
      <w:r>
        <w:rPr>
          <w:noProof/>
        </w:rPr>
        <w:fldChar w:fldCharType="end"/>
      </w:r>
    </w:p>
    <w:p w14:paraId="13F83ABD" w14:textId="65B5C8A3" w:rsidR="00B24691" w:rsidRDefault="00B24691" w:rsidP="00320095">
      <w:pPr>
        <w:pStyle w:val="TOC2"/>
        <w:spacing w:line="480" w:lineRule="auto"/>
        <w:rPr>
          <w:rFonts w:asciiTheme="minorHAnsi" w:eastAsiaTheme="minorEastAsia" w:hAnsiTheme="minorHAnsi" w:cstheme="minorBidi"/>
          <w:noProof/>
        </w:rPr>
      </w:pPr>
      <w:r>
        <w:rPr>
          <w:noProof/>
        </w:rPr>
        <w:t>4.2 Assays</w:t>
      </w:r>
      <w:r>
        <w:rPr>
          <w:noProof/>
        </w:rPr>
        <w:tab/>
      </w:r>
      <w:r>
        <w:rPr>
          <w:noProof/>
        </w:rPr>
        <w:fldChar w:fldCharType="begin"/>
      </w:r>
      <w:r>
        <w:rPr>
          <w:noProof/>
        </w:rPr>
        <w:instrText xml:space="preserve"> PAGEREF _Toc510174021 \h </w:instrText>
      </w:r>
      <w:r>
        <w:rPr>
          <w:noProof/>
        </w:rPr>
      </w:r>
      <w:r>
        <w:rPr>
          <w:noProof/>
        </w:rPr>
        <w:fldChar w:fldCharType="separate"/>
      </w:r>
      <w:r w:rsidR="00FB4F39">
        <w:rPr>
          <w:noProof/>
        </w:rPr>
        <w:t>29</w:t>
      </w:r>
      <w:r>
        <w:rPr>
          <w:noProof/>
        </w:rPr>
        <w:fldChar w:fldCharType="end"/>
      </w:r>
    </w:p>
    <w:p w14:paraId="34F227CD" w14:textId="4DBB81C0" w:rsidR="00B24691" w:rsidRDefault="00B24691">
      <w:pPr>
        <w:pStyle w:val="TOC3"/>
        <w:rPr>
          <w:rFonts w:asciiTheme="minorHAnsi" w:eastAsiaTheme="minorEastAsia" w:hAnsiTheme="minorHAnsi" w:cstheme="minorBidi"/>
          <w:noProof/>
        </w:rPr>
      </w:pPr>
      <w:r w:rsidRPr="009D5E4F">
        <w:rPr>
          <w:i/>
          <w:noProof/>
        </w:rPr>
        <w:t>4.2.1 Lactobacillus casei</w:t>
      </w:r>
      <w:r>
        <w:rPr>
          <w:noProof/>
        </w:rPr>
        <w:t xml:space="preserve"> Microbiological Folate Assay</w:t>
      </w:r>
      <w:r>
        <w:rPr>
          <w:noProof/>
        </w:rPr>
        <w:tab/>
      </w:r>
      <w:r>
        <w:rPr>
          <w:noProof/>
        </w:rPr>
        <w:fldChar w:fldCharType="begin"/>
      </w:r>
      <w:r>
        <w:rPr>
          <w:noProof/>
        </w:rPr>
        <w:instrText xml:space="preserve"> PAGEREF _Toc510174022 \h </w:instrText>
      </w:r>
      <w:r>
        <w:rPr>
          <w:noProof/>
        </w:rPr>
      </w:r>
      <w:r>
        <w:rPr>
          <w:noProof/>
        </w:rPr>
        <w:fldChar w:fldCharType="separate"/>
      </w:r>
      <w:r w:rsidR="00FB4F39">
        <w:rPr>
          <w:noProof/>
        </w:rPr>
        <w:t>29</w:t>
      </w:r>
      <w:r>
        <w:rPr>
          <w:noProof/>
        </w:rPr>
        <w:fldChar w:fldCharType="end"/>
      </w:r>
    </w:p>
    <w:p w14:paraId="48EDA45C" w14:textId="5D2634F5" w:rsidR="00B24691" w:rsidRDefault="00B24691">
      <w:pPr>
        <w:pStyle w:val="TOC3"/>
        <w:rPr>
          <w:rFonts w:asciiTheme="minorHAnsi" w:eastAsiaTheme="minorEastAsia" w:hAnsiTheme="minorHAnsi" w:cstheme="minorBidi"/>
          <w:noProof/>
        </w:rPr>
      </w:pPr>
      <w:r>
        <w:rPr>
          <w:noProof/>
        </w:rPr>
        <w:t>4.2.2 Generation of the Folic Acid Standard and Standard Curve</w:t>
      </w:r>
      <w:r>
        <w:rPr>
          <w:noProof/>
        </w:rPr>
        <w:tab/>
      </w:r>
      <w:r>
        <w:rPr>
          <w:noProof/>
        </w:rPr>
        <w:fldChar w:fldCharType="begin"/>
      </w:r>
      <w:r>
        <w:rPr>
          <w:noProof/>
        </w:rPr>
        <w:instrText xml:space="preserve"> PAGEREF _Toc510174023 \h </w:instrText>
      </w:r>
      <w:r>
        <w:rPr>
          <w:noProof/>
        </w:rPr>
      </w:r>
      <w:r>
        <w:rPr>
          <w:noProof/>
        </w:rPr>
        <w:fldChar w:fldCharType="separate"/>
      </w:r>
      <w:r w:rsidR="00FB4F39">
        <w:rPr>
          <w:noProof/>
        </w:rPr>
        <w:t>30</w:t>
      </w:r>
      <w:r>
        <w:rPr>
          <w:noProof/>
        </w:rPr>
        <w:fldChar w:fldCharType="end"/>
      </w:r>
    </w:p>
    <w:p w14:paraId="5FC742CC" w14:textId="7B2AD18D" w:rsidR="00B24691" w:rsidRDefault="00B24691" w:rsidP="00320095">
      <w:pPr>
        <w:pStyle w:val="TOC3"/>
        <w:spacing w:line="480" w:lineRule="auto"/>
        <w:rPr>
          <w:rFonts w:asciiTheme="minorHAnsi" w:eastAsiaTheme="minorEastAsia" w:hAnsiTheme="minorHAnsi" w:cstheme="minorBidi"/>
          <w:noProof/>
        </w:rPr>
      </w:pPr>
      <w:r>
        <w:rPr>
          <w:noProof/>
        </w:rPr>
        <w:t>4.2.3 Breast Tissue Extraction and Folate Assay</w:t>
      </w:r>
      <w:r>
        <w:rPr>
          <w:noProof/>
        </w:rPr>
        <w:tab/>
      </w:r>
      <w:r>
        <w:rPr>
          <w:noProof/>
        </w:rPr>
        <w:fldChar w:fldCharType="begin"/>
      </w:r>
      <w:r>
        <w:rPr>
          <w:noProof/>
        </w:rPr>
        <w:instrText xml:space="preserve"> PAGEREF _Toc510174024 \h </w:instrText>
      </w:r>
      <w:r>
        <w:rPr>
          <w:noProof/>
        </w:rPr>
      </w:r>
      <w:r>
        <w:rPr>
          <w:noProof/>
        </w:rPr>
        <w:fldChar w:fldCharType="separate"/>
      </w:r>
      <w:r w:rsidR="00FB4F39">
        <w:rPr>
          <w:noProof/>
        </w:rPr>
        <w:t>31</w:t>
      </w:r>
      <w:r>
        <w:rPr>
          <w:noProof/>
        </w:rPr>
        <w:fldChar w:fldCharType="end"/>
      </w:r>
    </w:p>
    <w:p w14:paraId="7A5A8318" w14:textId="466887F3" w:rsidR="00B24691" w:rsidRDefault="00B24691">
      <w:pPr>
        <w:pStyle w:val="TOC2"/>
        <w:rPr>
          <w:rFonts w:asciiTheme="minorHAnsi" w:eastAsiaTheme="minorEastAsia" w:hAnsiTheme="minorHAnsi" w:cstheme="minorBidi"/>
          <w:noProof/>
        </w:rPr>
      </w:pPr>
      <w:r>
        <w:rPr>
          <w:noProof/>
        </w:rPr>
        <w:t>4.3 DNA Extraction and Gene Expression</w:t>
      </w:r>
      <w:r>
        <w:rPr>
          <w:noProof/>
        </w:rPr>
        <w:tab/>
      </w:r>
      <w:r>
        <w:rPr>
          <w:noProof/>
        </w:rPr>
        <w:fldChar w:fldCharType="begin"/>
      </w:r>
      <w:r>
        <w:rPr>
          <w:noProof/>
        </w:rPr>
        <w:instrText xml:space="preserve"> PAGEREF _Toc510174025 \h </w:instrText>
      </w:r>
      <w:r>
        <w:rPr>
          <w:noProof/>
        </w:rPr>
      </w:r>
      <w:r>
        <w:rPr>
          <w:noProof/>
        </w:rPr>
        <w:fldChar w:fldCharType="separate"/>
      </w:r>
      <w:r w:rsidR="00FB4F39">
        <w:rPr>
          <w:noProof/>
        </w:rPr>
        <w:t>32</w:t>
      </w:r>
      <w:r>
        <w:rPr>
          <w:noProof/>
        </w:rPr>
        <w:fldChar w:fldCharType="end"/>
      </w:r>
    </w:p>
    <w:p w14:paraId="7D641AA3" w14:textId="78AC64FD" w:rsidR="00B24691" w:rsidRDefault="00B24691">
      <w:pPr>
        <w:pStyle w:val="TOC2"/>
        <w:rPr>
          <w:rFonts w:asciiTheme="minorHAnsi" w:eastAsiaTheme="minorEastAsia" w:hAnsiTheme="minorHAnsi" w:cstheme="minorBidi"/>
          <w:noProof/>
        </w:rPr>
      </w:pPr>
      <w:r>
        <w:rPr>
          <w:noProof/>
        </w:rPr>
        <w:t>4.4 Pyrosequencing for DNA Methylation</w:t>
      </w:r>
      <w:r>
        <w:rPr>
          <w:noProof/>
        </w:rPr>
        <w:tab/>
      </w:r>
      <w:r>
        <w:rPr>
          <w:noProof/>
        </w:rPr>
        <w:fldChar w:fldCharType="begin"/>
      </w:r>
      <w:r>
        <w:rPr>
          <w:noProof/>
        </w:rPr>
        <w:instrText xml:space="preserve"> PAGEREF _Toc510174026 \h </w:instrText>
      </w:r>
      <w:r>
        <w:rPr>
          <w:noProof/>
        </w:rPr>
      </w:r>
      <w:r>
        <w:rPr>
          <w:noProof/>
        </w:rPr>
        <w:fldChar w:fldCharType="separate"/>
      </w:r>
      <w:r w:rsidR="00FB4F39">
        <w:rPr>
          <w:noProof/>
        </w:rPr>
        <w:t>32</w:t>
      </w:r>
      <w:r>
        <w:rPr>
          <w:noProof/>
        </w:rPr>
        <w:fldChar w:fldCharType="end"/>
      </w:r>
    </w:p>
    <w:p w14:paraId="045EE737" w14:textId="2D74C51B" w:rsidR="00B24691" w:rsidRDefault="00B24691" w:rsidP="00320095">
      <w:pPr>
        <w:pStyle w:val="TOC2"/>
        <w:spacing w:line="480" w:lineRule="auto"/>
        <w:rPr>
          <w:rFonts w:asciiTheme="minorHAnsi" w:eastAsiaTheme="minorEastAsia" w:hAnsiTheme="minorHAnsi" w:cstheme="minorBidi"/>
          <w:noProof/>
        </w:rPr>
      </w:pPr>
      <w:r>
        <w:rPr>
          <w:noProof/>
        </w:rPr>
        <w:t>4.5 Statistical analysis</w:t>
      </w:r>
      <w:r>
        <w:rPr>
          <w:noProof/>
        </w:rPr>
        <w:tab/>
      </w:r>
      <w:r>
        <w:rPr>
          <w:noProof/>
        </w:rPr>
        <w:fldChar w:fldCharType="begin"/>
      </w:r>
      <w:r>
        <w:rPr>
          <w:noProof/>
        </w:rPr>
        <w:instrText xml:space="preserve"> PAGEREF _Toc510174027 \h </w:instrText>
      </w:r>
      <w:r>
        <w:rPr>
          <w:noProof/>
        </w:rPr>
      </w:r>
      <w:r>
        <w:rPr>
          <w:noProof/>
        </w:rPr>
        <w:fldChar w:fldCharType="separate"/>
      </w:r>
      <w:r w:rsidR="00FB4F39">
        <w:rPr>
          <w:noProof/>
        </w:rPr>
        <w:t>33</w:t>
      </w:r>
      <w:r>
        <w:rPr>
          <w:noProof/>
        </w:rPr>
        <w:fldChar w:fldCharType="end"/>
      </w:r>
    </w:p>
    <w:p w14:paraId="47D8D02B" w14:textId="536F2F96" w:rsidR="00B24691" w:rsidRDefault="000949C7">
      <w:pPr>
        <w:pStyle w:val="TOC1"/>
        <w:rPr>
          <w:rFonts w:asciiTheme="minorHAnsi" w:eastAsiaTheme="minorEastAsia" w:hAnsiTheme="minorHAnsi" w:cstheme="minorBidi"/>
          <w:noProof/>
        </w:rPr>
      </w:pPr>
      <w:r>
        <w:rPr>
          <w:noProof/>
        </w:rPr>
        <w:lastRenderedPageBreak/>
        <w:t xml:space="preserve">5. </w:t>
      </w:r>
      <w:r w:rsidR="00B24691">
        <w:rPr>
          <w:noProof/>
        </w:rPr>
        <w:t>RESULTS</w:t>
      </w:r>
      <w:r w:rsidR="00B24691">
        <w:rPr>
          <w:noProof/>
        </w:rPr>
        <w:tab/>
      </w:r>
      <w:r w:rsidR="00B24691">
        <w:rPr>
          <w:noProof/>
        </w:rPr>
        <w:fldChar w:fldCharType="begin"/>
      </w:r>
      <w:r w:rsidR="00B24691">
        <w:rPr>
          <w:noProof/>
        </w:rPr>
        <w:instrText xml:space="preserve"> PAGEREF _Toc510174028 \h </w:instrText>
      </w:r>
      <w:r w:rsidR="00B24691">
        <w:rPr>
          <w:noProof/>
        </w:rPr>
      </w:r>
      <w:r w:rsidR="00B24691">
        <w:rPr>
          <w:noProof/>
        </w:rPr>
        <w:fldChar w:fldCharType="separate"/>
      </w:r>
      <w:r w:rsidR="00FB4F39">
        <w:rPr>
          <w:noProof/>
        </w:rPr>
        <w:t>34</w:t>
      </w:r>
      <w:r w:rsidR="00B24691">
        <w:rPr>
          <w:noProof/>
        </w:rPr>
        <w:fldChar w:fldCharType="end"/>
      </w:r>
    </w:p>
    <w:p w14:paraId="63B6DB62" w14:textId="623D0D52" w:rsidR="00B24691" w:rsidRDefault="00B24691">
      <w:pPr>
        <w:pStyle w:val="TOC2"/>
        <w:rPr>
          <w:rFonts w:asciiTheme="minorHAnsi" w:eastAsiaTheme="minorEastAsia" w:hAnsiTheme="minorHAnsi" w:cstheme="minorBidi"/>
          <w:noProof/>
        </w:rPr>
      </w:pPr>
      <w:r>
        <w:rPr>
          <w:noProof/>
        </w:rPr>
        <w:t>5.1 Participants</w:t>
      </w:r>
      <w:r>
        <w:rPr>
          <w:noProof/>
        </w:rPr>
        <w:tab/>
      </w:r>
      <w:r>
        <w:rPr>
          <w:noProof/>
        </w:rPr>
        <w:fldChar w:fldCharType="begin"/>
      </w:r>
      <w:r>
        <w:rPr>
          <w:noProof/>
        </w:rPr>
        <w:instrText xml:space="preserve"> PAGEREF _Toc510174029 \h </w:instrText>
      </w:r>
      <w:r>
        <w:rPr>
          <w:noProof/>
        </w:rPr>
      </w:r>
      <w:r>
        <w:rPr>
          <w:noProof/>
        </w:rPr>
        <w:fldChar w:fldCharType="separate"/>
      </w:r>
      <w:r w:rsidR="00FB4F39">
        <w:rPr>
          <w:noProof/>
        </w:rPr>
        <w:t>34</w:t>
      </w:r>
      <w:r>
        <w:rPr>
          <w:noProof/>
        </w:rPr>
        <w:fldChar w:fldCharType="end"/>
      </w:r>
    </w:p>
    <w:p w14:paraId="790B2FAA" w14:textId="1770CD9C" w:rsidR="00B24691" w:rsidRDefault="00B24691">
      <w:pPr>
        <w:pStyle w:val="TOC2"/>
        <w:rPr>
          <w:rFonts w:asciiTheme="minorHAnsi" w:eastAsiaTheme="minorEastAsia" w:hAnsiTheme="minorHAnsi" w:cstheme="minorBidi"/>
          <w:noProof/>
        </w:rPr>
      </w:pPr>
      <w:r>
        <w:rPr>
          <w:noProof/>
        </w:rPr>
        <w:t>5.2 Obesity and Mammary Tissue Folate Status</w:t>
      </w:r>
      <w:r>
        <w:rPr>
          <w:noProof/>
        </w:rPr>
        <w:tab/>
      </w:r>
      <w:r>
        <w:rPr>
          <w:noProof/>
        </w:rPr>
        <w:fldChar w:fldCharType="begin"/>
      </w:r>
      <w:r>
        <w:rPr>
          <w:noProof/>
        </w:rPr>
        <w:instrText xml:space="preserve"> PAGEREF _Toc510174030 \h </w:instrText>
      </w:r>
      <w:r>
        <w:rPr>
          <w:noProof/>
        </w:rPr>
      </w:r>
      <w:r>
        <w:rPr>
          <w:noProof/>
        </w:rPr>
        <w:fldChar w:fldCharType="separate"/>
      </w:r>
      <w:r w:rsidR="00FB4F39">
        <w:rPr>
          <w:noProof/>
        </w:rPr>
        <w:t>34</w:t>
      </w:r>
      <w:r>
        <w:rPr>
          <w:noProof/>
        </w:rPr>
        <w:fldChar w:fldCharType="end"/>
      </w:r>
    </w:p>
    <w:p w14:paraId="3D3090A2" w14:textId="756E6CB2" w:rsidR="00B24691" w:rsidRDefault="00B24691">
      <w:pPr>
        <w:pStyle w:val="TOC2"/>
        <w:rPr>
          <w:rFonts w:asciiTheme="minorHAnsi" w:eastAsiaTheme="minorEastAsia" w:hAnsiTheme="minorHAnsi" w:cstheme="minorBidi"/>
          <w:noProof/>
        </w:rPr>
      </w:pPr>
      <w:r>
        <w:rPr>
          <w:noProof/>
        </w:rPr>
        <w:t>5.3 Global DNA Methylation</w:t>
      </w:r>
      <w:r>
        <w:rPr>
          <w:noProof/>
        </w:rPr>
        <w:tab/>
      </w:r>
      <w:r>
        <w:rPr>
          <w:noProof/>
        </w:rPr>
        <w:fldChar w:fldCharType="begin"/>
      </w:r>
      <w:r>
        <w:rPr>
          <w:noProof/>
        </w:rPr>
        <w:instrText xml:space="preserve"> PAGEREF _Toc510174031 \h </w:instrText>
      </w:r>
      <w:r>
        <w:rPr>
          <w:noProof/>
        </w:rPr>
      </w:r>
      <w:r>
        <w:rPr>
          <w:noProof/>
        </w:rPr>
        <w:fldChar w:fldCharType="separate"/>
      </w:r>
      <w:r w:rsidR="00FB4F39">
        <w:rPr>
          <w:noProof/>
        </w:rPr>
        <w:t>37</w:t>
      </w:r>
      <w:r>
        <w:rPr>
          <w:noProof/>
        </w:rPr>
        <w:fldChar w:fldCharType="end"/>
      </w:r>
    </w:p>
    <w:p w14:paraId="0B2964B5" w14:textId="28E1E628" w:rsidR="00B24691" w:rsidRDefault="00B24691">
      <w:pPr>
        <w:pStyle w:val="TOC2"/>
        <w:rPr>
          <w:rFonts w:asciiTheme="minorHAnsi" w:eastAsiaTheme="minorEastAsia" w:hAnsiTheme="minorHAnsi" w:cstheme="minorBidi"/>
          <w:noProof/>
        </w:rPr>
      </w:pPr>
      <w:r>
        <w:rPr>
          <w:noProof/>
        </w:rPr>
        <w:t>5.4 Gene Expression</w:t>
      </w:r>
      <w:r>
        <w:rPr>
          <w:noProof/>
        </w:rPr>
        <w:tab/>
      </w:r>
      <w:r>
        <w:rPr>
          <w:noProof/>
        </w:rPr>
        <w:fldChar w:fldCharType="begin"/>
      </w:r>
      <w:r>
        <w:rPr>
          <w:noProof/>
        </w:rPr>
        <w:instrText xml:space="preserve"> PAGEREF _Toc510174032 \h </w:instrText>
      </w:r>
      <w:r>
        <w:rPr>
          <w:noProof/>
        </w:rPr>
      </w:r>
      <w:r>
        <w:rPr>
          <w:noProof/>
        </w:rPr>
        <w:fldChar w:fldCharType="separate"/>
      </w:r>
      <w:r w:rsidR="00FB4F39">
        <w:rPr>
          <w:noProof/>
        </w:rPr>
        <w:t>38</w:t>
      </w:r>
      <w:r>
        <w:rPr>
          <w:noProof/>
        </w:rPr>
        <w:fldChar w:fldCharType="end"/>
      </w:r>
    </w:p>
    <w:p w14:paraId="4E091CAA" w14:textId="34F8D5A9" w:rsidR="00B24691" w:rsidRDefault="00B24691" w:rsidP="00C44215">
      <w:pPr>
        <w:pStyle w:val="TOC2"/>
        <w:spacing w:line="480" w:lineRule="auto"/>
        <w:rPr>
          <w:rFonts w:asciiTheme="minorHAnsi" w:eastAsiaTheme="minorEastAsia" w:hAnsiTheme="minorHAnsi" w:cstheme="minorBidi"/>
          <w:noProof/>
        </w:rPr>
      </w:pPr>
      <w:r>
        <w:rPr>
          <w:noProof/>
        </w:rPr>
        <w:t>5.5 Gene-Specific DNA Methylation</w:t>
      </w:r>
      <w:r>
        <w:rPr>
          <w:noProof/>
        </w:rPr>
        <w:tab/>
      </w:r>
      <w:r>
        <w:rPr>
          <w:noProof/>
        </w:rPr>
        <w:fldChar w:fldCharType="begin"/>
      </w:r>
      <w:r>
        <w:rPr>
          <w:noProof/>
        </w:rPr>
        <w:instrText xml:space="preserve"> PAGEREF _Toc510174033 \h </w:instrText>
      </w:r>
      <w:r>
        <w:rPr>
          <w:noProof/>
        </w:rPr>
      </w:r>
      <w:r>
        <w:rPr>
          <w:noProof/>
        </w:rPr>
        <w:fldChar w:fldCharType="separate"/>
      </w:r>
      <w:r w:rsidR="00FB4F39">
        <w:rPr>
          <w:noProof/>
        </w:rPr>
        <w:t>40</w:t>
      </w:r>
      <w:r>
        <w:rPr>
          <w:noProof/>
        </w:rPr>
        <w:fldChar w:fldCharType="end"/>
      </w:r>
    </w:p>
    <w:p w14:paraId="4E9D8657" w14:textId="5B229B61" w:rsidR="00B24691" w:rsidRDefault="00B24691">
      <w:pPr>
        <w:pStyle w:val="TOC1"/>
        <w:rPr>
          <w:rFonts w:asciiTheme="minorHAnsi" w:eastAsiaTheme="minorEastAsia" w:hAnsiTheme="minorHAnsi" w:cstheme="minorBidi"/>
          <w:noProof/>
        </w:rPr>
      </w:pPr>
      <w:r>
        <w:rPr>
          <w:noProof/>
        </w:rPr>
        <w:t>6. DISCUSSION</w:t>
      </w:r>
      <w:r>
        <w:rPr>
          <w:noProof/>
        </w:rPr>
        <w:tab/>
      </w:r>
      <w:r>
        <w:rPr>
          <w:noProof/>
        </w:rPr>
        <w:fldChar w:fldCharType="begin"/>
      </w:r>
      <w:r>
        <w:rPr>
          <w:noProof/>
        </w:rPr>
        <w:instrText xml:space="preserve"> PAGEREF _Toc510174034 \h </w:instrText>
      </w:r>
      <w:r>
        <w:rPr>
          <w:noProof/>
        </w:rPr>
      </w:r>
      <w:r>
        <w:rPr>
          <w:noProof/>
        </w:rPr>
        <w:fldChar w:fldCharType="separate"/>
      </w:r>
      <w:r w:rsidR="00FB4F39">
        <w:rPr>
          <w:noProof/>
        </w:rPr>
        <w:t>41</w:t>
      </w:r>
      <w:r>
        <w:rPr>
          <w:noProof/>
        </w:rPr>
        <w:fldChar w:fldCharType="end"/>
      </w:r>
    </w:p>
    <w:p w14:paraId="0C37969E" w14:textId="47D05296" w:rsidR="00B24691" w:rsidRDefault="00B24691" w:rsidP="00C44215">
      <w:pPr>
        <w:pStyle w:val="TOC2"/>
        <w:spacing w:line="480" w:lineRule="auto"/>
        <w:rPr>
          <w:rFonts w:asciiTheme="minorHAnsi" w:eastAsiaTheme="minorEastAsia" w:hAnsiTheme="minorHAnsi" w:cstheme="minorBidi"/>
          <w:noProof/>
        </w:rPr>
      </w:pPr>
      <w:r>
        <w:rPr>
          <w:noProof/>
        </w:rPr>
        <w:t>6.1 Strengths and Limitations</w:t>
      </w:r>
      <w:r>
        <w:rPr>
          <w:noProof/>
        </w:rPr>
        <w:tab/>
      </w:r>
      <w:r>
        <w:rPr>
          <w:noProof/>
        </w:rPr>
        <w:fldChar w:fldCharType="begin"/>
      </w:r>
      <w:r>
        <w:rPr>
          <w:noProof/>
        </w:rPr>
        <w:instrText xml:space="preserve"> PAGEREF _Toc510174035 \h </w:instrText>
      </w:r>
      <w:r>
        <w:rPr>
          <w:noProof/>
        </w:rPr>
      </w:r>
      <w:r>
        <w:rPr>
          <w:noProof/>
        </w:rPr>
        <w:fldChar w:fldCharType="separate"/>
      </w:r>
      <w:r w:rsidR="00FB4F39">
        <w:rPr>
          <w:noProof/>
        </w:rPr>
        <w:t>41</w:t>
      </w:r>
      <w:r>
        <w:rPr>
          <w:noProof/>
        </w:rPr>
        <w:fldChar w:fldCharType="end"/>
      </w:r>
    </w:p>
    <w:p w14:paraId="4B99EB29" w14:textId="15391542" w:rsidR="00B24691" w:rsidRDefault="00B24691">
      <w:pPr>
        <w:pStyle w:val="TOC1"/>
        <w:rPr>
          <w:rFonts w:asciiTheme="minorHAnsi" w:eastAsiaTheme="minorEastAsia" w:hAnsiTheme="minorHAnsi" w:cstheme="minorBidi"/>
          <w:noProof/>
        </w:rPr>
      </w:pPr>
      <w:r>
        <w:rPr>
          <w:noProof/>
        </w:rPr>
        <w:t>7. CONCLUSIONS</w:t>
      </w:r>
      <w:r>
        <w:rPr>
          <w:noProof/>
        </w:rPr>
        <w:tab/>
      </w:r>
      <w:r>
        <w:rPr>
          <w:noProof/>
        </w:rPr>
        <w:fldChar w:fldCharType="begin"/>
      </w:r>
      <w:r>
        <w:rPr>
          <w:noProof/>
        </w:rPr>
        <w:instrText xml:space="preserve"> PAGEREF _Toc510174036 \h </w:instrText>
      </w:r>
      <w:r>
        <w:rPr>
          <w:noProof/>
        </w:rPr>
      </w:r>
      <w:r>
        <w:rPr>
          <w:noProof/>
        </w:rPr>
        <w:fldChar w:fldCharType="separate"/>
      </w:r>
      <w:r w:rsidR="00FB4F39">
        <w:rPr>
          <w:noProof/>
        </w:rPr>
        <w:t>45</w:t>
      </w:r>
      <w:r>
        <w:rPr>
          <w:noProof/>
        </w:rPr>
        <w:fldChar w:fldCharType="end"/>
      </w:r>
    </w:p>
    <w:p w14:paraId="6ADF73D6" w14:textId="46040C54" w:rsidR="00B24691" w:rsidRDefault="00B24691">
      <w:pPr>
        <w:pStyle w:val="TOC2"/>
        <w:rPr>
          <w:rFonts w:asciiTheme="minorHAnsi" w:eastAsiaTheme="minorEastAsia" w:hAnsiTheme="minorHAnsi" w:cstheme="minorBidi"/>
          <w:noProof/>
        </w:rPr>
      </w:pPr>
      <w:r>
        <w:rPr>
          <w:noProof/>
        </w:rPr>
        <w:t>7.1 Implications</w:t>
      </w:r>
      <w:r>
        <w:rPr>
          <w:noProof/>
        </w:rPr>
        <w:tab/>
      </w:r>
      <w:r>
        <w:rPr>
          <w:noProof/>
        </w:rPr>
        <w:fldChar w:fldCharType="begin"/>
      </w:r>
      <w:r>
        <w:rPr>
          <w:noProof/>
        </w:rPr>
        <w:instrText xml:space="preserve"> PAGEREF _Toc510174037 \h </w:instrText>
      </w:r>
      <w:r>
        <w:rPr>
          <w:noProof/>
        </w:rPr>
      </w:r>
      <w:r>
        <w:rPr>
          <w:noProof/>
        </w:rPr>
        <w:fldChar w:fldCharType="separate"/>
      </w:r>
      <w:r w:rsidR="00FB4F39">
        <w:rPr>
          <w:noProof/>
        </w:rPr>
        <w:t>45</w:t>
      </w:r>
      <w:r>
        <w:rPr>
          <w:noProof/>
        </w:rPr>
        <w:fldChar w:fldCharType="end"/>
      </w:r>
    </w:p>
    <w:p w14:paraId="196BC0D2" w14:textId="2668B50E" w:rsidR="00B24691" w:rsidRDefault="00B24691">
      <w:pPr>
        <w:pStyle w:val="TOC2"/>
        <w:rPr>
          <w:rFonts w:asciiTheme="minorHAnsi" w:eastAsiaTheme="minorEastAsia" w:hAnsiTheme="minorHAnsi" w:cstheme="minorBidi"/>
          <w:noProof/>
        </w:rPr>
      </w:pPr>
      <w:r>
        <w:rPr>
          <w:noProof/>
        </w:rPr>
        <w:t>7.2 Future Research Recommendations</w:t>
      </w:r>
      <w:r>
        <w:rPr>
          <w:noProof/>
        </w:rPr>
        <w:tab/>
      </w:r>
      <w:r>
        <w:rPr>
          <w:noProof/>
        </w:rPr>
        <w:fldChar w:fldCharType="begin"/>
      </w:r>
      <w:r>
        <w:rPr>
          <w:noProof/>
        </w:rPr>
        <w:instrText xml:space="preserve"> PAGEREF _Toc510174038 \h </w:instrText>
      </w:r>
      <w:r>
        <w:rPr>
          <w:noProof/>
        </w:rPr>
      </w:r>
      <w:r>
        <w:rPr>
          <w:noProof/>
        </w:rPr>
        <w:fldChar w:fldCharType="separate"/>
      </w:r>
      <w:r w:rsidR="00FB4F39">
        <w:rPr>
          <w:noProof/>
        </w:rPr>
        <w:t>45</w:t>
      </w:r>
      <w:r>
        <w:rPr>
          <w:noProof/>
        </w:rPr>
        <w:fldChar w:fldCharType="end"/>
      </w:r>
    </w:p>
    <w:p w14:paraId="55D0F74E" w14:textId="28615CC5" w:rsidR="00B24691" w:rsidRDefault="00DE158C" w:rsidP="00C44215">
      <w:pPr>
        <w:pStyle w:val="TOC2"/>
        <w:spacing w:line="480" w:lineRule="auto"/>
        <w:rPr>
          <w:rFonts w:asciiTheme="minorHAnsi" w:eastAsiaTheme="minorEastAsia" w:hAnsiTheme="minorHAnsi" w:cstheme="minorBidi"/>
          <w:noProof/>
        </w:rPr>
      </w:pPr>
      <w:r>
        <w:rPr>
          <w:noProof/>
        </w:rPr>
        <w:t>7</w:t>
      </w:r>
      <w:r w:rsidR="00B24691">
        <w:rPr>
          <w:noProof/>
        </w:rPr>
        <w:t>.3 Conclusion</w:t>
      </w:r>
      <w:r>
        <w:rPr>
          <w:noProof/>
        </w:rPr>
        <w:t>s</w:t>
      </w:r>
      <w:r w:rsidR="00B24691">
        <w:rPr>
          <w:noProof/>
        </w:rPr>
        <w:tab/>
      </w:r>
      <w:r w:rsidR="00B24691">
        <w:rPr>
          <w:noProof/>
        </w:rPr>
        <w:fldChar w:fldCharType="begin"/>
      </w:r>
      <w:r w:rsidR="00B24691">
        <w:rPr>
          <w:noProof/>
        </w:rPr>
        <w:instrText xml:space="preserve"> PAGEREF _Toc510174039 \h </w:instrText>
      </w:r>
      <w:r w:rsidR="00B24691">
        <w:rPr>
          <w:noProof/>
        </w:rPr>
      </w:r>
      <w:r w:rsidR="00B24691">
        <w:rPr>
          <w:noProof/>
        </w:rPr>
        <w:fldChar w:fldCharType="separate"/>
      </w:r>
      <w:r w:rsidR="00FB4F39">
        <w:rPr>
          <w:noProof/>
        </w:rPr>
        <w:t>46</w:t>
      </w:r>
      <w:r w:rsidR="00B24691">
        <w:rPr>
          <w:noProof/>
        </w:rPr>
        <w:fldChar w:fldCharType="end"/>
      </w:r>
    </w:p>
    <w:p w14:paraId="4CAC3BF5" w14:textId="7CE6E73A" w:rsidR="00B24691" w:rsidRDefault="00B24691">
      <w:pPr>
        <w:pStyle w:val="TOC1"/>
        <w:rPr>
          <w:rFonts w:asciiTheme="minorHAnsi" w:eastAsiaTheme="minorEastAsia" w:hAnsiTheme="minorHAnsi" w:cstheme="minorBidi"/>
          <w:noProof/>
        </w:rPr>
      </w:pPr>
      <w:r>
        <w:rPr>
          <w:noProof/>
        </w:rPr>
        <w:t>BIBLIOGRAPHY</w:t>
      </w:r>
      <w:r>
        <w:rPr>
          <w:noProof/>
        </w:rPr>
        <w:tab/>
      </w:r>
      <w:r>
        <w:rPr>
          <w:noProof/>
        </w:rPr>
        <w:fldChar w:fldCharType="begin"/>
      </w:r>
      <w:r>
        <w:rPr>
          <w:noProof/>
        </w:rPr>
        <w:instrText xml:space="preserve"> PAGEREF _Toc510174040 \h </w:instrText>
      </w:r>
      <w:r>
        <w:rPr>
          <w:noProof/>
        </w:rPr>
      </w:r>
      <w:r>
        <w:rPr>
          <w:noProof/>
        </w:rPr>
        <w:fldChar w:fldCharType="separate"/>
      </w:r>
      <w:r w:rsidR="00FB4F39">
        <w:rPr>
          <w:noProof/>
        </w:rPr>
        <w:t>4</w:t>
      </w:r>
      <w:r w:rsidR="00FB4F39">
        <w:rPr>
          <w:noProof/>
        </w:rPr>
        <w:t>8</w:t>
      </w:r>
      <w:r>
        <w:rPr>
          <w:noProof/>
        </w:rPr>
        <w:fldChar w:fldCharType="end"/>
      </w:r>
    </w:p>
    <w:p w14:paraId="5B761736" w14:textId="34C51CA4" w:rsidR="00D05CAC" w:rsidRPr="003D5CCA" w:rsidRDefault="00541CA6" w:rsidP="00D05CAC">
      <w:pPr>
        <w:tabs>
          <w:tab w:val="right" w:pos="8640"/>
        </w:tabs>
      </w:pPr>
      <w:r>
        <w:rPr>
          <w:noProof/>
        </w:rPr>
        <w:fldChar w:fldCharType="end"/>
      </w:r>
    </w:p>
    <w:p w14:paraId="5C655B5E" w14:textId="77777777" w:rsidR="008A2017" w:rsidRDefault="008A2017">
      <w:pPr>
        <w:suppressAutoHyphens w:val="0"/>
        <w:rPr>
          <w:b/>
          <w:bCs/>
          <w:szCs w:val="28"/>
        </w:rPr>
      </w:pPr>
      <w:r>
        <w:br w:type="page"/>
      </w:r>
    </w:p>
    <w:p w14:paraId="376EFC71" w14:textId="77777777" w:rsidR="00D05CAC" w:rsidRPr="00D919E9" w:rsidRDefault="00D05CAC" w:rsidP="00C01D9F">
      <w:pPr>
        <w:pStyle w:val="Heading1"/>
      </w:pPr>
      <w:bookmarkStart w:id="2" w:name="_Toc510174006"/>
      <w:r w:rsidRPr="00D919E9">
        <w:lastRenderedPageBreak/>
        <w:t>LIST OF TABLES</w:t>
      </w:r>
      <w:bookmarkEnd w:id="2"/>
    </w:p>
    <w:p w14:paraId="37D745FB" w14:textId="77777777" w:rsidR="00D05CAC" w:rsidRPr="003D5CCA" w:rsidRDefault="00D05CAC" w:rsidP="00D05CAC"/>
    <w:p w14:paraId="5CB76E0B" w14:textId="77777777" w:rsidR="007E6144" w:rsidRDefault="007E6144" w:rsidP="007E6144">
      <w:pPr>
        <w:tabs>
          <w:tab w:val="right" w:pos="8640"/>
        </w:tabs>
      </w:pPr>
      <w:r w:rsidRPr="003D5CCA">
        <w:t>Table</w:t>
      </w:r>
      <w:r w:rsidRPr="003D5CCA">
        <w:tab/>
        <w:t>Page</w:t>
      </w:r>
    </w:p>
    <w:p w14:paraId="040584D3" w14:textId="77777777" w:rsidR="007E6144" w:rsidRDefault="007E6144" w:rsidP="007E6144">
      <w:pPr>
        <w:rPr>
          <w:rFonts w:ascii="Times" w:hAnsi="Times"/>
        </w:rPr>
      </w:pPr>
      <w:r>
        <w:t xml:space="preserve"> </w:t>
      </w:r>
    </w:p>
    <w:p w14:paraId="62C54A8C" w14:textId="77777777" w:rsidR="007E6144" w:rsidRDefault="007E6144" w:rsidP="007E6144">
      <w:pPr>
        <w:rPr>
          <w:rFonts w:ascii="Times" w:hAnsi="Times"/>
        </w:rPr>
      </w:pPr>
    </w:p>
    <w:p w14:paraId="45C9CA08" w14:textId="46C79DC5" w:rsidR="007E6144" w:rsidRDefault="007E6144" w:rsidP="007E6144">
      <w:pPr>
        <w:tabs>
          <w:tab w:val="right" w:leader="dot" w:pos="8496"/>
          <w:tab w:val="right" w:leader="dot" w:pos="8640"/>
        </w:tabs>
        <w:spacing w:line="480" w:lineRule="auto"/>
        <w:rPr>
          <w:rFonts w:ascii="Times" w:hAnsi="Times"/>
        </w:rPr>
      </w:pPr>
      <w:r>
        <w:rPr>
          <w:rFonts w:ascii="Times" w:hAnsi="Times"/>
        </w:rPr>
        <w:t>1. Genes differentiall</w:t>
      </w:r>
      <w:r w:rsidR="007630BC">
        <w:rPr>
          <w:rFonts w:ascii="Times" w:hAnsi="Times"/>
        </w:rPr>
        <w:t>y</w:t>
      </w:r>
      <w:r w:rsidR="00C0158C">
        <w:rPr>
          <w:rFonts w:ascii="Times" w:hAnsi="Times"/>
        </w:rPr>
        <w:t xml:space="preserve"> methylated in breast cancer.</w:t>
      </w:r>
      <w:r w:rsidR="00C0158C">
        <w:rPr>
          <w:rFonts w:ascii="Times" w:hAnsi="Times"/>
        </w:rPr>
        <w:tab/>
        <w:t>9</w:t>
      </w:r>
    </w:p>
    <w:p w14:paraId="72EFCDF6" w14:textId="61804CC7" w:rsidR="00AE058D" w:rsidRDefault="007E6144" w:rsidP="00474ADD">
      <w:pPr>
        <w:tabs>
          <w:tab w:val="right" w:leader="dot" w:pos="8496"/>
          <w:tab w:val="right" w:leader="dot" w:pos="8640"/>
        </w:tabs>
        <w:rPr>
          <w:rFonts w:ascii="Times" w:hAnsi="Times"/>
        </w:rPr>
      </w:pPr>
      <w:r>
        <w:rPr>
          <w:rFonts w:ascii="Times" w:hAnsi="Times"/>
        </w:rPr>
        <w:t xml:space="preserve">2. </w:t>
      </w:r>
      <w:r w:rsidR="00F21D37">
        <w:rPr>
          <w:rFonts w:ascii="Times" w:hAnsi="Times"/>
        </w:rPr>
        <w:t>Pros</w:t>
      </w:r>
      <w:r w:rsidR="00F21D37" w:rsidRPr="002A713B">
        <w:t>pective studies and results on the association between</w:t>
      </w:r>
      <w:r w:rsidR="00474ADD">
        <w:t xml:space="preserve"> dietary or total </w:t>
      </w:r>
      <w:r w:rsidR="00474ADD">
        <w:br/>
      </w:r>
      <w:r w:rsidR="00EB5AE1">
        <w:t xml:space="preserve">    </w:t>
      </w:r>
      <w:r w:rsidR="00474ADD">
        <w:t xml:space="preserve">folate </w:t>
      </w:r>
      <w:r w:rsidR="00E5730B">
        <w:t xml:space="preserve">intake </w:t>
      </w:r>
      <w:r w:rsidR="00F21D37" w:rsidRPr="002A713B">
        <w:t>and breast cancer risk by premenopausal status</w:t>
      </w:r>
      <w:r>
        <w:rPr>
          <w:rFonts w:ascii="Times" w:hAnsi="Times"/>
        </w:rPr>
        <w:t>.</w:t>
      </w:r>
      <w:r>
        <w:rPr>
          <w:rFonts w:ascii="Times" w:hAnsi="Times"/>
        </w:rPr>
        <w:tab/>
      </w:r>
      <w:r w:rsidR="00C0158C">
        <w:rPr>
          <w:rFonts w:ascii="Times" w:hAnsi="Times"/>
        </w:rPr>
        <w:t>15</w:t>
      </w:r>
    </w:p>
    <w:p w14:paraId="7E9ADE34" w14:textId="62A6EE9C" w:rsidR="007E6144" w:rsidRPr="0099610E" w:rsidRDefault="007E6144" w:rsidP="00AE058D">
      <w:pPr>
        <w:tabs>
          <w:tab w:val="right" w:leader="dot" w:pos="8496"/>
          <w:tab w:val="left" w:leader="dot" w:pos="8640"/>
        </w:tabs>
        <w:spacing w:before="240" w:line="480" w:lineRule="auto"/>
        <w:rPr>
          <w:rFonts w:ascii="Times" w:hAnsi="Times"/>
        </w:rPr>
      </w:pPr>
      <w:r>
        <w:rPr>
          <w:rFonts w:ascii="Times" w:hAnsi="Times"/>
        </w:rPr>
        <w:t>3. Anthropometric</w:t>
      </w:r>
      <w:r w:rsidR="00C0158C">
        <w:rPr>
          <w:rFonts w:ascii="Times" w:hAnsi="Times"/>
        </w:rPr>
        <w:t xml:space="preserve"> characteristics of subjects.</w:t>
      </w:r>
      <w:r w:rsidR="00C0158C">
        <w:rPr>
          <w:rFonts w:ascii="Times" w:hAnsi="Times"/>
        </w:rPr>
        <w:tab/>
        <w:t>34</w:t>
      </w:r>
    </w:p>
    <w:p w14:paraId="3C38576C" w14:textId="77777777" w:rsidR="007E6144" w:rsidRPr="00E447B3" w:rsidRDefault="007E6144" w:rsidP="007E6144"/>
    <w:p w14:paraId="587E9A68" w14:textId="77777777" w:rsidR="007E6144" w:rsidRDefault="007E6144" w:rsidP="007E6144">
      <w:pPr>
        <w:rPr>
          <w:rFonts w:ascii="Times" w:eastAsiaTheme="majorEastAsia" w:hAnsi="Times" w:cstheme="majorBidi"/>
          <w:b/>
        </w:rPr>
      </w:pPr>
      <w:r>
        <w:rPr>
          <w:rFonts w:ascii="Times" w:hAnsi="Times"/>
        </w:rPr>
        <w:br w:type="page"/>
      </w:r>
    </w:p>
    <w:p w14:paraId="39B6FDEE" w14:textId="77777777" w:rsidR="007E6144" w:rsidRPr="00E447B3" w:rsidRDefault="007E6144" w:rsidP="007E6144">
      <w:pPr>
        <w:spacing w:before="100" w:beforeAutospacing="1" w:after="100" w:afterAutospacing="1" w:line="480" w:lineRule="auto"/>
        <w:rPr>
          <w:rFonts w:ascii="Times" w:hAnsi="Times"/>
        </w:rPr>
      </w:pPr>
    </w:p>
    <w:p w14:paraId="6B24F18C" w14:textId="77777777" w:rsidR="00D05CAC" w:rsidRPr="00D919E9" w:rsidRDefault="00D05CAC" w:rsidP="00C01D9F">
      <w:pPr>
        <w:pStyle w:val="Heading1"/>
      </w:pPr>
      <w:bookmarkStart w:id="3" w:name="_Toc510174007"/>
      <w:r w:rsidRPr="00D919E9">
        <w:t>LIST OF FIGURES</w:t>
      </w:r>
      <w:bookmarkEnd w:id="3"/>
    </w:p>
    <w:p w14:paraId="03537196" w14:textId="77777777" w:rsidR="00D05CAC" w:rsidRPr="003D5CCA" w:rsidRDefault="00D05CAC" w:rsidP="00D05CAC"/>
    <w:p w14:paraId="45296206" w14:textId="77777777" w:rsidR="008972A0" w:rsidRDefault="008972A0" w:rsidP="008972A0">
      <w:pPr>
        <w:tabs>
          <w:tab w:val="right" w:pos="8496"/>
        </w:tabs>
        <w:spacing w:line="480" w:lineRule="auto"/>
      </w:pPr>
      <w:r>
        <w:t>Figure</w:t>
      </w:r>
      <w:r>
        <w:tab/>
        <w:t>Page</w:t>
      </w:r>
    </w:p>
    <w:p w14:paraId="5FA25C57" w14:textId="3B5CC05A" w:rsidR="008972A0" w:rsidRDefault="00CF03A1" w:rsidP="008972A0">
      <w:pPr>
        <w:tabs>
          <w:tab w:val="right" w:leader="dot" w:pos="8496"/>
          <w:tab w:val="right" w:leader="dot" w:pos="8640"/>
        </w:tabs>
        <w:spacing w:line="480" w:lineRule="auto"/>
      </w:pPr>
      <w:r>
        <w:rPr>
          <w:rFonts w:ascii="Times" w:hAnsi="Times"/>
        </w:rPr>
        <w:t xml:space="preserve">1. </w:t>
      </w:r>
      <w:r w:rsidR="008972A0">
        <w:rPr>
          <w:rFonts w:ascii="Times" w:hAnsi="Times"/>
        </w:rPr>
        <w:t xml:space="preserve">Lactobacillus casei folic acid assay standard </w:t>
      </w:r>
      <w:r w:rsidR="008972A0" w:rsidRPr="003548FF">
        <w:rPr>
          <w:rFonts w:ascii="Times" w:hAnsi="Times"/>
        </w:rPr>
        <w:t>plate layout</w:t>
      </w:r>
      <w:r w:rsidR="008972A0">
        <w:rPr>
          <w:rFonts w:ascii="Times" w:hAnsi="Times"/>
        </w:rPr>
        <w:tab/>
      </w:r>
      <w:r w:rsidR="00C0158C">
        <w:rPr>
          <w:rFonts w:ascii="Times" w:hAnsi="Times"/>
        </w:rPr>
        <w:t>35</w:t>
      </w:r>
    </w:p>
    <w:p w14:paraId="72BD5F7A" w14:textId="58DFC525" w:rsidR="008972A0" w:rsidRDefault="008972A0" w:rsidP="008972A0">
      <w:pPr>
        <w:tabs>
          <w:tab w:val="right" w:leader="dot" w:pos="8496"/>
        </w:tabs>
        <w:spacing w:line="480" w:lineRule="auto"/>
        <w:rPr>
          <w:rFonts w:ascii="Times" w:hAnsi="Times"/>
          <w:sz w:val="20"/>
          <w:szCs w:val="20"/>
        </w:rPr>
      </w:pPr>
      <w:r w:rsidRPr="00A31486">
        <w:rPr>
          <w:rFonts w:ascii="Times" w:hAnsi="Times"/>
        </w:rPr>
        <w:t xml:space="preserve">2. </w:t>
      </w:r>
      <w:r w:rsidR="00CF03A1" w:rsidRPr="00BA0BE6">
        <w:t>Association between tissue folate and BMI</w:t>
      </w:r>
      <w:r>
        <w:rPr>
          <w:rFonts w:ascii="Times" w:hAnsi="Times"/>
          <w:sz w:val="20"/>
          <w:szCs w:val="20"/>
        </w:rPr>
        <w:tab/>
      </w:r>
      <w:r w:rsidR="00C0158C">
        <w:rPr>
          <w:rFonts w:ascii="Times" w:hAnsi="Times"/>
          <w:sz w:val="20"/>
          <w:szCs w:val="20"/>
        </w:rPr>
        <w:t>36</w:t>
      </w:r>
    </w:p>
    <w:p w14:paraId="6604BE68" w14:textId="4BE1BDB6" w:rsidR="008972A0" w:rsidRDefault="00674C2A" w:rsidP="008972A0">
      <w:pPr>
        <w:tabs>
          <w:tab w:val="right" w:leader="dot" w:pos="8496"/>
        </w:tabs>
        <w:spacing w:line="480" w:lineRule="auto"/>
        <w:rPr>
          <w:rFonts w:ascii="Times" w:hAnsi="Times"/>
        </w:rPr>
      </w:pPr>
      <w:r>
        <w:rPr>
          <w:rFonts w:ascii="Times" w:hAnsi="Times"/>
        </w:rPr>
        <w:t>3</w:t>
      </w:r>
      <w:r w:rsidR="008972A0" w:rsidRPr="00A31486">
        <w:rPr>
          <w:rFonts w:ascii="Times" w:hAnsi="Times"/>
        </w:rPr>
        <w:t>.</w:t>
      </w:r>
      <w:r w:rsidRPr="00674C2A">
        <w:t xml:space="preserve"> </w:t>
      </w:r>
      <w:r>
        <w:t>Linear association between BMI and tissue folate</w:t>
      </w:r>
      <w:r w:rsidR="008972A0">
        <w:rPr>
          <w:rFonts w:ascii="Times" w:hAnsi="Times"/>
        </w:rPr>
        <w:tab/>
      </w:r>
      <w:r w:rsidR="00C0158C">
        <w:rPr>
          <w:rFonts w:ascii="Times" w:hAnsi="Times"/>
        </w:rPr>
        <w:t>36</w:t>
      </w:r>
    </w:p>
    <w:p w14:paraId="5F099BFB" w14:textId="196494FB" w:rsidR="008972A0" w:rsidRDefault="00674C2A" w:rsidP="008972A0">
      <w:pPr>
        <w:tabs>
          <w:tab w:val="right" w:leader="dot" w:pos="8496"/>
        </w:tabs>
        <w:spacing w:line="480" w:lineRule="auto"/>
      </w:pPr>
      <w:r>
        <w:t>4</w:t>
      </w:r>
      <w:r w:rsidR="008972A0">
        <w:t>.</w:t>
      </w:r>
      <w:r w:rsidRPr="00674C2A">
        <w:t xml:space="preserve"> </w:t>
      </w:r>
      <w:r>
        <w:t>BMI status and percent LINE-1 m</w:t>
      </w:r>
      <w:r w:rsidRPr="007640DE">
        <w:t>ethylation</w:t>
      </w:r>
      <w:r w:rsidR="008972A0">
        <w:tab/>
      </w:r>
      <w:r w:rsidR="00C0158C">
        <w:t>37</w:t>
      </w:r>
    </w:p>
    <w:p w14:paraId="0EB1E439" w14:textId="6909C85C" w:rsidR="008972A0" w:rsidRDefault="00674C2A" w:rsidP="008972A0">
      <w:pPr>
        <w:tabs>
          <w:tab w:val="right" w:leader="dot" w:pos="8496"/>
        </w:tabs>
        <w:spacing w:line="480" w:lineRule="auto"/>
      </w:pPr>
      <w:r>
        <w:t>5</w:t>
      </w:r>
      <w:r w:rsidR="008972A0">
        <w:t>.</w:t>
      </w:r>
      <w:r w:rsidRPr="00674C2A">
        <w:rPr>
          <w:rFonts w:ascii="Times" w:hAnsi="Times"/>
        </w:rPr>
        <w:t xml:space="preserve"> </w:t>
      </w:r>
      <w:r w:rsidRPr="007640DE">
        <w:rPr>
          <w:rFonts w:ascii="Times" w:hAnsi="Times"/>
        </w:rPr>
        <w:t>Linear correlation bet</w:t>
      </w:r>
      <w:r>
        <w:rPr>
          <w:rFonts w:ascii="Times" w:hAnsi="Times"/>
        </w:rPr>
        <w:t>ween BMI and percent LINE-1 methylation</w:t>
      </w:r>
      <w:r w:rsidR="008972A0">
        <w:tab/>
      </w:r>
      <w:r w:rsidR="00C0158C">
        <w:t>38</w:t>
      </w:r>
    </w:p>
    <w:p w14:paraId="598D11BB" w14:textId="4D39C902" w:rsidR="008972A0" w:rsidRDefault="00674C2A" w:rsidP="008972A0">
      <w:pPr>
        <w:tabs>
          <w:tab w:val="right" w:leader="dot" w:pos="8496"/>
        </w:tabs>
        <w:spacing w:line="480" w:lineRule="auto"/>
        <w:rPr>
          <w:rFonts w:ascii="Times" w:hAnsi="Times"/>
        </w:rPr>
      </w:pPr>
      <w:r>
        <w:rPr>
          <w:rFonts w:ascii="Times" w:hAnsi="Times"/>
        </w:rPr>
        <w:t>6</w:t>
      </w:r>
      <w:r w:rsidR="008972A0">
        <w:rPr>
          <w:rFonts w:ascii="Times" w:hAnsi="Times"/>
        </w:rPr>
        <w:t>.</w:t>
      </w:r>
      <w:r w:rsidRPr="00674C2A">
        <w:rPr>
          <w:rFonts w:ascii="Times" w:hAnsi="Times"/>
        </w:rPr>
        <w:t xml:space="preserve"> </w:t>
      </w:r>
      <w:r w:rsidR="00C01D9F">
        <w:t>Relative gene expression of SFRP1</w:t>
      </w:r>
      <w:r w:rsidR="008972A0">
        <w:rPr>
          <w:rFonts w:ascii="Times" w:hAnsi="Times"/>
        </w:rPr>
        <w:tab/>
      </w:r>
      <w:r w:rsidR="00C0158C">
        <w:rPr>
          <w:rFonts w:ascii="Times" w:hAnsi="Times"/>
        </w:rPr>
        <w:t>39</w:t>
      </w:r>
    </w:p>
    <w:p w14:paraId="41B817B0" w14:textId="243AEF49" w:rsidR="00D05CAC" w:rsidRPr="00674C2A" w:rsidRDefault="00DC3DC4" w:rsidP="00674C2A">
      <w:pPr>
        <w:tabs>
          <w:tab w:val="right" w:leader="dot" w:pos="8496"/>
        </w:tabs>
        <w:spacing w:line="480" w:lineRule="auto"/>
        <w:rPr>
          <w:rFonts w:ascii="Times" w:hAnsi="Times"/>
        </w:rPr>
      </w:pPr>
      <w:r>
        <w:rPr>
          <w:rFonts w:ascii="Times" w:hAnsi="Times"/>
        </w:rPr>
        <w:t>7</w:t>
      </w:r>
      <w:r w:rsidR="008972A0">
        <w:rPr>
          <w:rFonts w:ascii="Times" w:hAnsi="Times"/>
        </w:rPr>
        <w:t>.</w:t>
      </w:r>
      <w:r w:rsidR="00674C2A" w:rsidRPr="00674C2A">
        <w:rPr>
          <w:rFonts w:ascii="Times" w:hAnsi="Times"/>
        </w:rPr>
        <w:t xml:space="preserve"> </w:t>
      </w:r>
      <w:r w:rsidR="00C01D9F">
        <w:t>BMI and relative gene expression of SFRP1</w:t>
      </w:r>
      <w:r w:rsidR="008972A0">
        <w:rPr>
          <w:rFonts w:ascii="Times" w:hAnsi="Times"/>
        </w:rPr>
        <w:tab/>
      </w:r>
      <w:r w:rsidR="00C0158C">
        <w:rPr>
          <w:rFonts w:ascii="Times" w:hAnsi="Times"/>
        </w:rPr>
        <w:t>39</w:t>
      </w:r>
    </w:p>
    <w:p w14:paraId="4E7194A0" w14:textId="77777777" w:rsidR="00D05CAC" w:rsidRDefault="00D05CAC" w:rsidP="00D05CAC">
      <w:pPr>
        <w:tabs>
          <w:tab w:val="right" w:pos="8640"/>
        </w:tabs>
      </w:pPr>
    </w:p>
    <w:p w14:paraId="765FA838" w14:textId="77777777" w:rsidR="00D05CAC" w:rsidRPr="003D5CCA" w:rsidRDefault="00D05CAC" w:rsidP="00D05CAC">
      <w:pPr>
        <w:tabs>
          <w:tab w:val="right" w:pos="8640"/>
        </w:tabs>
      </w:pPr>
    </w:p>
    <w:p w14:paraId="4EC57457" w14:textId="77777777" w:rsidR="00D05CAC" w:rsidRPr="003D5CCA" w:rsidRDefault="00D05CAC" w:rsidP="00D05CAC"/>
    <w:p w14:paraId="080CFB29" w14:textId="77777777" w:rsidR="00D05CAC" w:rsidRDefault="00D05CAC" w:rsidP="00D05CAC">
      <w:pPr>
        <w:sectPr w:rsidR="00D05CAC" w:rsidSect="00850125">
          <w:headerReference w:type="default" r:id="rId8"/>
          <w:footerReference w:type="default" r:id="rId9"/>
          <w:endnotePr>
            <w:numFmt w:val="decimal"/>
            <w:numRestart w:val="eachSect"/>
          </w:endnotePr>
          <w:pgSz w:w="12240" w:h="15840"/>
          <w:pgMar w:top="1440" w:right="1440" w:bottom="1440" w:left="2160" w:header="720" w:footer="720" w:gutter="0"/>
          <w:pgNumType w:fmt="lowerRoman"/>
          <w:cols w:space="720"/>
          <w:docGrid w:linePitch="360"/>
        </w:sectPr>
      </w:pPr>
    </w:p>
    <w:p w14:paraId="5A9F7B9E" w14:textId="5585ABD4" w:rsidR="00C01D9F" w:rsidRDefault="00C606C5" w:rsidP="00C01D9F">
      <w:pPr>
        <w:jc w:val="center"/>
      </w:pPr>
      <w:r>
        <w:lastRenderedPageBreak/>
        <w:t>CHAPTER</w:t>
      </w:r>
      <w:r w:rsidR="00624F74">
        <w:t xml:space="preserve"> </w:t>
      </w:r>
      <w:r w:rsidR="00C01D9F">
        <w:t>1</w:t>
      </w:r>
    </w:p>
    <w:p w14:paraId="74DBB0A7" w14:textId="6E8EFD5D" w:rsidR="00C01D9F" w:rsidRDefault="00C01D9F" w:rsidP="00C01D9F">
      <w:pPr>
        <w:pStyle w:val="Heading1"/>
        <w:jc w:val="left"/>
      </w:pPr>
      <w:bookmarkStart w:id="4" w:name="_Toc510174008"/>
    </w:p>
    <w:p w14:paraId="10549135" w14:textId="4E4B5512" w:rsidR="00EB0888" w:rsidRDefault="006D39A0" w:rsidP="00C01D9F">
      <w:pPr>
        <w:pStyle w:val="Heading1"/>
      </w:pPr>
      <w:r>
        <w:t>INTRODUCTION</w:t>
      </w:r>
      <w:bookmarkEnd w:id="4"/>
    </w:p>
    <w:p w14:paraId="3B0B7AB7" w14:textId="426F9CE4" w:rsidR="0044570D" w:rsidRDefault="0044570D" w:rsidP="0044570D"/>
    <w:p w14:paraId="4EE2AB92" w14:textId="77777777" w:rsidR="0044570D" w:rsidRPr="0044570D" w:rsidRDefault="0044570D" w:rsidP="0044570D"/>
    <w:p w14:paraId="2DA8E474" w14:textId="6C72EF55" w:rsidR="0032360D" w:rsidRPr="004F2B88" w:rsidRDefault="0032360D" w:rsidP="0032360D">
      <w:pPr>
        <w:spacing w:line="480" w:lineRule="auto"/>
        <w:ind w:firstLine="720"/>
        <w:jc w:val="both"/>
        <w:rPr>
          <w:rFonts w:ascii="Times" w:hAnsi="Times" w:cs="Arial"/>
        </w:rPr>
      </w:pPr>
      <w:r w:rsidRPr="004F2B88">
        <w:rPr>
          <w:rFonts w:ascii="Times" w:hAnsi="Times" w:cs="Arial"/>
        </w:rPr>
        <w:t xml:space="preserve">Breast cancer (BC) is the most commonly diagnosed cancer in women and the third leading cause of cancer-related death. </w:t>
      </w:r>
      <w:sdt>
        <w:sdtPr>
          <w:rPr>
            <w:rFonts w:ascii="Times" w:hAnsi="Times" w:cs="Arial"/>
          </w:rPr>
          <w:tag w:val="doc:5a6a55cbe4b0e9de2dfe84ce;body"/>
          <w:id w:val="-1160763621"/>
          <w:placeholder>
            <w:docPart w:val="B35829564DCB39418FC8207C661598CF"/>
          </w:placeholder>
        </w:sdtPr>
        <w:sdtEndPr/>
        <w:sdtContent>
          <w:r w:rsidRPr="004F2B88">
            <w:rPr>
              <w:rFonts w:ascii="Times" w:hAnsi="Times" w:cs="Arial"/>
            </w:rPr>
            <w:t>(CDC 2017)</w:t>
          </w:r>
        </w:sdtContent>
      </w:sdt>
      <w:r w:rsidRPr="004F2B88">
        <w:rPr>
          <w:rFonts w:ascii="Times" w:hAnsi="Times" w:cs="Arial"/>
        </w:rPr>
        <w:t xml:space="preserve">  When compared to postmenopausal, premenopausal women with BC have poorer prognosis and respond less to chemotherapy.  Within the same molecular subtypes, the signatures of genetic and epigenetic alterations are shown to be different in premenopausal versus postmenopausal BC. Tumors found in young women are biologically distinct from those found in women over 50 and may necessitate distinct preventive and therapeutic approaches. Obesity is an independent prognosis factor in BC. Unlike the positive association between obesity and postmenopausal BC risk, general adiposity exhibits an inverse effect with overall risk in premenopausal women. The mechanism for this protective effect is yet unknown.</w:t>
      </w:r>
    </w:p>
    <w:p w14:paraId="43510C15" w14:textId="77777777" w:rsidR="0032360D" w:rsidRPr="004F2B88" w:rsidRDefault="0032360D" w:rsidP="0032360D">
      <w:pPr>
        <w:spacing w:line="480" w:lineRule="auto"/>
        <w:jc w:val="both"/>
        <w:rPr>
          <w:rFonts w:ascii="Times" w:hAnsi="Times" w:cs="Arial"/>
        </w:rPr>
      </w:pPr>
      <w:r w:rsidRPr="004F2B88">
        <w:rPr>
          <w:rFonts w:ascii="Times" w:hAnsi="Times" w:cs="Arial"/>
        </w:rPr>
        <w:t xml:space="preserve">Epigenetic alterations occur well in advance of observable changes in DNA integrity or dysregulated cellular proliferation patterns. DNA hyper- or hypomethylation can be gene-specific or genome-wide. Changes in the methylation levels of cytosine-guanine dinucleotide-rich areas (CpG sites), of tumor supressor or repair genes induce genomic instability; an early event in breast tumorigenesis. BMI and menopausal status have been shown to co-vary with gene-specific methylation patterns in BC. BMI is associated with hypermethylation levels of epiobesigenic genes governing critical cell functions across all molecular subtypes of BC. </w:t>
      </w:r>
    </w:p>
    <w:p w14:paraId="17496895" w14:textId="77777777" w:rsidR="0032360D" w:rsidRPr="004F2B88" w:rsidRDefault="0032360D" w:rsidP="0032360D">
      <w:pPr>
        <w:spacing w:line="480" w:lineRule="auto"/>
        <w:ind w:firstLine="720"/>
        <w:jc w:val="both"/>
        <w:rPr>
          <w:rFonts w:ascii="Times" w:hAnsi="Times" w:cs="Arial"/>
        </w:rPr>
      </w:pPr>
      <w:r w:rsidRPr="004F2B88">
        <w:rPr>
          <w:rFonts w:ascii="Times" w:hAnsi="Times" w:cs="Arial"/>
        </w:rPr>
        <w:t xml:space="preserve">Though BMI is associated with lower global methylation levels overall, results from studies on global methylation, body weight status and BC risk are varied. This </w:t>
      </w:r>
      <w:r w:rsidRPr="004F2B88">
        <w:rPr>
          <w:rFonts w:ascii="Times" w:hAnsi="Times" w:cs="Arial"/>
        </w:rPr>
        <w:lastRenderedPageBreak/>
        <w:t xml:space="preserve">variance may be due to heterogeneity between measurement assays. Global methylation as measured by LINE-1, a transposable element that composes more than 45% of the human genome, was positively associated with BMI in a recent cross-sectional study with a healthy cohort. A 2014 study by </w:t>
      </w:r>
      <w:proofErr w:type="spellStart"/>
      <w:r w:rsidRPr="004F2B88">
        <w:rPr>
          <w:rFonts w:ascii="Times" w:hAnsi="Times" w:cs="Arial"/>
        </w:rPr>
        <w:t>DeRoo</w:t>
      </w:r>
      <w:proofErr w:type="spellEnd"/>
      <w:r w:rsidRPr="004F2B88">
        <w:rPr>
          <w:rFonts w:ascii="Times" w:hAnsi="Times" w:cs="Arial"/>
        </w:rPr>
        <w:t xml:space="preserve"> et al. reported an association between LINE-1 methylation from peripheral blood and BC risk in a dose-dependent manner. In a recent review, two out of the thirteen studies with significant results using LINE-1 found a reduced risk of BC with higher DNA methylation levels. </w:t>
      </w:r>
    </w:p>
    <w:p w14:paraId="763DE5A1" w14:textId="49F80E0F" w:rsidR="0032360D" w:rsidRPr="004F2B88" w:rsidRDefault="0032360D" w:rsidP="0032360D">
      <w:pPr>
        <w:spacing w:line="480" w:lineRule="auto"/>
        <w:ind w:firstLine="720"/>
        <w:jc w:val="both"/>
        <w:rPr>
          <w:rFonts w:ascii="Times" w:hAnsi="Times" w:cs="Arial"/>
          <w:highlight w:val="yellow"/>
        </w:rPr>
      </w:pPr>
      <w:r w:rsidRPr="004F2B88">
        <w:rPr>
          <w:rFonts w:ascii="Times" w:hAnsi="Times" w:cs="Arial"/>
        </w:rPr>
        <w:t>Folate availability, the substrate for DNA methylation, may contribute to the potentially reversible epigenetic alterations associated with BC. Regardless of menopausal or weight status, epigenetic alterations resulting from deficiencies in one-carbon metabolism (OCM) related compounds such as folate have been shown to drive BC tumorigenesis. A deficiency in dietary folate has been shown to lead to gene promoter region hypermethylation as well as lower global hypomethylation. Epidemiological studies on the association between folate status and the risk of BC have shown inconsistent results. Meta-analyses s</w:t>
      </w:r>
      <w:r w:rsidR="00EC7258">
        <w:rPr>
          <w:rFonts w:ascii="Times" w:hAnsi="Times" w:cs="Arial"/>
        </w:rPr>
        <w:t>ug</w:t>
      </w:r>
      <w:r w:rsidRPr="004F2B88">
        <w:rPr>
          <w:rFonts w:ascii="Times" w:hAnsi="Times" w:cs="Arial"/>
        </w:rPr>
        <w:t xml:space="preserve">gest a U- or J-shaped curve relationship between folate intake and BC risk. A non-linear dose-response </w:t>
      </w:r>
      <w:r w:rsidR="00EA2924">
        <w:rPr>
          <w:rFonts w:ascii="Times" w:hAnsi="Times" w:cs="Arial"/>
        </w:rPr>
        <w:t>relationship between 200-320</w:t>
      </w:r>
      <w:r w:rsidR="00EA2924" w:rsidRPr="004F2B88">
        <w:rPr>
          <w:rFonts w:ascii="Times" w:hAnsi="Times" w:cs="Arial"/>
        </w:rPr>
        <w:sym w:font="Symbol" w:char="F06D"/>
      </w:r>
      <w:r w:rsidRPr="004F2B88">
        <w:rPr>
          <w:rFonts w:ascii="Times" w:hAnsi="Times" w:cs="Arial"/>
        </w:rPr>
        <w:t xml:space="preserve">g/d of dietary folate and lower risk of BC was recently reported, verses a significant increase in risk with daily folate intakes above 400ug. In other prospective and case-control studies, dietary folate status as assessed between categories of highest and lowest intakes was not associated with a higher relative risk (RR) of BC for metastatic or invasive carcinoma. Conversely, when stratified into quartiles between lowest and highest intake as measured by a food frequency questionnaire (FFQ), folate was associated with an overall reduced RR of BC across all subtypes. A possible explanation to these mixed results could be timing or assessment </w:t>
      </w:r>
      <w:r w:rsidRPr="004F2B88">
        <w:rPr>
          <w:rFonts w:ascii="Times" w:hAnsi="Times" w:cs="Arial"/>
        </w:rPr>
        <w:lastRenderedPageBreak/>
        <w:t>methods for measuring levels of folate intake. Folate’s role in BC etiology may depend heavily on age of dietary exposure.</w:t>
      </w:r>
    </w:p>
    <w:p w14:paraId="3F9F58F5" w14:textId="77777777" w:rsidR="0032360D" w:rsidRPr="004F2B88" w:rsidRDefault="0032360D" w:rsidP="0032360D">
      <w:pPr>
        <w:spacing w:line="480" w:lineRule="auto"/>
        <w:ind w:firstLine="720"/>
        <w:jc w:val="both"/>
        <w:rPr>
          <w:rFonts w:ascii="Times" w:hAnsi="Times" w:cs="Arial"/>
        </w:rPr>
      </w:pPr>
      <w:r w:rsidRPr="004F2B88">
        <w:rPr>
          <w:rFonts w:ascii="Times" w:hAnsi="Times" w:cs="Arial"/>
        </w:rPr>
        <w:t>DNA methylation patterns differ between metabolic states, and fluctuations throughout the human lifespan of both folate status and BMI elicit modifiable changes in the epigenome. Epigenetic modifications are sensitive to folate availability and folate levels have been shown to change with BMI status. After adjustments for overall intake, overweight and obese women were reported to have lower serum folate and higher red blood cell (RBC) folate levels when compared to women of the same weight categories. In addition, BMI has been shown to affect the distribution of folate from circulation into tissue. This weight-dependent redistribution of folate may affect the availability of folate as a substrate for both global and gene-specific methylation.</w:t>
      </w:r>
    </w:p>
    <w:p w14:paraId="042E5C46" w14:textId="49E075FA" w:rsidR="00EF31FE" w:rsidRDefault="0032360D" w:rsidP="00DF4749">
      <w:pPr>
        <w:spacing w:line="480" w:lineRule="auto"/>
        <w:ind w:firstLine="720"/>
        <w:jc w:val="both"/>
        <w:rPr>
          <w:rFonts w:ascii="Times" w:hAnsi="Times" w:cs="Arial"/>
        </w:rPr>
      </w:pPr>
      <w:r w:rsidRPr="004F2B88">
        <w:rPr>
          <w:rFonts w:ascii="Times" w:hAnsi="Times" w:cs="Arial"/>
        </w:rPr>
        <w:t xml:space="preserve">Whether changes in DNA methylation in response to folate levels and bodyweight are deleterious or protective against BC risk may heavily depend on menopausal status. Though the mechanisms underlying these associations have yet to be discovered, DNA methylation patterns in premenopausal overweight or obese women with BC are often significantly different from postmenopausal overweight or obese women with BC. Results from the few investigations on BMI, folate, methylation, menopausal status and BC risk are currently inconclusive. A possible explanation for these mixed results is that the relationship between these factors may be contingent on age, area of fat disposition, and metabolic activity of adipose. Despite the current lack of overall consensus, DNA methylation is highly associated with BMI and BMI status is associated with folate concentrations, when measured in adipose tissue. Weight-related differences between folate status as well as epigenetic responses to folate interventions provide significant </w:t>
      </w:r>
      <w:r w:rsidRPr="004F2B88">
        <w:rPr>
          <w:rFonts w:ascii="Times" w:hAnsi="Times" w:cs="Arial"/>
        </w:rPr>
        <w:lastRenderedPageBreak/>
        <w:t>evidence in support of the effect of overweight and obesity on epiobesigenic methylation levels and BC risk.</w:t>
      </w:r>
    </w:p>
    <w:p w14:paraId="46FFA251" w14:textId="2D5AD230" w:rsidR="004D74EE" w:rsidRPr="00DF4749" w:rsidRDefault="004D74EE" w:rsidP="00E3717C">
      <w:pPr>
        <w:suppressAutoHyphens w:val="0"/>
        <w:rPr>
          <w:rFonts w:ascii="Times" w:hAnsi="Times" w:cs="Arial"/>
        </w:rPr>
      </w:pPr>
      <w:r>
        <w:rPr>
          <w:rFonts w:ascii="Times" w:hAnsi="Times" w:cs="Arial"/>
        </w:rPr>
        <w:br w:type="page"/>
      </w:r>
    </w:p>
    <w:p w14:paraId="328935C7" w14:textId="33BB3711" w:rsidR="00C01D9F" w:rsidRDefault="00C01D9F" w:rsidP="00C01D9F">
      <w:pPr>
        <w:pStyle w:val="Heading1"/>
      </w:pPr>
      <w:bookmarkStart w:id="5" w:name="_Toc510174009"/>
      <w:r>
        <w:lastRenderedPageBreak/>
        <w:t>CHAPTER 2</w:t>
      </w:r>
      <w:r w:rsidR="00DF4749">
        <w:t xml:space="preserve"> </w:t>
      </w:r>
    </w:p>
    <w:p w14:paraId="3EF03E83" w14:textId="464DD24A" w:rsidR="00BF03A3" w:rsidRDefault="00E3717C" w:rsidP="00C01D9F">
      <w:pPr>
        <w:pStyle w:val="Heading1"/>
      </w:pPr>
      <w:r>
        <w:t>LITERATURE REVIEW</w:t>
      </w:r>
      <w:bookmarkEnd w:id="5"/>
    </w:p>
    <w:p w14:paraId="3ECB1F76" w14:textId="77777777" w:rsidR="00E3717C" w:rsidRPr="00E3717C" w:rsidRDefault="00E3717C" w:rsidP="00C01D9F">
      <w:pPr>
        <w:pStyle w:val="Heading1"/>
      </w:pPr>
    </w:p>
    <w:p w14:paraId="6B60993F" w14:textId="7E6DC9A3" w:rsidR="0080100A" w:rsidRPr="00C01D9F" w:rsidRDefault="00DF4749" w:rsidP="00C01D9F">
      <w:pPr>
        <w:pStyle w:val="Heading2"/>
      </w:pPr>
      <w:bookmarkStart w:id="6" w:name="_Toc510174010"/>
      <w:r w:rsidRPr="00C01D9F">
        <w:t xml:space="preserve">2.1 </w:t>
      </w:r>
      <w:r w:rsidR="00C606C5" w:rsidRPr="00C01D9F">
        <w:t>Breast Cancer</w:t>
      </w:r>
      <w:bookmarkEnd w:id="6"/>
    </w:p>
    <w:p w14:paraId="74B50B3E" w14:textId="4E8BEC54" w:rsidR="00782DEC" w:rsidRPr="004F2B88" w:rsidRDefault="00C606C5" w:rsidP="00782DEC">
      <w:pPr>
        <w:spacing w:line="480" w:lineRule="auto"/>
        <w:jc w:val="both"/>
        <w:rPr>
          <w:rFonts w:ascii="Times" w:hAnsi="Times" w:cs="Arial"/>
        </w:rPr>
      </w:pPr>
      <w:r>
        <w:t>Breast cancer chapter text.</w:t>
      </w:r>
      <w:r w:rsidR="00782DEC" w:rsidRPr="00782DEC">
        <w:rPr>
          <w:rFonts w:ascii="Times" w:hAnsi="Times" w:cs="Arial"/>
        </w:rPr>
        <w:t xml:space="preserve"> </w:t>
      </w:r>
      <w:r w:rsidR="00782DEC" w:rsidRPr="004F2B88">
        <w:rPr>
          <w:rFonts w:ascii="Times" w:hAnsi="Times" w:cs="Arial"/>
        </w:rPr>
        <w:t xml:space="preserve">Aside from some skin cancers, breast cancer (BC) is the most frequently diagnosed cancer in women regardless of race or ethnicity. BC is the leading cause of cancer-related death in women aged 20-39 years. </w:t>
      </w:r>
      <w:sdt>
        <w:sdtPr>
          <w:rPr>
            <w:rFonts w:ascii="Times" w:hAnsi="Times" w:cs="Arial"/>
          </w:rPr>
          <w:tag w:val="doc:5a6a55cbe4b0e9de2dfe84ce;body"/>
          <w:id w:val="1623110652"/>
          <w:placeholder>
            <w:docPart w:val="440745EDD08D1A4A90EA562A0E9E7F6D"/>
          </w:placeholder>
        </w:sdtPr>
        <w:sdtEndPr/>
        <w:sdtContent>
          <w:r w:rsidR="00782DEC" w:rsidRPr="004F2B88">
            <w:rPr>
              <w:rFonts w:ascii="Times" w:hAnsi="Times" w:cs="Arial"/>
            </w:rPr>
            <w:t>(CDC 2017)</w:t>
          </w:r>
        </w:sdtContent>
      </w:sdt>
      <w:r w:rsidR="00782DEC" w:rsidRPr="004F2B88">
        <w:rPr>
          <w:rFonts w:ascii="Times" w:hAnsi="Times" w:cs="Arial"/>
        </w:rPr>
        <w:t xml:space="preserve"> The American Cancer Society estimates that one in eight women in western countries will be diagnosed with BC during their lifetime. BC is projected to account for 30% of all new cancer cases, with about 255,180 new cases of invasive BC projected in 2018. It has been known since the mid-1980s that survival rates for all types of BC are significantly lower in premenopausal women versus postmenopausal. </w:t>
      </w:r>
      <w:sdt>
        <w:sdtPr>
          <w:rPr>
            <w:rFonts w:ascii="Times" w:hAnsi="Times" w:cs="Arial"/>
          </w:rPr>
          <w:tag w:val="doc:5a0b23f6e4b0543f9f819014;body"/>
          <w:id w:val="-1830742362"/>
          <w:placeholder>
            <w:docPart w:val="115D4AACA92A064CA30FA8AF6B36BA98"/>
          </w:placeholder>
        </w:sdtPr>
        <w:sdtEndPr/>
        <w:sdtContent>
          <w:r w:rsidR="00782DEC" w:rsidRPr="004F2B88">
            <w:rPr>
              <w:rFonts w:ascii="Times" w:hAnsi="Times" w:cs="Arial"/>
            </w:rPr>
            <w:t>(</w:t>
          </w:r>
          <w:proofErr w:type="spellStart"/>
          <w:r w:rsidR="00782DEC" w:rsidRPr="004F2B88">
            <w:rPr>
              <w:rFonts w:ascii="Times" w:hAnsi="Times" w:cs="Arial"/>
            </w:rPr>
            <w:t>Adami</w:t>
          </w:r>
          <w:proofErr w:type="spellEnd"/>
          <w:r w:rsidR="00782DEC" w:rsidRPr="004F2B88">
            <w:rPr>
              <w:rFonts w:ascii="Times" w:hAnsi="Times" w:cs="Arial"/>
            </w:rPr>
            <w:t xml:space="preserve">, </w:t>
          </w:r>
          <w:proofErr w:type="spellStart"/>
          <w:r w:rsidR="00782DEC" w:rsidRPr="004F2B88">
            <w:rPr>
              <w:rFonts w:ascii="Times" w:hAnsi="Times" w:cs="Arial"/>
            </w:rPr>
            <w:t>Malker</w:t>
          </w:r>
          <w:proofErr w:type="spellEnd"/>
          <w:r w:rsidR="00782DEC" w:rsidRPr="004F2B88">
            <w:rPr>
              <w:rFonts w:ascii="Times" w:hAnsi="Times" w:cs="Arial"/>
            </w:rPr>
            <w:t>, Holmberg, Persson, &amp; Stone, 1986)</w:t>
          </w:r>
        </w:sdtContent>
      </w:sdt>
      <w:r w:rsidR="00782DEC" w:rsidRPr="004F2B88">
        <w:rPr>
          <w:rFonts w:ascii="Times" w:hAnsi="Times" w:cs="Arial"/>
        </w:rPr>
        <w:t xml:space="preserve"> Younger age at onset is considered an independent risk factor for overall risk, tumor aggressiveness, recurrence and survival. </w:t>
      </w:r>
      <w:sdt>
        <w:sdtPr>
          <w:rPr>
            <w:rFonts w:ascii="Times" w:hAnsi="Times" w:cs="Arial"/>
          </w:rPr>
          <w:tag w:val="doc:5a0b23e6e4b0e70d304ddcc7;body"/>
          <w:id w:val="-1568715400"/>
          <w:placeholder>
            <w:docPart w:val="CF0E67A4B243564888DF1B34427C54B7"/>
          </w:placeholder>
        </w:sdtPr>
        <w:sdtEndPr/>
        <w:sdtContent>
          <w:r w:rsidR="00782DEC" w:rsidRPr="004F2B88">
            <w:rPr>
              <w:rFonts w:ascii="Times" w:hAnsi="Times" w:cs="Arial"/>
            </w:rPr>
            <w:t>(Bleyer et al., 2008</w:t>
          </w:r>
        </w:sdtContent>
      </w:sdt>
      <w:r w:rsidR="00782DEC" w:rsidRPr="004F2B88">
        <w:rPr>
          <w:rFonts w:ascii="Times" w:hAnsi="Times" w:cs="Arial"/>
        </w:rPr>
        <w:t xml:space="preserve">; El </w:t>
      </w:r>
      <w:proofErr w:type="spellStart"/>
      <w:r w:rsidR="00782DEC" w:rsidRPr="004F2B88">
        <w:rPr>
          <w:rFonts w:ascii="Times" w:hAnsi="Times" w:cs="Arial"/>
        </w:rPr>
        <w:t>Saghir</w:t>
      </w:r>
      <w:proofErr w:type="spellEnd"/>
      <w:r w:rsidR="00782DEC" w:rsidRPr="004F2B88">
        <w:rPr>
          <w:rFonts w:ascii="Times" w:hAnsi="Times" w:cs="Arial"/>
        </w:rPr>
        <w:t xml:space="preserve"> et al., 2006)</w:t>
      </w:r>
    </w:p>
    <w:p w14:paraId="61B1A58A" w14:textId="6D9B790D" w:rsidR="00C606C5" w:rsidRDefault="00782DEC" w:rsidP="00782DEC">
      <w:pPr>
        <w:pStyle w:val="paragraph-chapters"/>
      </w:pPr>
      <w:r w:rsidRPr="004F2B88">
        <w:rPr>
          <w:rFonts w:ascii="Times" w:hAnsi="Times" w:cs="Arial"/>
        </w:rPr>
        <w:t xml:space="preserve">Rather than a single disease, BC is a collection of various subtypes with distinct underlying genetic profiles, molecular signatures and phenotypes. Instances of the most lethal subtype of BCs, such as triple negative, are higher in premenopausal women than in postmenopausal. </w:t>
      </w:r>
      <w:sdt>
        <w:sdtPr>
          <w:rPr>
            <w:rFonts w:ascii="Times" w:hAnsi="Times" w:cs="Arial"/>
          </w:rPr>
          <w:tag w:val="doc:5a0b23a6e4b099144f48be8f;body"/>
          <w:id w:val="-726373735"/>
          <w:placeholder>
            <w:docPart w:val="8A1635D5760DCB4EB9DE5B8E22849609"/>
          </w:placeholder>
        </w:sdtPr>
        <w:sdtEndPr/>
        <w:sdtContent>
          <w:r w:rsidRPr="004F2B88">
            <w:rPr>
              <w:rFonts w:ascii="Times" w:hAnsi="Times" w:cs="Arial"/>
            </w:rPr>
            <w:t>(Anders, Johnson, Litton, Phillips, &amp; Bleyer, 2009)</w:t>
          </w:r>
        </w:sdtContent>
      </w:sdt>
      <w:r w:rsidRPr="004F2B88">
        <w:rPr>
          <w:rFonts w:ascii="Times" w:hAnsi="Times" w:cs="Arial"/>
        </w:rPr>
        <w:t xml:space="preserve"> Though incidence rate has remained relatively stable over the last decade, BC mortality rate in premenopausal women is slowly increasing. </w:t>
      </w:r>
      <w:sdt>
        <w:sdtPr>
          <w:rPr>
            <w:rFonts w:ascii="Times" w:hAnsi="Times" w:cs="Arial"/>
          </w:rPr>
          <w:tag w:val="doc:59fb49e5e4b028f0a93cb2d3;body"/>
          <w:id w:val="1703747275"/>
          <w:placeholder>
            <w:docPart w:val="76D49FC0B64E354690A5DF4CD7AB0AA9"/>
          </w:placeholder>
        </w:sdtPr>
        <w:sdtEndPr/>
        <w:sdtContent>
          <w:r w:rsidRPr="004F2B88">
            <w:rPr>
              <w:rFonts w:ascii="Times" w:hAnsi="Times" w:cs="Arial"/>
            </w:rPr>
            <w:t xml:space="preserve">(Siegel, Miller, &amp; </w:t>
          </w:r>
          <w:proofErr w:type="spellStart"/>
          <w:r w:rsidRPr="004F2B88">
            <w:rPr>
              <w:rFonts w:ascii="Times" w:hAnsi="Times" w:cs="Arial"/>
            </w:rPr>
            <w:t>Jemal</w:t>
          </w:r>
          <w:proofErr w:type="spellEnd"/>
          <w:r w:rsidRPr="004F2B88">
            <w:rPr>
              <w:rFonts w:ascii="Times" w:hAnsi="Times" w:cs="Arial"/>
            </w:rPr>
            <w:t>, 2017)</w:t>
          </w:r>
        </w:sdtContent>
      </w:sdt>
      <w:r w:rsidRPr="004F2B88">
        <w:rPr>
          <w:rFonts w:ascii="Times" w:hAnsi="Times" w:cs="Arial"/>
        </w:rPr>
        <w:t xml:space="preserve"> Common screening measures such as mammography are encouraged, as early detection has been shown to improve</w:t>
      </w:r>
      <w:r>
        <w:rPr>
          <w:rFonts w:ascii="Times" w:hAnsi="Times" w:cs="Arial"/>
        </w:rPr>
        <w:t xml:space="preserve"> </w:t>
      </w:r>
      <w:r w:rsidRPr="004F2B88">
        <w:rPr>
          <w:rFonts w:ascii="Times" w:hAnsi="Times" w:cs="Arial"/>
        </w:rPr>
        <w:t xml:space="preserve">overall prognosis, yet these early stage events are often masked in mammograms of premenopausal women due to overall breast density. </w:t>
      </w:r>
      <w:sdt>
        <w:sdtPr>
          <w:rPr>
            <w:rFonts w:ascii="Times" w:hAnsi="Times" w:cs="Arial"/>
          </w:rPr>
          <w:tag w:val="doc:5a0b367fe4b099144f48cace;body"/>
          <w:id w:val="92365502"/>
          <w:placeholder>
            <w:docPart w:val="3E20944D3A0AC6458BD77897586D67C1"/>
          </w:placeholder>
        </w:sdtPr>
        <w:sdtEndPr/>
        <w:sdtContent>
          <w:r w:rsidRPr="004F2B88">
            <w:rPr>
              <w:rFonts w:ascii="Times" w:hAnsi="Times" w:cs="Arial"/>
            </w:rPr>
            <w:t>(Boyd et al., 2007)</w:t>
          </w:r>
        </w:sdtContent>
      </w:sdt>
      <w:r w:rsidRPr="004F2B88">
        <w:rPr>
          <w:rFonts w:ascii="Times" w:hAnsi="Times" w:cs="Arial"/>
        </w:rPr>
        <w:t xml:space="preserve"> </w:t>
      </w:r>
      <w:r w:rsidRPr="004F2B88">
        <w:rPr>
          <w:rFonts w:ascii="Times" w:hAnsi="Times" w:cs="Arial"/>
        </w:rPr>
        <w:lastRenderedPageBreak/>
        <w:t>Women with extensive mammographic density have a 17 times greater risk of developing BC within the 12 months following a negative screening due to this masking effect</w:t>
      </w:r>
    </w:p>
    <w:p w14:paraId="6B75A36C" w14:textId="77777777" w:rsidR="00C606C5" w:rsidRDefault="00C606C5" w:rsidP="00D05CAC">
      <w:pPr>
        <w:pStyle w:val="paragraph-chapters"/>
      </w:pPr>
    </w:p>
    <w:p w14:paraId="1B0B5535" w14:textId="14DF99C3" w:rsidR="00C606C5" w:rsidRDefault="00DF4749" w:rsidP="00C01D9F">
      <w:pPr>
        <w:pStyle w:val="Heading2"/>
      </w:pPr>
      <w:bookmarkStart w:id="7" w:name="_Toc510174011"/>
      <w:r>
        <w:t xml:space="preserve">2.2 </w:t>
      </w:r>
      <w:r w:rsidR="00C606C5">
        <w:t>Obesity and Breast Cancer</w:t>
      </w:r>
      <w:bookmarkEnd w:id="7"/>
    </w:p>
    <w:p w14:paraId="406A49E4" w14:textId="48AAA1E9" w:rsidR="00782DEC" w:rsidRPr="004F2B88" w:rsidRDefault="00782DEC" w:rsidP="00865994">
      <w:pPr>
        <w:spacing w:line="480" w:lineRule="auto"/>
        <w:ind w:firstLine="720"/>
        <w:jc w:val="both"/>
        <w:rPr>
          <w:rFonts w:ascii="Times" w:hAnsi="Times" w:cs="Arial"/>
        </w:rPr>
      </w:pPr>
      <w:r w:rsidRPr="004F2B88">
        <w:rPr>
          <w:rFonts w:ascii="Times" w:hAnsi="Times" w:cs="Arial"/>
        </w:rPr>
        <w:t xml:space="preserve">Well-established risk factors for BC are numerous. These risk factors include age; race and ethnicity; socioeconomic status; hormonal status and parity; breast density; diet, physical activity and body weight status. Of these modifiable and non-modifiable risk factors, body weight status is of high significance with regard to incidence and prognosis. </w:t>
      </w:r>
      <w:sdt>
        <w:sdtPr>
          <w:rPr>
            <w:rFonts w:ascii="Times" w:hAnsi="Times" w:cs="Arial"/>
          </w:rPr>
          <w:tag w:val="doc:5a6a2360e4b0cb152cfc1e4b;body"/>
          <w:id w:val="1194814328"/>
          <w:placeholder>
            <w:docPart w:val="79DB96A79C6B8947BEA50950B255E513"/>
          </w:placeholder>
        </w:sdtPr>
        <w:sdtEndPr/>
        <w:sdtContent>
          <w:r w:rsidRPr="004F2B88">
            <w:rPr>
              <w:rFonts w:ascii="Times" w:hAnsi="Times" w:cs="Arial"/>
            </w:rPr>
            <w:t>(Calle, Rodriguez, Walker-Thurmond, &amp; Thun, 2003)</w:t>
          </w:r>
        </w:sdtContent>
      </w:sdt>
      <w:r w:rsidRPr="004F2B88">
        <w:rPr>
          <w:rFonts w:ascii="Times" w:hAnsi="Times" w:cs="Arial"/>
        </w:rPr>
        <w:t xml:space="preserve">. Body weight status as measured by body mass index (BMI), is significantly correlated with overall BC risk. </w:t>
      </w:r>
      <w:sdt>
        <w:sdtPr>
          <w:rPr>
            <w:rFonts w:ascii="Times" w:hAnsi="Times" w:cs="Arial"/>
          </w:rPr>
          <w:tag w:val="doc:5a0b443ee4b0543f9f81a26e;body"/>
          <w:id w:val="681019786"/>
          <w:placeholder>
            <w:docPart w:val="217B3C74C2F2784090817A525E3B1D95"/>
          </w:placeholder>
        </w:sdtPr>
        <w:sdtEndPr/>
        <w:sdtContent>
          <w:r w:rsidRPr="004F2B88">
            <w:rPr>
              <w:rFonts w:ascii="Times" w:hAnsi="Times" w:cs="Arial"/>
            </w:rPr>
            <w:t>(Tamimi et al., 2016)</w:t>
          </w:r>
        </w:sdtContent>
      </w:sdt>
      <w:r w:rsidRPr="004F2B88">
        <w:rPr>
          <w:rFonts w:ascii="Times" w:hAnsi="Times" w:cs="Arial"/>
        </w:rPr>
        <w:t xml:space="preserve"> </w:t>
      </w:r>
    </w:p>
    <w:p w14:paraId="6B74170A" w14:textId="3DAFA00C" w:rsidR="00C606C5" w:rsidRDefault="00782DEC" w:rsidP="00782DEC">
      <w:pPr>
        <w:pStyle w:val="paragraph-chapters"/>
      </w:pPr>
      <w:r w:rsidRPr="004F2B88">
        <w:rPr>
          <w:rFonts w:ascii="Times" w:hAnsi="Times" w:cs="Arial"/>
        </w:rPr>
        <w:t xml:space="preserve">Higher BMI, higher overall energy intake and lower physical activity levels have been associated with increased postmenopausal BC risk in prospective cohort studies. </w:t>
      </w:r>
      <w:sdt>
        <w:sdtPr>
          <w:rPr>
            <w:rFonts w:ascii="Times" w:hAnsi="Times" w:cs="Arial"/>
          </w:rPr>
          <w:tag w:val="doc:5a0b23d5e4b099144f48be9f;body"/>
          <w:id w:val="1312285360"/>
          <w:placeholder>
            <w:docPart w:val="E21E6C6298142C479C58BAF51AA52393"/>
          </w:placeholder>
        </w:sdtPr>
        <w:sdtEndPr/>
        <w:sdtContent>
          <w:r w:rsidRPr="004F2B88">
            <w:rPr>
              <w:rFonts w:ascii="Times" w:hAnsi="Times" w:cs="Arial"/>
            </w:rPr>
            <w:t>(</w:t>
          </w:r>
          <w:proofErr w:type="spellStart"/>
          <w:r w:rsidRPr="004F2B88">
            <w:rPr>
              <w:rFonts w:ascii="Times" w:hAnsi="Times" w:cs="Arial"/>
            </w:rPr>
            <w:t>Silvera</w:t>
          </w:r>
          <w:proofErr w:type="spellEnd"/>
          <w:r w:rsidRPr="004F2B88">
            <w:rPr>
              <w:rFonts w:ascii="Times" w:hAnsi="Times" w:cs="Arial"/>
            </w:rPr>
            <w:t>, Jain, Howe, Miller, &amp; Rohan, 2006)</w:t>
          </w:r>
        </w:sdtContent>
      </w:sdt>
      <w:r w:rsidRPr="004F2B88">
        <w:rPr>
          <w:rFonts w:ascii="Times" w:hAnsi="Times" w:cs="Arial"/>
        </w:rPr>
        <w:t xml:space="preserve"> It was originally speculated that body weight status was also positively associated with the risk of premenopausal BC. </w:t>
      </w:r>
      <w:sdt>
        <w:sdtPr>
          <w:rPr>
            <w:rFonts w:ascii="Times" w:hAnsi="Times" w:cs="Arial"/>
          </w:rPr>
          <w:tag w:val="doc:5a0b23d5e4b099144f48be9f;body"/>
          <w:id w:val="235054173"/>
          <w:placeholder>
            <w:docPart w:val="9AE47836978EC447865C8C801A640340"/>
          </w:placeholder>
        </w:sdtPr>
        <w:sdtEndPr/>
        <w:sdtContent>
          <w:r w:rsidRPr="004F2B88">
            <w:rPr>
              <w:rFonts w:ascii="Times" w:hAnsi="Times" w:cs="Arial"/>
            </w:rPr>
            <w:t>(</w:t>
          </w:r>
          <w:proofErr w:type="spellStart"/>
          <w:r w:rsidRPr="004F2B88">
            <w:rPr>
              <w:rFonts w:ascii="Times" w:hAnsi="Times" w:cs="Arial"/>
            </w:rPr>
            <w:t>Silvera</w:t>
          </w:r>
          <w:proofErr w:type="spellEnd"/>
          <w:r w:rsidRPr="004F2B88">
            <w:rPr>
              <w:rFonts w:ascii="Times" w:hAnsi="Times" w:cs="Arial"/>
            </w:rPr>
            <w:t xml:space="preserve"> et al., 2006)</w:t>
          </w:r>
        </w:sdtContent>
      </w:sdt>
      <w:r w:rsidRPr="004F2B88">
        <w:rPr>
          <w:rFonts w:ascii="Times" w:hAnsi="Times" w:cs="Arial"/>
        </w:rPr>
        <w:t xml:space="preserve"> However, in recent studies, though overweight or obese weight status (BMI of 25.0-29.9kg/m</w:t>
      </w:r>
      <w:r w:rsidRPr="004F2B88">
        <w:rPr>
          <w:rFonts w:ascii="Times" w:hAnsi="Times" w:cs="Arial"/>
          <w:vertAlign w:val="superscript"/>
        </w:rPr>
        <w:t>2</w:t>
      </w:r>
      <w:r w:rsidRPr="004F2B88">
        <w:rPr>
          <w:rFonts w:ascii="Times" w:hAnsi="Times" w:cs="Arial"/>
        </w:rPr>
        <w:t xml:space="preserve"> or </w:t>
      </w:r>
      <w:r w:rsidRPr="004F2B88">
        <w:rPr>
          <w:rFonts w:ascii="Times" w:hAnsi="Times" w:cs="Arial"/>
        </w:rPr>
        <w:sym w:font="Symbol" w:char="F0B3"/>
      </w:r>
      <w:r w:rsidRPr="004F2B88">
        <w:rPr>
          <w:rFonts w:ascii="Times" w:hAnsi="Times" w:cs="Arial"/>
        </w:rPr>
        <w:t>30kg/m</w:t>
      </w:r>
      <w:r w:rsidRPr="004F2B88">
        <w:rPr>
          <w:rFonts w:ascii="Times" w:hAnsi="Times" w:cs="Arial"/>
          <w:vertAlign w:val="superscript"/>
        </w:rPr>
        <w:t>2</w:t>
      </w:r>
      <w:r w:rsidRPr="004F2B88">
        <w:rPr>
          <w:rFonts w:ascii="Times" w:hAnsi="Times" w:cs="Arial"/>
        </w:rPr>
        <w:t xml:space="preserve">, respectively) has been continuously shown to be positively associated with postmenopausal BC risk, this correlation has been indicated to be reversed for women of childbearing age. (McCormack et al., 2006) In 2008, the </w:t>
      </w:r>
      <w:proofErr w:type="spellStart"/>
      <w:r w:rsidRPr="004F2B88">
        <w:rPr>
          <w:rFonts w:ascii="Times" w:hAnsi="Times" w:cs="Arial"/>
        </w:rPr>
        <w:t>Renehan</w:t>
      </w:r>
      <w:proofErr w:type="spellEnd"/>
      <w:r w:rsidRPr="004F2B88">
        <w:rPr>
          <w:rFonts w:ascii="Times" w:hAnsi="Times" w:cs="Arial"/>
        </w:rPr>
        <w:t xml:space="preserve"> laboratory reported their findings from a systematic review of meta-analysis of 141 articles. The authors found that each 5 kg/m</w:t>
      </w:r>
      <w:r w:rsidRPr="004F2B88">
        <w:rPr>
          <w:rFonts w:ascii="Times" w:hAnsi="Times" w:cs="Arial"/>
          <w:vertAlign w:val="superscript"/>
        </w:rPr>
        <w:t>2</w:t>
      </w:r>
      <w:r w:rsidRPr="004F2B88">
        <w:rPr>
          <w:rFonts w:ascii="Times" w:hAnsi="Times" w:cs="Arial"/>
        </w:rPr>
        <w:t xml:space="preserve"> increase in BMI was associated with a 12% increased RR of postmenopausal BC, versus an 8% decreased RR of premenopausal BC. </w:t>
      </w:r>
      <w:r>
        <w:rPr>
          <w:rFonts w:ascii="Times" w:hAnsi="Times" w:cs="Arial"/>
        </w:rPr>
        <w:t>(</w:t>
      </w:r>
      <w:proofErr w:type="spellStart"/>
      <w:r>
        <w:rPr>
          <w:rFonts w:ascii="Times" w:hAnsi="Times" w:cs="Arial"/>
        </w:rPr>
        <w:t>Renehan</w:t>
      </w:r>
      <w:proofErr w:type="spellEnd"/>
      <w:r>
        <w:t xml:space="preserve">, </w:t>
      </w:r>
      <w:r w:rsidRPr="004F2B88">
        <w:rPr>
          <w:rFonts w:ascii="Times" w:hAnsi="Times" w:cs="Arial"/>
        </w:rPr>
        <w:t xml:space="preserve">Tyson, Egger, Heller, &amp; </w:t>
      </w:r>
      <w:proofErr w:type="spellStart"/>
      <w:r w:rsidRPr="004F2B88">
        <w:rPr>
          <w:rFonts w:ascii="Times" w:hAnsi="Times" w:cs="Arial"/>
        </w:rPr>
        <w:t>Zwahlen</w:t>
      </w:r>
      <w:proofErr w:type="spellEnd"/>
      <w:r w:rsidRPr="004F2B88">
        <w:rPr>
          <w:rFonts w:ascii="Times" w:hAnsi="Times" w:cs="Arial"/>
        </w:rPr>
        <w:t>, 2008</w:t>
      </w:r>
      <w:r>
        <w:rPr>
          <w:rFonts w:ascii="Times" w:hAnsi="Times" w:cs="Arial"/>
        </w:rPr>
        <w:t xml:space="preserve">) </w:t>
      </w:r>
      <w:r w:rsidRPr="004F2B88">
        <w:rPr>
          <w:rFonts w:ascii="Times" w:hAnsi="Times" w:cs="Arial"/>
        </w:rPr>
        <w:t xml:space="preserve">Findings from recent large-scale </w:t>
      </w:r>
      <w:r w:rsidRPr="004F2B88">
        <w:rPr>
          <w:rFonts w:ascii="Times" w:hAnsi="Times" w:cs="Arial"/>
        </w:rPr>
        <w:lastRenderedPageBreak/>
        <w:t>epidemiologic studies also support a reverse relationship between overall weight status and premenopausal BC</w:t>
      </w:r>
      <w:r>
        <w:rPr>
          <w:rFonts w:ascii="Times" w:hAnsi="Times" w:cs="Arial"/>
        </w:rPr>
        <w:t xml:space="preserve"> risk. </w:t>
      </w:r>
      <w:r w:rsidR="008179EB">
        <w:rPr>
          <w:rFonts w:ascii="Times" w:hAnsi="Times" w:cs="Arial"/>
        </w:rPr>
        <w:t xml:space="preserve">(Munsell et al., </w:t>
      </w:r>
      <w:r w:rsidRPr="004F2B88">
        <w:rPr>
          <w:rFonts w:ascii="Times" w:hAnsi="Times" w:cs="Arial"/>
        </w:rPr>
        <w:t>2014; Nelson et al., 2012</w:t>
      </w:r>
      <w:r>
        <w:rPr>
          <w:rFonts w:ascii="Times" w:hAnsi="Times" w:cs="Arial"/>
        </w:rPr>
        <w:t xml:space="preserve">) </w:t>
      </w:r>
      <w:r w:rsidRPr="004F2B88">
        <w:rPr>
          <w:rFonts w:ascii="Times" w:hAnsi="Times" w:cs="Arial"/>
        </w:rPr>
        <w:t>A meta-analysis of sixty-six studies conducted by Nelson et al. found an inverse association between premenopausal BC and metabolically healthy overweight/obese phenotype. In eighteen of the studies included in the meta-analysis, reduced risks were found for women in the overw</w:t>
      </w:r>
      <w:r w:rsidR="00013E29">
        <w:rPr>
          <w:rFonts w:ascii="Times" w:hAnsi="Times" w:cs="Arial"/>
        </w:rPr>
        <w:t xml:space="preserve">eight (RR, 0.86 [95% CI, 0.82, </w:t>
      </w:r>
      <w:r w:rsidR="00AC6B0F">
        <w:rPr>
          <w:rFonts w:ascii="Times" w:hAnsi="Times" w:cs="Arial"/>
        </w:rPr>
        <w:t>0.90]) and obese (RR, 0.74 [CI,</w:t>
      </w:r>
      <w:r w:rsidRPr="004F2B88">
        <w:rPr>
          <w:rFonts w:ascii="Times" w:hAnsi="Times" w:cs="Arial"/>
        </w:rPr>
        <w:t xml:space="preserve"> </w:t>
      </w:r>
      <w:r w:rsidR="00013E29">
        <w:rPr>
          <w:rFonts w:ascii="Times" w:hAnsi="Times" w:cs="Arial"/>
        </w:rPr>
        <w:t>0.68,</w:t>
      </w:r>
      <w:r w:rsidRPr="004F2B88">
        <w:rPr>
          <w:rFonts w:ascii="Times" w:hAnsi="Times" w:cs="Arial"/>
        </w:rPr>
        <w:t xml:space="preserve"> 0.81]) BMI categories when compared to the reference group (normal and underweight combined). (Nelson et al., 2012) Another meta-analysis of 89 epidemiological studies conducted in 2014 by Munsell et al. found that premenopausal obese women showed a 20% reduced risk of hormone receptor-positive BC when compared to underweight (summary RR, normal vs. obese or overweight 0.78, 95% </w:t>
      </w:r>
      <w:r w:rsidR="00AC6B0F">
        <w:rPr>
          <w:rFonts w:ascii="Times" w:hAnsi="Times" w:cs="Arial"/>
        </w:rPr>
        <w:t>CI,</w:t>
      </w:r>
      <w:r w:rsidRPr="004F2B88">
        <w:rPr>
          <w:rFonts w:ascii="Times" w:hAnsi="Times" w:cs="Arial"/>
        </w:rPr>
        <w:t xml:space="preserve"> 0.67, 0.92). </w:t>
      </w:r>
      <w:r>
        <w:rPr>
          <w:rFonts w:ascii="Times" w:hAnsi="Times" w:cs="Arial"/>
        </w:rPr>
        <w:t>(</w:t>
      </w:r>
      <w:r w:rsidRPr="004F2B88">
        <w:rPr>
          <w:rFonts w:ascii="Times" w:hAnsi="Times" w:cs="Arial"/>
        </w:rPr>
        <w:t>Munsell et al., 2014</w:t>
      </w:r>
      <w:r>
        <w:rPr>
          <w:rFonts w:ascii="Times" w:hAnsi="Times" w:cs="Arial"/>
        </w:rPr>
        <w:t xml:space="preserve">) </w:t>
      </w:r>
      <w:r w:rsidRPr="004F2B88">
        <w:rPr>
          <w:rFonts w:ascii="Times" w:hAnsi="Times" w:cs="Arial"/>
        </w:rPr>
        <w:t>Adipose tissue is functionally a metabolically and hormonally active organ. Physiological variations between normal weight and overweight or obese premenopausal women related to BMI status may help to explain the weight-dependent variation in BC risk with regard to hormonal status</w:t>
      </w:r>
    </w:p>
    <w:p w14:paraId="5104C5BB" w14:textId="77777777" w:rsidR="00C606C5" w:rsidRDefault="00C606C5" w:rsidP="00D05CAC">
      <w:pPr>
        <w:pStyle w:val="paragraph-chapters"/>
      </w:pPr>
    </w:p>
    <w:p w14:paraId="3F22684E" w14:textId="0BF9061D" w:rsidR="00C606C5" w:rsidRDefault="00DF4749" w:rsidP="00C01D9F">
      <w:pPr>
        <w:pStyle w:val="Heading2"/>
      </w:pPr>
      <w:bookmarkStart w:id="8" w:name="_Toc510174012"/>
      <w:r>
        <w:t xml:space="preserve">2.3 </w:t>
      </w:r>
      <w:r w:rsidR="00C606C5">
        <w:t>Epigenetic Alterations in Breast Cancer</w:t>
      </w:r>
      <w:bookmarkEnd w:id="8"/>
    </w:p>
    <w:p w14:paraId="1FAF51CC" w14:textId="708E1CFC" w:rsidR="00C606C5" w:rsidRDefault="00D05CAC" w:rsidP="00DF4749">
      <w:pPr>
        <w:pStyle w:val="paragraph-chapters"/>
        <w:rPr>
          <w:rFonts w:ascii="Times" w:hAnsi="Times" w:cs="Arial"/>
        </w:rPr>
      </w:pPr>
      <w:r w:rsidRPr="003D5CCA">
        <w:t xml:space="preserve"> </w:t>
      </w:r>
      <w:r w:rsidR="00D33D30" w:rsidRPr="004F2B88">
        <w:rPr>
          <w:rFonts w:ascii="Times" w:hAnsi="Times" w:cs="Arial"/>
        </w:rPr>
        <w:t xml:space="preserve">Though epidemiological studies have observed a significant negative correlation between obesity or </w:t>
      </w:r>
      <w:r w:rsidR="00D33D30" w:rsidRPr="008179EB">
        <w:rPr>
          <w:rFonts w:ascii="Times" w:hAnsi="Times" w:cs="Arial"/>
        </w:rPr>
        <w:t>overweight and BC risk in premenopausal women</w:t>
      </w:r>
      <w:r w:rsidR="00D33D30" w:rsidRPr="004F2B88">
        <w:rPr>
          <w:rFonts w:ascii="Times" w:hAnsi="Times" w:cs="Arial"/>
        </w:rPr>
        <w:t xml:space="preserve">, the mechanism for this protective effect is yet unknown. One proposed mechanism for the reversible association between weight and BC risk found prior to menopause is the epigenetic modification of genomic DNA. </w:t>
      </w:r>
      <w:r w:rsidR="00D33D30">
        <w:rPr>
          <w:rFonts w:ascii="Times" w:hAnsi="Times" w:cs="Arial"/>
        </w:rPr>
        <w:t>BMI is known to elicit</w:t>
      </w:r>
      <w:r w:rsidR="00D33D30" w:rsidRPr="004F2B88">
        <w:rPr>
          <w:rFonts w:ascii="Times" w:hAnsi="Times" w:cs="Arial"/>
        </w:rPr>
        <w:t xml:space="preserve"> changes in the epigenome. (Meeks </w:t>
      </w:r>
      <w:r w:rsidR="00D33D30">
        <w:rPr>
          <w:rFonts w:ascii="Times" w:hAnsi="Times" w:cs="Arial"/>
        </w:rPr>
        <w:lastRenderedPageBreak/>
        <w:t xml:space="preserve">2017) Further, </w:t>
      </w:r>
      <w:r w:rsidR="00D33D30" w:rsidRPr="004F2B88">
        <w:rPr>
          <w:rFonts w:ascii="Times" w:hAnsi="Times" w:cs="Arial"/>
        </w:rPr>
        <w:t>BMI and menopausal status have been shown to co-vary with methylation patterns in BC. (</w:t>
      </w:r>
      <w:proofErr w:type="spellStart"/>
      <w:r w:rsidR="00D33D30" w:rsidRPr="004F2B88">
        <w:rPr>
          <w:rFonts w:ascii="Times" w:hAnsi="Times" w:cs="Arial"/>
        </w:rPr>
        <w:t>Crujeiras</w:t>
      </w:r>
      <w:proofErr w:type="spellEnd"/>
      <w:r w:rsidR="00D33D30" w:rsidRPr="004F2B88">
        <w:rPr>
          <w:rFonts w:ascii="Times" w:hAnsi="Times" w:cs="Arial"/>
        </w:rPr>
        <w:t xml:space="preserve"> et al., 2017</w:t>
      </w:r>
      <w:r w:rsidR="00D33D30">
        <w:rPr>
          <w:rFonts w:ascii="Times" w:hAnsi="Times" w:cs="Arial"/>
        </w:rPr>
        <w:t>)</w:t>
      </w:r>
    </w:p>
    <w:p w14:paraId="16FADEE5" w14:textId="77777777" w:rsidR="00DF4749" w:rsidRDefault="00DF4749" w:rsidP="00DF4749">
      <w:pPr>
        <w:pStyle w:val="paragraph-chapters"/>
      </w:pPr>
    </w:p>
    <w:p w14:paraId="24B5345B" w14:textId="5311E514" w:rsidR="00C606C5" w:rsidRDefault="00DF4749" w:rsidP="00C01D9F">
      <w:pPr>
        <w:pStyle w:val="Heading3"/>
      </w:pPr>
      <w:bookmarkStart w:id="9" w:name="_Toc510174013"/>
      <w:r>
        <w:t xml:space="preserve">2.3.1 </w:t>
      </w:r>
      <w:r w:rsidR="00C606C5">
        <w:t>Gene-Specific Methylation, Obesity and Breast Cancer</w:t>
      </w:r>
      <w:bookmarkEnd w:id="9"/>
    </w:p>
    <w:p w14:paraId="659B3787" w14:textId="0EAE253D" w:rsidR="00D33D30" w:rsidRDefault="00D33D30" w:rsidP="00D33D30">
      <w:pPr>
        <w:spacing w:line="480" w:lineRule="auto"/>
        <w:ind w:firstLine="720"/>
        <w:jc w:val="both"/>
      </w:pPr>
      <w:r w:rsidRPr="004F2B88">
        <w:rPr>
          <w:rFonts w:ascii="Times" w:hAnsi="Times" w:cs="Arial"/>
        </w:rPr>
        <w:t>Changes in the methylation levels of the cytosines in cytosine-guanine dinucleotide-rich areas (CpG sites), of tumor supressor or DNA repair genes commonly induces genomic instability through gene transcription silencing. (</w:t>
      </w:r>
      <w:proofErr w:type="spellStart"/>
      <w:r w:rsidRPr="004F2B88">
        <w:rPr>
          <w:rFonts w:ascii="Times" w:hAnsi="Times" w:cs="Arial"/>
        </w:rPr>
        <w:t>Akhavan-Niaki</w:t>
      </w:r>
      <w:proofErr w:type="spellEnd"/>
      <w:r w:rsidRPr="004F2B88">
        <w:rPr>
          <w:rFonts w:ascii="Times" w:hAnsi="Times" w:cs="Arial"/>
        </w:rPr>
        <w:t xml:space="preserve"> &amp; </w:t>
      </w:r>
      <w:proofErr w:type="spellStart"/>
      <w:r w:rsidRPr="004F2B88">
        <w:rPr>
          <w:rFonts w:ascii="Times" w:hAnsi="Times" w:cs="Arial"/>
        </w:rPr>
        <w:t>Samadani</w:t>
      </w:r>
      <w:proofErr w:type="spellEnd"/>
      <w:r w:rsidRPr="004F2B88">
        <w:rPr>
          <w:rFonts w:ascii="Times" w:hAnsi="Times" w:cs="Arial"/>
        </w:rPr>
        <w:t xml:space="preserve">, 2013) These epigenetic alternations are early events in breast tumorigenesis. </w:t>
      </w:r>
      <w:sdt>
        <w:sdtPr>
          <w:rPr>
            <w:rFonts w:ascii="Times" w:hAnsi="Times" w:cs="Arial"/>
          </w:rPr>
          <w:tag w:val="doc:5a68bfb8e4b0b7f6897c57c3;body"/>
          <w:id w:val="-1950998804"/>
        </w:sdtPr>
        <w:sdtEndPr/>
        <w:sdtContent>
          <w:r w:rsidRPr="004F2B88">
            <w:rPr>
              <w:rFonts w:ascii="Times" w:hAnsi="Times" w:cs="Arial"/>
            </w:rPr>
            <w:t>(Danforth, 2016)</w:t>
          </w:r>
        </w:sdtContent>
      </w:sdt>
      <w:r w:rsidRPr="004F2B88">
        <w:rPr>
          <w:rFonts w:ascii="Times" w:hAnsi="Times" w:cs="Arial"/>
        </w:rPr>
        <w:t xml:space="preserve"> Abnormal hypermethylation of CpG sites in the promotor regions of tumor supressor genes is followed by loss of function, capable of increasing both somatic and germline mutations of genes in BC-related pathways. (Herman &amp; </w:t>
      </w:r>
      <w:proofErr w:type="spellStart"/>
      <w:r w:rsidRPr="004F2B88">
        <w:rPr>
          <w:rFonts w:ascii="Times" w:hAnsi="Times" w:cs="Arial"/>
        </w:rPr>
        <w:t>Baylin</w:t>
      </w:r>
      <w:proofErr w:type="spellEnd"/>
      <w:r w:rsidRPr="004F2B88">
        <w:rPr>
          <w:rFonts w:ascii="Times" w:hAnsi="Times" w:cs="Arial"/>
        </w:rPr>
        <w:t>, 2003)</w:t>
      </w:r>
      <w:r w:rsidR="00C606C5">
        <w:t xml:space="preserve"> </w:t>
      </w:r>
    </w:p>
    <w:p w14:paraId="663E2156" w14:textId="4F668C46" w:rsidR="00D33D30" w:rsidRDefault="00D33D30" w:rsidP="00D33D30">
      <w:pPr>
        <w:spacing w:line="480" w:lineRule="auto"/>
        <w:ind w:firstLine="720"/>
        <w:jc w:val="both"/>
        <w:rPr>
          <w:rFonts w:ascii="Times" w:hAnsi="Times" w:cs="Arial"/>
        </w:rPr>
      </w:pPr>
      <w:r w:rsidRPr="004F2B88">
        <w:rPr>
          <w:rFonts w:ascii="Times" w:hAnsi="Times" w:cs="Arial"/>
        </w:rPr>
        <w:t xml:space="preserve">Several studies have investigated the relationship between body weight status and BC risk with regard to gene-specific DNA methylation levels. BMI is associated with aberrant promotor methylation levels of epiobesigenic genes governing cell growth, immune response, DNA repair and adipogenesis across many molecular subtypes of BC. (Holm et al., 2010) With regard to specific genes, RASSF1A, CCND2, ER-alpha and PR are reported to be hypermethylated in BC, as well as PTEN, CDKN1A and </w:t>
      </w:r>
      <w:r w:rsidR="00013E29">
        <w:rPr>
          <w:rFonts w:ascii="Times" w:hAnsi="Times" w:cs="Arial"/>
        </w:rPr>
        <w:t>ESR1. (Y. T. Huang et al., 2016;</w:t>
      </w:r>
      <w:r w:rsidRPr="004F2B88">
        <w:rPr>
          <w:rFonts w:ascii="Times" w:hAnsi="Times" w:cs="Arial"/>
        </w:rPr>
        <w:t xml:space="preserve"> Campion</w:t>
      </w:r>
      <w:r w:rsidR="00013E29">
        <w:rPr>
          <w:rFonts w:ascii="Times" w:hAnsi="Times" w:cs="Arial"/>
        </w:rPr>
        <w:t>,</w:t>
      </w:r>
      <w:r w:rsidRPr="004F2B88">
        <w:rPr>
          <w:rFonts w:ascii="Times" w:hAnsi="Times" w:cs="Arial"/>
        </w:rPr>
        <w:t xml:space="preserve"> 2009) In addition, BC-specific mortality has been found higher in obese women with promoter methylation in the APC </w:t>
      </w:r>
      <w:r w:rsidR="00AC6B0F">
        <w:rPr>
          <w:rFonts w:ascii="Times" w:hAnsi="Times" w:cs="Arial"/>
        </w:rPr>
        <w:t xml:space="preserve">gene (HR = 2.47; 95 % CI, 1.43, </w:t>
      </w:r>
      <w:r w:rsidRPr="004F2B88">
        <w:rPr>
          <w:rFonts w:ascii="Times" w:hAnsi="Times" w:cs="Arial"/>
        </w:rPr>
        <w:t xml:space="preserve">4.27). (McCullough et al., 2016) </w:t>
      </w:r>
      <w:r w:rsidRPr="004F2B88">
        <w:rPr>
          <w:rFonts w:ascii="Times" w:hAnsi="Times" w:cs="Arial"/>
          <w:b/>
          <w:i/>
        </w:rPr>
        <w:t>Table 1</w:t>
      </w:r>
      <w:r w:rsidRPr="004F2B88">
        <w:rPr>
          <w:rFonts w:ascii="Times" w:hAnsi="Times" w:cs="Arial"/>
          <w:i/>
        </w:rPr>
        <w:t xml:space="preserve"> </w:t>
      </w:r>
      <w:r w:rsidRPr="004F2B88">
        <w:rPr>
          <w:rFonts w:ascii="Times" w:hAnsi="Times" w:cs="Arial"/>
        </w:rPr>
        <w:t>includes a more extensive list of commonly reported genes with differential methylation in BC</w:t>
      </w:r>
      <w:r w:rsidRPr="00D33D30">
        <w:rPr>
          <w:rFonts w:ascii="Times" w:hAnsi="Times" w:cs="Arial"/>
        </w:rPr>
        <w:t xml:space="preserve"> </w:t>
      </w:r>
    </w:p>
    <w:p w14:paraId="160065E7" w14:textId="4A307BFD" w:rsidR="008A3DD9" w:rsidRDefault="008A3DD9" w:rsidP="00D33D30">
      <w:pPr>
        <w:spacing w:line="480" w:lineRule="auto"/>
        <w:ind w:firstLine="720"/>
        <w:jc w:val="both"/>
        <w:rPr>
          <w:rFonts w:ascii="Times" w:hAnsi="Times" w:cs="Arial"/>
        </w:rPr>
      </w:pPr>
    </w:p>
    <w:p w14:paraId="41116F01" w14:textId="77777777" w:rsidR="008A3DD9" w:rsidRDefault="008A3DD9" w:rsidP="00D33D30">
      <w:pPr>
        <w:spacing w:line="480" w:lineRule="auto"/>
        <w:ind w:firstLine="720"/>
        <w:jc w:val="both"/>
        <w:rPr>
          <w:rFonts w:ascii="Times" w:hAnsi="Times" w:cs="Arial"/>
        </w:rPr>
      </w:pPr>
    </w:p>
    <w:p w14:paraId="6DCDE761" w14:textId="50258372" w:rsidR="008A3DD9" w:rsidRDefault="008A3DD9" w:rsidP="008A3DD9">
      <w:pPr>
        <w:pStyle w:val="Caption"/>
      </w:pPr>
      <w:r>
        <w:lastRenderedPageBreak/>
        <w:t>Table 1. Genes differentially methylated in breast cancer.</w:t>
      </w:r>
    </w:p>
    <w:tbl>
      <w:tblPr>
        <w:tblW w:w="5031" w:type="pct"/>
        <w:tblBorders>
          <w:top w:val="nil"/>
          <w:left w:val="nil"/>
          <w:right w:val="nil"/>
        </w:tblBorders>
        <w:tblLook w:val="0000" w:firstRow="0" w:lastRow="0" w:firstColumn="0" w:lastColumn="0" w:noHBand="0" w:noVBand="0"/>
      </w:tblPr>
      <w:tblGrid>
        <w:gridCol w:w="1297"/>
        <w:gridCol w:w="1205"/>
        <w:gridCol w:w="921"/>
        <w:gridCol w:w="5261"/>
      </w:tblGrid>
      <w:tr w:rsidR="008A3DD9" w:rsidRPr="004250F4" w14:paraId="127F87FC" w14:textId="77777777" w:rsidTr="00675817">
        <w:trPr>
          <w:trHeight w:val="499"/>
        </w:trPr>
        <w:tc>
          <w:tcPr>
            <w:tcW w:w="747" w:type="pct"/>
            <w:tcBorders>
              <w:top w:val="single" w:sz="4" w:space="0" w:color="000000"/>
              <w:left w:val="single" w:sz="4" w:space="0" w:color="000000"/>
              <w:bottom w:val="single" w:sz="4" w:space="0" w:color="000000"/>
            </w:tcBorders>
            <w:vAlign w:val="center"/>
          </w:tcPr>
          <w:p w14:paraId="3B1787F8" w14:textId="77777777" w:rsidR="008A3DD9" w:rsidRPr="004250F4" w:rsidRDefault="008A3DD9" w:rsidP="00121E1F">
            <w:pPr>
              <w:autoSpaceDE w:val="0"/>
              <w:autoSpaceDN w:val="0"/>
              <w:adjustRightInd w:val="0"/>
              <w:spacing w:line="240" w:lineRule="atLeast"/>
              <w:rPr>
                <w:b/>
                <w:bCs/>
                <w:color w:val="585858"/>
                <w:sz w:val="21"/>
                <w:szCs w:val="21"/>
              </w:rPr>
            </w:pPr>
            <w:r w:rsidRPr="004250F4">
              <w:rPr>
                <w:b/>
                <w:bCs/>
                <w:color w:val="585858"/>
                <w:sz w:val="21"/>
                <w:szCs w:val="21"/>
              </w:rPr>
              <w:t>Function</w:t>
            </w:r>
          </w:p>
        </w:tc>
        <w:tc>
          <w:tcPr>
            <w:tcW w:w="694" w:type="pct"/>
            <w:tcBorders>
              <w:top w:val="single" w:sz="4" w:space="0" w:color="000000"/>
              <w:bottom w:val="single" w:sz="4" w:space="0" w:color="000000"/>
            </w:tcBorders>
            <w:vAlign w:val="center"/>
          </w:tcPr>
          <w:p w14:paraId="10C80C9D" w14:textId="77777777" w:rsidR="008A3DD9" w:rsidRPr="004250F4" w:rsidRDefault="008A3DD9" w:rsidP="00121E1F">
            <w:pPr>
              <w:autoSpaceDE w:val="0"/>
              <w:autoSpaceDN w:val="0"/>
              <w:adjustRightInd w:val="0"/>
              <w:spacing w:line="240" w:lineRule="atLeast"/>
              <w:rPr>
                <w:b/>
                <w:bCs/>
                <w:color w:val="585858"/>
                <w:sz w:val="21"/>
                <w:szCs w:val="21"/>
              </w:rPr>
            </w:pPr>
            <w:r w:rsidRPr="004250F4">
              <w:rPr>
                <w:b/>
                <w:bCs/>
                <w:color w:val="585858"/>
                <w:sz w:val="21"/>
                <w:szCs w:val="21"/>
              </w:rPr>
              <w:t>Gene Name</w:t>
            </w:r>
          </w:p>
        </w:tc>
        <w:tc>
          <w:tcPr>
            <w:tcW w:w="530" w:type="pct"/>
            <w:tcBorders>
              <w:top w:val="single" w:sz="4" w:space="0" w:color="000000"/>
              <w:bottom w:val="single" w:sz="4" w:space="0" w:color="000000"/>
            </w:tcBorders>
            <w:vAlign w:val="center"/>
          </w:tcPr>
          <w:p w14:paraId="65989C81" w14:textId="77777777" w:rsidR="008A3DD9" w:rsidRPr="004250F4" w:rsidRDefault="008A3DD9" w:rsidP="00121E1F">
            <w:pPr>
              <w:autoSpaceDE w:val="0"/>
              <w:autoSpaceDN w:val="0"/>
              <w:adjustRightInd w:val="0"/>
              <w:spacing w:line="240" w:lineRule="atLeast"/>
              <w:rPr>
                <w:b/>
                <w:bCs/>
                <w:color w:val="585858"/>
                <w:sz w:val="21"/>
                <w:szCs w:val="21"/>
              </w:rPr>
            </w:pPr>
            <w:r w:rsidRPr="004250F4">
              <w:rPr>
                <w:b/>
                <w:bCs/>
                <w:color w:val="585858"/>
                <w:sz w:val="21"/>
                <w:szCs w:val="21"/>
              </w:rPr>
              <w:t>Gene ID</w:t>
            </w:r>
          </w:p>
        </w:tc>
        <w:tc>
          <w:tcPr>
            <w:tcW w:w="3029" w:type="pct"/>
            <w:tcBorders>
              <w:top w:val="single" w:sz="4" w:space="0" w:color="000000"/>
              <w:bottom w:val="single" w:sz="4" w:space="0" w:color="000000"/>
              <w:right w:val="single" w:sz="4" w:space="0" w:color="000000"/>
            </w:tcBorders>
            <w:vAlign w:val="center"/>
          </w:tcPr>
          <w:p w14:paraId="2AB8E6EB" w14:textId="77777777" w:rsidR="008A3DD9" w:rsidRPr="004250F4" w:rsidRDefault="008A3DD9" w:rsidP="00121E1F">
            <w:pPr>
              <w:autoSpaceDE w:val="0"/>
              <w:autoSpaceDN w:val="0"/>
              <w:adjustRightInd w:val="0"/>
              <w:spacing w:line="240" w:lineRule="atLeast"/>
              <w:rPr>
                <w:b/>
                <w:bCs/>
                <w:color w:val="585858"/>
                <w:sz w:val="21"/>
                <w:szCs w:val="21"/>
              </w:rPr>
            </w:pPr>
            <w:r w:rsidRPr="004250F4">
              <w:rPr>
                <w:b/>
                <w:bCs/>
                <w:color w:val="585858"/>
                <w:sz w:val="21"/>
                <w:szCs w:val="21"/>
              </w:rPr>
              <w:t>Biological Role Implicated in Cancer</w:t>
            </w:r>
          </w:p>
        </w:tc>
      </w:tr>
      <w:tr w:rsidR="008A3DD9" w:rsidRPr="004250F4" w14:paraId="774CFCFF" w14:textId="77777777" w:rsidTr="00675817">
        <w:tblPrEx>
          <w:tblBorders>
            <w:top w:val="none" w:sz="0" w:space="0" w:color="auto"/>
          </w:tblBorders>
        </w:tblPrEx>
        <w:trPr>
          <w:trHeight w:val="499"/>
        </w:trPr>
        <w:tc>
          <w:tcPr>
            <w:tcW w:w="747" w:type="pct"/>
            <w:tcBorders>
              <w:left w:val="single" w:sz="4" w:space="0" w:color="000000"/>
            </w:tcBorders>
            <w:vAlign w:val="center"/>
          </w:tcPr>
          <w:p w14:paraId="41909461"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DNA Repair</w:t>
            </w:r>
          </w:p>
        </w:tc>
        <w:tc>
          <w:tcPr>
            <w:tcW w:w="694" w:type="pct"/>
            <w:vAlign w:val="center"/>
          </w:tcPr>
          <w:p w14:paraId="6299322A"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BRCA1</w:t>
            </w:r>
          </w:p>
        </w:tc>
        <w:tc>
          <w:tcPr>
            <w:tcW w:w="530" w:type="pct"/>
            <w:vAlign w:val="center"/>
          </w:tcPr>
          <w:p w14:paraId="2A2668CD"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672</w:t>
            </w:r>
          </w:p>
        </w:tc>
        <w:tc>
          <w:tcPr>
            <w:tcW w:w="3029" w:type="pct"/>
            <w:tcBorders>
              <w:right w:val="single" w:sz="4" w:space="0" w:color="000000"/>
            </w:tcBorders>
            <w:vAlign w:val="center"/>
          </w:tcPr>
          <w:p w14:paraId="1E8F3766"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Tumor supressor</w:t>
            </w:r>
          </w:p>
        </w:tc>
      </w:tr>
      <w:tr w:rsidR="008A3DD9" w:rsidRPr="004250F4" w14:paraId="444A6249" w14:textId="77777777" w:rsidTr="00675817">
        <w:tblPrEx>
          <w:tblBorders>
            <w:top w:val="none" w:sz="0" w:space="0" w:color="auto"/>
          </w:tblBorders>
        </w:tblPrEx>
        <w:trPr>
          <w:trHeight w:val="499"/>
        </w:trPr>
        <w:tc>
          <w:tcPr>
            <w:tcW w:w="747" w:type="pct"/>
            <w:tcBorders>
              <w:left w:val="single" w:sz="4" w:space="0" w:color="000000"/>
            </w:tcBorders>
            <w:vAlign w:val="bottom"/>
          </w:tcPr>
          <w:p w14:paraId="5F92C4A3"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1C8E80C0"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BRCA2</w:t>
            </w:r>
          </w:p>
        </w:tc>
        <w:tc>
          <w:tcPr>
            <w:tcW w:w="530" w:type="pct"/>
            <w:vAlign w:val="center"/>
          </w:tcPr>
          <w:p w14:paraId="21EE0FEE"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675</w:t>
            </w:r>
          </w:p>
        </w:tc>
        <w:tc>
          <w:tcPr>
            <w:tcW w:w="3029" w:type="pct"/>
            <w:tcBorders>
              <w:right w:val="single" w:sz="4" w:space="0" w:color="000000"/>
            </w:tcBorders>
            <w:vAlign w:val="center"/>
          </w:tcPr>
          <w:p w14:paraId="44E5F08E"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Tumor supressor</w:t>
            </w:r>
          </w:p>
        </w:tc>
      </w:tr>
      <w:tr w:rsidR="008A3DD9" w:rsidRPr="004250F4" w14:paraId="2D7904A6" w14:textId="77777777" w:rsidTr="00675817">
        <w:tblPrEx>
          <w:tblBorders>
            <w:top w:val="none" w:sz="0" w:space="0" w:color="auto"/>
          </w:tblBorders>
        </w:tblPrEx>
        <w:trPr>
          <w:trHeight w:val="499"/>
        </w:trPr>
        <w:tc>
          <w:tcPr>
            <w:tcW w:w="747" w:type="pct"/>
            <w:tcBorders>
              <w:left w:val="single" w:sz="4" w:space="0" w:color="000000"/>
            </w:tcBorders>
            <w:vAlign w:val="bottom"/>
          </w:tcPr>
          <w:p w14:paraId="74A9572B"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1F8205DB"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MGMT</w:t>
            </w:r>
          </w:p>
        </w:tc>
        <w:tc>
          <w:tcPr>
            <w:tcW w:w="530" w:type="pct"/>
            <w:vAlign w:val="center"/>
          </w:tcPr>
          <w:p w14:paraId="5A277880"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4255</w:t>
            </w:r>
          </w:p>
        </w:tc>
        <w:tc>
          <w:tcPr>
            <w:tcW w:w="3029" w:type="pct"/>
            <w:tcBorders>
              <w:right w:val="single" w:sz="4" w:space="0" w:color="000000"/>
            </w:tcBorders>
            <w:vAlign w:val="center"/>
          </w:tcPr>
          <w:p w14:paraId="3746AD74"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Defense against mutagenesis and toxicity</w:t>
            </w:r>
          </w:p>
        </w:tc>
      </w:tr>
      <w:tr w:rsidR="008A3DD9" w:rsidRPr="004250F4" w14:paraId="3861BBC6" w14:textId="77777777" w:rsidTr="00675817">
        <w:tblPrEx>
          <w:tblBorders>
            <w:top w:val="none" w:sz="0" w:space="0" w:color="auto"/>
          </w:tblBorders>
        </w:tblPrEx>
        <w:trPr>
          <w:trHeight w:val="499"/>
        </w:trPr>
        <w:tc>
          <w:tcPr>
            <w:tcW w:w="747" w:type="pct"/>
            <w:tcBorders>
              <w:left w:val="single" w:sz="4" w:space="0" w:color="000000"/>
            </w:tcBorders>
            <w:vAlign w:val="bottom"/>
          </w:tcPr>
          <w:p w14:paraId="16B40F0D"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14B228C9"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MSH2</w:t>
            </w:r>
          </w:p>
        </w:tc>
        <w:tc>
          <w:tcPr>
            <w:tcW w:w="530" w:type="pct"/>
            <w:vAlign w:val="center"/>
          </w:tcPr>
          <w:p w14:paraId="11D3704D"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4436</w:t>
            </w:r>
          </w:p>
        </w:tc>
        <w:tc>
          <w:tcPr>
            <w:tcW w:w="3029" w:type="pct"/>
            <w:tcBorders>
              <w:right w:val="single" w:sz="4" w:space="0" w:color="000000"/>
            </w:tcBorders>
            <w:vAlign w:val="center"/>
          </w:tcPr>
          <w:p w14:paraId="7788062C"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Mismatch repair gene, DNA damage signaling</w:t>
            </w:r>
          </w:p>
        </w:tc>
      </w:tr>
      <w:tr w:rsidR="008A3DD9" w:rsidRPr="004250F4" w14:paraId="72855B72" w14:textId="77777777" w:rsidTr="00675817">
        <w:tblPrEx>
          <w:tblBorders>
            <w:top w:val="none" w:sz="0" w:space="0" w:color="auto"/>
          </w:tblBorders>
        </w:tblPrEx>
        <w:trPr>
          <w:trHeight w:val="499"/>
        </w:trPr>
        <w:tc>
          <w:tcPr>
            <w:tcW w:w="747" w:type="pct"/>
            <w:tcBorders>
              <w:left w:val="single" w:sz="4" w:space="0" w:color="000000"/>
            </w:tcBorders>
            <w:vAlign w:val="bottom"/>
          </w:tcPr>
          <w:p w14:paraId="186D6317"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377F19C3"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MLH1</w:t>
            </w:r>
          </w:p>
        </w:tc>
        <w:tc>
          <w:tcPr>
            <w:tcW w:w="530" w:type="pct"/>
            <w:vAlign w:val="center"/>
          </w:tcPr>
          <w:p w14:paraId="220C0E5B"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4292</w:t>
            </w:r>
          </w:p>
        </w:tc>
        <w:tc>
          <w:tcPr>
            <w:tcW w:w="3029" w:type="pct"/>
            <w:tcBorders>
              <w:right w:val="single" w:sz="4" w:space="0" w:color="000000"/>
            </w:tcBorders>
            <w:vAlign w:val="center"/>
          </w:tcPr>
          <w:p w14:paraId="438F7B98"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Tumor supressor, DNA mismatch repair gene </w:t>
            </w:r>
          </w:p>
        </w:tc>
      </w:tr>
      <w:tr w:rsidR="008A3DD9" w:rsidRPr="004250F4" w14:paraId="07CDAD44" w14:textId="77777777" w:rsidTr="00675817">
        <w:tblPrEx>
          <w:tblBorders>
            <w:top w:val="none" w:sz="0" w:space="0" w:color="auto"/>
          </w:tblBorders>
        </w:tblPrEx>
        <w:trPr>
          <w:trHeight w:val="499"/>
        </w:trPr>
        <w:tc>
          <w:tcPr>
            <w:tcW w:w="747" w:type="pct"/>
            <w:tcBorders>
              <w:left w:val="single" w:sz="4" w:space="0" w:color="000000"/>
            </w:tcBorders>
            <w:vAlign w:val="bottom"/>
          </w:tcPr>
          <w:p w14:paraId="01120D78"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bottom"/>
          </w:tcPr>
          <w:p w14:paraId="2C9B5B2F"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p>
        </w:tc>
        <w:tc>
          <w:tcPr>
            <w:tcW w:w="530" w:type="pct"/>
            <w:vAlign w:val="bottom"/>
          </w:tcPr>
          <w:p w14:paraId="5F05E274"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p>
        </w:tc>
        <w:tc>
          <w:tcPr>
            <w:tcW w:w="3029" w:type="pct"/>
            <w:tcBorders>
              <w:right w:val="single" w:sz="4" w:space="0" w:color="000000"/>
            </w:tcBorders>
            <w:vAlign w:val="bottom"/>
          </w:tcPr>
          <w:p w14:paraId="7FCD734F"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r>
      <w:tr w:rsidR="008A3DD9" w:rsidRPr="004250F4" w14:paraId="671F2F76" w14:textId="77777777" w:rsidTr="00675817">
        <w:tblPrEx>
          <w:tblBorders>
            <w:top w:val="none" w:sz="0" w:space="0" w:color="auto"/>
          </w:tblBorders>
        </w:tblPrEx>
        <w:trPr>
          <w:trHeight w:val="499"/>
        </w:trPr>
        <w:tc>
          <w:tcPr>
            <w:tcW w:w="747" w:type="pct"/>
            <w:tcBorders>
              <w:left w:val="single" w:sz="4" w:space="0" w:color="000000"/>
            </w:tcBorders>
            <w:vAlign w:val="center"/>
          </w:tcPr>
          <w:p w14:paraId="787CBE13"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Cell-Cycle </w:t>
            </w:r>
          </w:p>
        </w:tc>
        <w:tc>
          <w:tcPr>
            <w:tcW w:w="694" w:type="pct"/>
            <w:vAlign w:val="center"/>
          </w:tcPr>
          <w:p w14:paraId="6494DDD4"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SFRP1</w:t>
            </w:r>
          </w:p>
        </w:tc>
        <w:tc>
          <w:tcPr>
            <w:tcW w:w="530" w:type="pct"/>
            <w:vAlign w:val="center"/>
          </w:tcPr>
          <w:p w14:paraId="3E0F02D4"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6422</w:t>
            </w:r>
          </w:p>
        </w:tc>
        <w:tc>
          <w:tcPr>
            <w:tcW w:w="3029" w:type="pct"/>
            <w:tcBorders>
              <w:right w:val="single" w:sz="4" w:space="0" w:color="000000"/>
            </w:tcBorders>
            <w:vAlign w:val="center"/>
          </w:tcPr>
          <w:p w14:paraId="60EC5FAC"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WNT inhibitor</w:t>
            </w:r>
          </w:p>
        </w:tc>
      </w:tr>
      <w:tr w:rsidR="008A3DD9" w:rsidRPr="004250F4" w14:paraId="1940F3B1" w14:textId="77777777" w:rsidTr="00675817">
        <w:tblPrEx>
          <w:tblBorders>
            <w:top w:val="none" w:sz="0" w:space="0" w:color="auto"/>
          </w:tblBorders>
        </w:tblPrEx>
        <w:trPr>
          <w:trHeight w:val="499"/>
        </w:trPr>
        <w:tc>
          <w:tcPr>
            <w:tcW w:w="747" w:type="pct"/>
            <w:tcBorders>
              <w:left w:val="single" w:sz="4" w:space="0" w:color="000000"/>
            </w:tcBorders>
            <w:vAlign w:val="center"/>
          </w:tcPr>
          <w:p w14:paraId="326CA3E0"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Regulation</w:t>
            </w:r>
          </w:p>
        </w:tc>
        <w:tc>
          <w:tcPr>
            <w:tcW w:w="694" w:type="pct"/>
            <w:vAlign w:val="center"/>
          </w:tcPr>
          <w:p w14:paraId="0CD79255"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APC</w:t>
            </w:r>
          </w:p>
        </w:tc>
        <w:tc>
          <w:tcPr>
            <w:tcW w:w="530" w:type="pct"/>
            <w:vAlign w:val="center"/>
          </w:tcPr>
          <w:p w14:paraId="45158512"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324</w:t>
            </w:r>
          </w:p>
        </w:tc>
        <w:tc>
          <w:tcPr>
            <w:tcW w:w="3029" w:type="pct"/>
            <w:tcBorders>
              <w:right w:val="single" w:sz="4" w:space="0" w:color="000000"/>
            </w:tcBorders>
            <w:vAlign w:val="center"/>
          </w:tcPr>
          <w:p w14:paraId="659ED43C"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Tumor supressor</w:t>
            </w:r>
          </w:p>
        </w:tc>
      </w:tr>
      <w:tr w:rsidR="008A3DD9" w:rsidRPr="004250F4" w14:paraId="3043B7A8" w14:textId="77777777" w:rsidTr="00675817">
        <w:tblPrEx>
          <w:tblBorders>
            <w:top w:val="none" w:sz="0" w:space="0" w:color="auto"/>
          </w:tblBorders>
        </w:tblPrEx>
        <w:trPr>
          <w:trHeight w:val="499"/>
        </w:trPr>
        <w:tc>
          <w:tcPr>
            <w:tcW w:w="747" w:type="pct"/>
            <w:tcBorders>
              <w:left w:val="single" w:sz="4" w:space="0" w:color="000000"/>
            </w:tcBorders>
            <w:vAlign w:val="bottom"/>
          </w:tcPr>
          <w:p w14:paraId="6BD1845F"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5FD01DC1"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CCND2</w:t>
            </w:r>
          </w:p>
        </w:tc>
        <w:tc>
          <w:tcPr>
            <w:tcW w:w="530" w:type="pct"/>
            <w:vAlign w:val="center"/>
          </w:tcPr>
          <w:p w14:paraId="4E126F05"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894</w:t>
            </w:r>
          </w:p>
        </w:tc>
        <w:tc>
          <w:tcPr>
            <w:tcW w:w="3029" w:type="pct"/>
            <w:tcBorders>
              <w:right w:val="single" w:sz="4" w:space="0" w:color="000000"/>
            </w:tcBorders>
            <w:vAlign w:val="center"/>
          </w:tcPr>
          <w:p w14:paraId="343A00F6"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Regulates G1-S (Cell growth to DNA replication phase) </w:t>
            </w:r>
          </w:p>
        </w:tc>
      </w:tr>
      <w:tr w:rsidR="008A3DD9" w:rsidRPr="004250F4" w14:paraId="74030E82" w14:textId="77777777" w:rsidTr="00675817">
        <w:tblPrEx>
          <w:tblBorders>
            <w:top w:val="none" w:sz="0" w:space="0" w:color="auto"/>
          </w:tblBorders>
        </w:tblPrEx>
        <w:trPr>
          <w:trHeight w:val="499"/>
        </w:trPr>
        <w:tc>
          <w:tcPr>
            <w:tcW w:w="747" w:type="pct"/>
            <w:tcBorders>
              <w:left w:val="single" w:sz="4" w:space="0" w:color="000000"/>
            </w:tcBorders>
            <w:vAlign w:val="bottom"/>
          </w:tcPr>
          <w:p w14:paraId="30E97D27"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087301D6"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CDKN2A (P16)</w:t>
            </w:r>
          </w:p>
        </w:tc>
        <w:tc>
          <w:tcPr>
            <w:tcW w:w="530" w:type="pct"/>
            <w:vAlign w:val="center"/>
          </w:tcPr>
          <w:p w14:paraId="3F1A18DA"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1029</w:t>
            </w:r>
          </w:p>
        </w:tc>
        <w:tc>
          <w:tcPr>
            <w:tcW w:w="3029" w:type="pct"/>
            <w:tcBorders>
              <w:right w:val="single" w:sz="4" w:space="0" w:color="000000"/>
            </w:tcBorders>
            <w:vAlign w:val="center"/>
          </w:tcPr>
          <w:p w14:paraId="6738402E"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Tumor supressor</w:t>
            </w:r>
          </w:p>
        </w:tc>
      </w:tr>
      <w:tr w:rsidR="008A3DD9" w:rsidRPr="004250F4" w14:paraId="084924D1" w14:textId="77777777" w:rsidTr="00675817">
        <w:tblPrEx>
          <w:tblBorders>
            <w:top w:val="none" w:sz="0" w:space="0" w:color="auto"/>
          </w:tblBorders>
        </w:tblPrEx>
        <w:trPr>
          <w:trHeight w:val="499"/>
        </w:trPr>
        <w:tc>
          <w:tcPr>
            <w:tcW w:w="747" w:type="pct"/>
            <w:tcBorders>
              <w:left w:val="single" w:sz="4" w:space="0" w:color="000000"/>
            </w:tcBorders>
            <w:vAlign w:val="bottom"/>
          </w:tcPr>
          <w:p w14:paraId="34507D59"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0EE59D5F"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CDKN1A</w:t>
            </w:r>
          </w:p>
        </w:tc>
        <w:tc>
          <w:tcPr>
            <w:tcW w:w="530" w:type="pct"/>
            <w:vAlign w:val="center"/>
          </w:tcPr>
          <w:p w14:paraId="19D2F76B"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1026</w:t>
            </w:r>
          </w:p>
        </w:tc>
        <w:tc>
          <w:tcPr>
            <w:tcW w:w="3029" w:type="pct"/>
            <w:tcBorders>
              <w:right w:val="single" w:sz="4" w:space="0" w:color="000000"/>
            </w:tcBorders>
            <w:vAlign w:val="center"/>
          </w:tcPr>
          <w:p w14:paraId="4D6A764C"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Regulates cell cycle progression at G1</w:t>
            </w:r>
          </w:p>
        </w:tc>
      </w:tr>
      <w:tr w:rsidR="008A3DD9" w:rsidRPr="004250F4" w14:paraId="4AD8518E" w14:textId="77777777" w:rsidTr="00675817">
        <w:tblPrEx>
          <w:tblBorders>
            <w:top w:val="none" w:sz="0" w:space="0" w:color="auto"/>
          </w:tblBorders>
        </w:tblPrEx>
        <w:trPr>
          <w:trHeight w:val="499"/>
        </w:trPr>
        <w:tc>
          <w:tcPr>
            <w:tcW w:w="747" w:type="pct"/>
            <w:tcBorders>
              <w:left w:val="single" w:sz="4" w:space="0" w:color="000000"/>
            </w:tcBorders>
            <w:vAlign w:val="bottom"/>
          </w:tcPr>
          <w:p w14:paraId="79162C48"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62ADB57F"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DAPK1</w:t>
            </w:r>
          </w:p>
        </w:tc>
        <w:tc>
          <w:tcPr>
            <w:tcW w:w="530" w:type="pct"/>
            <w:vAlign w:val="center"/>
          </w:tcPr>
          <w:p w14:paraId="3D18C658"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1612</w:t>
            </w:r>
          </w:p>
        </w:tc>
        <w:tc>
          <w:tcPr>
            <w:tcW w:w="3029" w:type="pct"/>
            <w:tcBorders>
              <w:right w:val="single" w:sz="4" w:space="0" w:color="000000"/>
            </w:tcBorders>
            <w:vAlign w:val="center"/>
          </w:tcPr>
          <w:p w14:paraId="7A7DE572"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Apoptosis, autophagy</w:t>
            </w:r>
          </w:p>
        </w:tc>
      </w:tr>
      <w:tr w:rsidR="008A3DD9" w:rsidRPr="004250F4" w14:paraId="69CB3CDB" w14:textId="77777777" w:rsidTr="00675817">
        <w:tblPrEx>
          <w:tblBorders>
            <w:top w:val="none" w:sz="0" w:space="0" w:color="auto"/>
          </w:tblBorders>
        </w:tblPrEx>
        <w:trPr>
          <w:trHeight w:val="499"/>
        </w:trPr>
        <w:tc>
          <w:tcPr>
            <w:tcW w:w="747" w:type="pct"/>
            <w:tcBorders>
              <w:left w:val="single" w:sz="4" w:space="0" w:color="000000"/>
            </w:tcBorders>
            <w:vAlign w:val="bottom"/>
          </w:tcPr>
          <w:p w14:paraId="67BD9A43"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6FD3E8D5"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SCGB3A1</w:t>
            </w:r>
          </w:p>
        </w:tc>
        <w:tc>
          <w:tcPr>
            <w:tcW w:w="530" w:type="pct"/>
            <w:vAlign w:val="center"/>
          </w:tcPr>
          <w:p w14:paraId="2F98342F"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92304</w:t>
            </w:r>
          </w:p>
        </w:tc>
        <w:tc>
          <w:tcPr>
            <w:tcW w:w="3029" w:type="pct"/>
            <w:tcBorders>
              <w:right w:val="single" w:sz="4" w:space="0" w:color="000000"/>
            </w:tcBorders>
            <w:vAlign w:val="center"/>
          </w:tcPr>
          <w:p w14:paraId="7D16ABD6"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Cell proliferation and differentiation</w:t>
            </w:r>
          </w:p>
        </w:tc>
      </w:tr>
      <w:tr w:rsidR="008A3DD9" w:rsidRPr="004250F4" w14:paraId="41AB39E8" w14:textId="77777777" w:rsidTr="00675817">
        <w:tblPrEx>
          <w:tblBorders>
            <w:top w:val="none" w:sz="0" w:space="0" w:color="auto"/>
          </w:tblBorders>
        </w:tblPrEx>
        <w:trPr>
          <w:trHeight w:val="499"/>
        </w:trPr>
        <w:tc>
          <w:tcPr>
            <w:tcW w:w="747" w:type="pct"/>
            <w:tcBorders>
              <w:left w:val="single" w:sz="4" w:space="0" w:color="000000"/>
            </w:tcBorders>
            <w:vAlign w:val="bottom"/>
          </w:tcPr>
          <w:p w14:paraId="34EA912D"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bottom"/>
          </w:tcPr>
          <w:p w14:paraId="25D0293E"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p>
        </w:tc>
        <w:tc>
          <w:tcPr>
            <w:tcW w:w="530" w:type="pct"/>
            <w:vAlign w:val="bottom"/>
          </w:tcPr>
          <w:p w14:paraId="3DCAE459"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p>
        </w:tc>
        <w:tc>
          <w:tcPr>
            <w:tcW w:w="3029" w:type="pct"/>
            <w:tcBorders>
              <w:right w:val="single" w:sz="4" w:space="0" w:color="000000"/>
            </w:tcBorders>
            <w:vAlign w:val="bottom"/>
          </w:tcPr>
          <w:p w14:paraId="2BA70658"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r>
      <w:tr w:rsidR="008A3DD9" w:rsidRPr="004250F4" w14:paraId="4EBBF519" w14:textId="77777777" w:rsidTr="00675817">
        <w:tblPrEx>
          <w:tblBorders>
            <w:top w:val="none" w:sz="0" w:space="0" w:color="auto"/>
          </w:tblBorders>
        </w:tblPrEx>
        <w:trPr>
          <w:trHeight w:val="499"/>
        </w:trPr>
        <w:tc>
          <w:tcPr>
            <w:tcW w:w="747" w:type="pct"/>
            <w:tcBorders>
              <w:left w:val="single" w:sz="4" w:space="0" w:color="000000"/>
            </w:tcBorders>
            <w:vAlign w:val="center"/>
          </w:tcPr>
          <w:p w14:paraId="60D94E40"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ER+ vs ER-</w:t>
            </w:r>
          </w:p>
        </w:tc>
        <w:tc>
          <w:tcPr>
            <w:tcW w:w="694" w:type="pct"/>
            <w:vAlign w:val="center"/>
          </w:tcPr>
          <w:p w14:paraId="0B9BC658"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RASSF1A</w:t>
            </w:r>
          </w:p>
        </w:tc>
        <w:tc>
          <w:tcPr>
            <w:tcW w:w="530" w:type="pct"/>
            <w:vAlign w:val="center"/>
          </w:tcPr>
          <w:p w14:paraId="7214D051"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11186</w:t>
            </w:r>
          </w:p>
        </w:tc>
        <w:tc>
          <w:tcPr>
            <w:tcW w:w="3029" w:type="pct"/>
            <w:tcBorders>
              <w:right w:val="single" w:sz="4" w:space="0" w:color="000000"/>
            </w:tcBorders>
            <w:vAlign w:val="center"/>
          </w:tcPr>
          <w:p w14:paraId="2388B607"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Tumor supressor, blocks cell cycle progression</w:t>
            </w:r>
          </w:p>
        </w:tc>
      </w:tr>
      <w:tr w:rsidR="008A3DD9" w:rsidRPr="004250F4" w14:paraId="7FC2AAD0" w14:textId="77777777" w:rsidTr="00675817">
        <w:tblPrEx>
          <w:tblBorders>
            <w:top w:val="none" w:sz="0" w:space="0" w:color="auto"/>
          </w:tblBorders>
        </w:tblPrEx>
        <w:trPr>
          <w:trHeight w:val="499"/>
        </w:trPr>
        <w:tc>
          <w:tcPr>
            <w:tcW w:w="747" w:type="pct"/>
            <w:tcBorders>
              <w:left w:val="single" w:sz="4" w:space="0" w:color="000000"/>
            </w:tcBorders>
            <w:vAlign w:val="bottom"/>
          </w:tcPr>
          <w:p w14:paraId="1BB68FA9"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45B1F620"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CCND2</w:t>
            </w:r>
          </w:p>
        </w:tc>
        <w:tc>
          <w:tcPr>
            <w:tcW w:w="530" w:type="pct"/>
            <w:vAlign w:val="center"/>
          </w:tcPr>
          <w:p w14:paraId="573BF826"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894</w:t>
            </w:r>
          </w:p>
        </w:tc>
        <w:tc>
          <w:tcPr>
            <w:tcW w:w="3029" w:type="pct"/>
            <w:tcBorders>
              <w:right w:val="single" w:sz="4" w:space="0" w:color="000000"/>
            </w:tcBorders>
            <w:vAlign w:val="center"/>
          </w:tcPr>
          <w:p w14:paraId="32ABB16F"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Regulates G1-S phase</w:t>
            </w:r>
          </w:p>
        </w:tc>
      </w:tr>
      <w:tr w:rsidR="008A3DD9" w:rsidRPr="004250F4" w14:paraId="0E7B7FFC" w14:textId="77777777" w:rsidTr="00675817">
        <w:tblPrEx>
          <w:tblBorders>
            <w:top w:val="none" w:sz="0" w:space="0" w:color="auto"/>
          </w:tblBorders>
        </w:tblPrEx>
        <w:trPr>
          <w:trHeight w:val="499"/>
        </w:trPr>
        <w:tc>
          <w:tcPr>
            <w:tcW w:w="747" w:type="pct"/>
            <w:tcBorders>
              <w:left w:val="single" w:sz="4" w:space="0" w:color="000000"/>
            </w:tcBorders>
            <w:vAlign w:val="bottom"/>
          </w:tcPr>
          <w:p w14:paraId="6A1FF64E"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6738FB34"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ESR1</w:t>
            </w:r>
          </w:p>
        </w:tc>
        <w:tc>
          <w:tcPr>
            <w:tcW w:w="530" w:type="pct"/>
            <w:vAlign w:val="center"/>
          </w:tcPr>
          <w:p w14:paraId="1009F72D"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2099</w:t>
            </w:r>
          </w:p>
        </w:tc>
        <w:tc>
          <w:tcPr>
            <w:tcW w:w="3029" w:type="pct"/>
            <w:tcBorders>
              <w:right w:val="single" w:sz="4" w:space="0" w:color="000000"/>
            </w:tcBorders>
            <w:vAlign w:val="center"/>
          </w:tcPr>
          <w:p w14:paraId="695C216F"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hormone binding, DNA binding, transcription activation</w:t>
            </w:r>
          </w:p>
        </w:tc>
      </w:tr>
      <w:tr w:rsidR="008A3DD9" w:rsidRPr="004250F4" w14:paraId="338BC160" w14:textId="77777777" w:rsidTr="00675817">
        <w:tblPrEx>
          <w:tblBorders>
            <w:top w:val="none" w:sz="0" w:space="0" w:color="auto"/>
          </w:tblBorders>
        </w:tblPrEx>
        <w:trPr>
          <w:trHeight w:val="499"/>
        </w:trPr>
        <w:tc>
          <w:tcPr>
            <w:tcW w:w="747" w:type="pct"/>
            <w:tcBorders>
              <w:left w:val="single" w:sz="4" w:space="0" w:color="000000"/>
            </w:tcBorders>
            <w:vAlign w:val="bottom"/>
          </w:tcPr>
          <w:p w14:paraId="32E9A62A"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489854E7"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PGR</w:t>
            </w:r>
          </w:p>
        </w:tc>
        <w:tc>
          <w:tcPr>
            <w:tcW w:w="530" w:type="pct"/>
            <w:vAlign w:val="center"/>
          </w:tcPr>
          <w:p w14:paraId="16FDEBE0"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5241</w:t>
            </w:r>
          </w:p>
        </w:tc>
        <w:tc>
          <w:tcPr>
            <w:tcW w:w="3029" w:type="pct"/>
            <w:tcBorders>
              <w:right w:val="single" w:sz="4" w:space="0" w:color="000000"/>
            </w:tcBorders>
            <w:vAlign w:val="center"/>
          </w:tcPr>
          <w:p w14:paraId="264EAE91"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Cellular proliferation and differentiation</w:t>
            </w:r>
          </w:p>
        </w:tc>
      </w:tr>
      <w:tr w:rsidR="008A3DD9" w:rsidRPr="004250F4" w14:paraId="677B7E9F" w14:textId="77777777" w:rsidTr="00675817">
        <w:tblPrEx>
          <w:tblBorders>
            <w:top w:val="none" w:sz="0" w:space="0" w:color="auto"/>
          </w:tblBorders>
        </w:tblPrEx>
        <w:trPr>
          <w:trHeight w:val="499"/>
        </w:trPr>
        <w:tc>
          <w:tcPr>
            <w:tcW w:w="747" w:type="pct"/>
            <w:tcBorders>
              <w:left w:val="single" w:sz="4" w:space="0" w:color="000000"/>
            </w:tcBorders>
            <w:vAlign w:val="bottom"/>
          </w:tcPr>
          <w:p w14:paraId="13864B68"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22078BDB"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CDH13</w:t>
            </w:r>
          </w:p>
        </w:tc>
        <w:tc>
          <w:tcPr>
            <w:tcW w:w="530" w:type="pct"/>
            <w:vAlign w:val="center"/>
          </w:tcPr>
          <w:p w14:paraId="168D1772"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1012</w:t>
            </w:r>
          </w:p>
        </w:tc>
        <w:tc>
          <w:tcPr>
            <w:tcW w:w="3029" w:type="pct"/>
            <w:tcBorders>
              <w:right w:val="single" w:sz="4" w:space="0" w:color="000000"/>
            </w:tcBorders>
            <w:vAlign w:val="center"/>
          </w:tcPr>
          <w:p w14:paraId="3DC91D72" w14:textId="75DE5CA5" w:rsidR="008A3DD9" w:rsidRPr="004250F4" w:rsidRDefault="00675817" w:rsidP="00121E1F">
            <w:pPr>
              <w:autoSpaceDE w:val="0"/>
              <w:autoSpaceDN w:val="0"/>
              <w:adjustRightInd w:val="0"/>
              <w:spacing w:line="240" w:lineRule="atLeast"/>
              <w:rPr>
                <w:color w:val="585858"/>
                <w:sz w:val="21"/>
                <w:szCs w:val="21"/>
              </w:rPr>
            </w:pPr>
            <w:r>
              <w:rPr>
                <w:color w:val="585858"/>
                <w:sz w:val="21"/>
                <w:szCs w:val="21"/>
              </w:rPr>
              <w:t>Tumor supressor. cell adhesion</w:t>
            </w:r>
            <w:r w:rsidR="008A3DD9" w:rsidRPr="004250F4">
              <w:rPr>
                <w:color w:val="585858"/>
                <w:sz w:val="21"/>
                <w:szCs w:val="21"/>
              </w:rPr>
              <w:t> </w:t>
            </w:r>
          </w:p>
        </w:tc>
      </w:tr>
      <w:tr w:rsidR="008A3DD9" w:rsidRPr="004250F4" w14:paraId="1E1C3C3B" w14:textId="77777777" w:rsidTr="00675817">
        <w:tblPrEx>
          <w:tblBorders>
            <w:top w:val="none" w:sz="0" w:space="0" w:color="auto"/>
          </w:tblBorders>
        </w:tblPrEx>
        <w:trPr>
          <w:trHeight w:val="499"/>
        </w:trPr>
        <w:tc>
          <w:tcPr>
            <w:tcW w:w="747" w:type="pct"/>
            <w:tcBorders>
              <w:left w:val="single" w:sz="4" w:space="0" w:color="000000"/>
            </w:tcBorders>
            <w:vAlign w:val="bottom"/>
          </w:tcPr>
          <w:p w14:paraId="07B57C4C"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vAlign w:val="center"/>
          </w:tcPr>
          <w:p w14:paraId="586E1D9D"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HSD17B4</w:t>
            </w:r>
          </w:p>
        </w:tc>
        <w:tc>
          <w:tcPr>
            <w:tcW w:w="530" w:type="pct"/>
            <w:vAlign w:val="center"/>
          </w:tcPr>
          <w:p w14:paraId="1372FE1C"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3295</w:t>
            </w:r>
          </w:p>
        </w:tc>
        <w:tc>
          <w:tcPr>
            <w:tcW w:w="3029" w:type="pct"/>
            <w:tcBorders>
              <w:right w:val="single" w:sz="4" w:space="0" w:color="000000"/>
            </w:tcBorders>
            <w:vAlign w:val="center"/>
          </w:tcPr>
          <w:p w14:paraId="3D8B2521"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Peroxisomal FA beta-oxidation pathway, differential methylation in HER2+ subtype</w:t>
            </w:r>
          </w:p>
        </w:tc>
      </w:tr>
      <w:tr w:rsidR="008A3DD9" w:rsidRPr="004250F4" w14:paraId="6311DE18" w14:textId="77777777" w:rsidTr="00675817">
        <w:trPr>
          <w:trHeight w:val="499"/>
        </w:trPr>
        <w:tc>
          <w:tcPr>
            <w:tcW w:w="747" w:type="pct"/>
            <w:tcBorders>
              <w:left w:val="single" w:sz="4" w:space="0" w:color="000000"/>
              <w:bottom w:val="single" w:sz="4" w:space="0" w:color="000000"/>
            </w:tcBorders>
            <w:vAlign w:val="bottom"/>
          </w:tcPr>
          <w:p w14:paraId="3C3F63B9" w14:textId="77777777" w:rsidR="008A3DD9" w:rsidRPr="004250F4" w:rsidRDefault="008A3DD9" w:rsidP="00121E1F">
            <w:pPr>
              <w:autoSpaceDE w:val="0"/>
              <w:autoSpaceDN w:val="0"/>
              <w:adjustRightInd w:val="0"/>
              <w:spacing w:line="260" w:lineRule="atLeast"/>
              <w:rPr>
                <w:rFonts w:ascii="Calibri Light" w:hAnsi="Calibri Light" w:cs="Calibri Light"/>
                <w:color w:val="000000"/>
                <w:sz w:val="21"/>
                <w:szCs w:val="21"/>
              </w:rPr>
            </w:pPr>
            <w:r w:rsidRPr="004250F4">
              <w:rPr>
                <w:rFonts w:ascii="Calibri Light" w:hAnsi="Calibri Light" w:cs="Calibri Light"/>
                <w:color w:val="000000"/>
                <w:sz w:val="21"/>
                <w:szCs w:val="21"/>
              </w:rPr>
              <w:t> </w:t>
            </w:r>
          </w:p>
        </w:tc>
        <w:tc>
          <w:tcPr>
            <w:tcW w:w="694" w:type="pct"/>
            <w:tcBorders>
              <w:bottom w:val="single" w:sz="4" w:space="0" w:color="000000"/>
            </w:tcBorders>
            <w:vAlign w:val="center"/>
          </w:tcPr>
          <w:p w14:paraId="66E18433" w14:textId="77777777"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BCL2</w:t>
            </w:r>
          </w:p>
        </w:tc>
        <w:tc>
          <w:tcPr>
            <w:tcW w:w="530" w:type="pct"/>
            <w:tcBorders>
              <w:bottom w:val="single" w:sz="4" w:space="0" w:color="000000"/>
            </w:tcBorders>
            <w:vAlign w:val="center"/>
          </w:tcPr>
          <w:p w14:paraId="74998A1E" w14:textId="77777777" w:rsidR="008A3DD9" w:rsidRPr="004250F4" w:rsidRDefault="008A3DD9" w:rsidP="00121E1F">
            <w:pPr>
              <w:autoSpaceDE w:val="0"/>
              <w:autoSpaceDN w:val="0"/>
              <w:adjustRightInd w:val="0"/>
              <w:spacing w:line="240" w:lineRule="atLeast"/>
              <w:jc w:val="right"/>
              <w:rPr>
                <w:color w:val="585858"/>
                <w:sz w:val="21"/>
                <w:szCs w:val="21"/>
              </w:rPr>
            </w:pPr>
            <w:r w:rsidRPr="004250F4">
              <w:rPr>
                <w:color w:val="585858"/>
                <w:sz w:val="21"/>
                <w:szCs w:val="21"/>
              </w:rPr>
              <w:t>596</w:t>
            </w:r>
          </w:p>
        </w:tc>
        <w:tc>
          <w:tcPr>
            <w:tcW w:w="3029" w:type="pct"/>
            <w:tcBorders>
              <w:bottom w:val="single" w:sz="4" w:space="0" w:color="000000"/>
              <w:right w:val="single" w:sz="4" w:space="0" w:color="000000"/>
            </w:tcBorders>
            <w:vAlign w:val="center"/>
          </w:tcPr>
          <w:p w14:paraId="415488D3" w14:textId="6A3B92BE" w:rsidR="008A3DD9" w:rsidRPr="004250F4" w:rsidRDefault="008A3DD9" w:rsidP="00121E1F">
            <w:pPr>
              <w:autoSpaceDE w:val="0"/>
              <w:autoSpaceDN w:val="0"/>
              <w:adjustRightInd w:val="0"/>
              <w:spacing w:line="240" w:lineRule="atLeast"/>
              <w:rPr>
                <w:color w:val="585858"/>
                <w:sz w:val="21"/>
                <w:szCs w:val="21"/>
              </w:rPr>
            </w:pPr>
            <w:r w:rsidRPr="004250F4">
              <w:rPr>
                <w:color w:val="585858"/>
                <w:sz w:val="21"/>
                <w:szCs w:val="21"/>
              </w:rPr>
              <w:t xml:space="preserve">Inhibits apoptosis, Calcium </w:t>
            </w:r>
            <w:r w:rsidR="00675817">
              <w:rPr>
                <w:color w:val="585858"/>
                <w:sz w:val="21"/>
                <w:szCs w:val="21"/>
              </w:rPr>
              <w:t>signaling</w:t>
            </w:r>
          </w:p>
        </w:tc>
      </w:tr>
    </w:tbl>
    <w:p w14:paraId="57538B65" w14:textId="3F821796" w:rsidR="008A3DD9" w:rsidRDefault="008A3DD9" w:rsidP="00D33D30">
      <w:pPr>
        <w:spacing w:line="480" w:lineRule="auto"/>
        <w:ind w:firstLine="720"/>
        <w:jc w:val="both"/>
        <w:rPr>
          <w:rFonts w:ascii="Times" w:hAnsi="Times" w:cs="Arial"/>
        </w:rPr>
      </w:pPr>
    </w:p>
    <w:p w14:paraId="7CCF994D" w14:textId="43390793" w:rsidR="008A3DD9" w:rsidRDefault="008A3DD9" w:rsidP="00D33D30">
      <w:pPr>
        <w:spacing w:line="480" w:lineRule="auto"/>
        <w:ind w:firstLine="720"/>
        <w:jc w:val="both"/>
        <w:rPr>
          <w:rFonts w:ascii="Times" w:hAnsi="Times" w:cs="Arial"/>
        </w:rPr>
      </w:pPr>
    </w:p>
    <w:p w14:paraId="7DE45BC1" w14:textId="77777777" w:rsidR="008A3DD9" w:rsidRDefault="008A3DD9" w:rsidP="00D33D30">
      <w:pPr>
        <w:spacing w:line="480" w:lineRule="auto"/>
        <w:ind w:firstLine="720"/>
        <w:jc w:val="both"/>
        <w:rPr>
          <w:rFonts w:ascii="Times" w:hAnsi="Times" w:cs="Arial"/>
        </w:rPr>
      </w:pPr>
    </w:p>
    <w:p w14:paraId="02E535EF" w14:textId="0B96571D" w:rsidR="00C606C5" w:rsidRDefault="00D33D30" w:rsidP="00D33D30">
      <w:pPr>
        <w:spacing w:line="480" w:lineRule="auto"/>
        <w:ind w:firstLine="720"/>
        <w:jc w:val="both"/>
        <w:rPr>
          <w:rFonts w:ascii="Times" w:hAnsi="Times" w:cs="Arial"/>
        </w:rPr>
      </w:pPr>
      <w:r w:rsidRPr="004F2B88">
        <w:rPr>
          <w:rFonts w:ascii="Times" w:hAnsi="Times" w:cs="Arial"/>
        </w:rPr>
        <w:lastRenderedPageBreak/>
        <w:t>With regard to methylation of genes in whole blood, the BC susceptibility genes BRCA1 and BRCA2 are two of the most frequently investigated. A recent meta-analysis of 40 studies supported the association between BRCA1 promotor hypermethylation in cancer</w:t>
      </w:r>
      <w:r>
        <w:rPr>
          <w:rFonts w:ascii="Times" w:hAnsi="Times" w:cs="Arial"/>
        </w:rPr>
        <w:t xml:space="preserve"> </w:t>
      </w:r>
      <w:r w:rsidRPr="004F2B88">
        <w:rPr>
          <w:rFonts w:ascii="Times" w:hAnsi="Times" w:cs="Arial"/>
        </w:rPr>
        <w:t>versus non-cancer controls. (L. Zhang &amp; Long, 2015) In contrast, in a healthy cohort of dominantly obese female nurses aged 40-60 years, obesity was not associated with BRCA1 or BRCA2 hypermethylation. (</w:t>
      </w:r>
      <w:proofErr w:type="spellStart"/>
      <w:r w:rsidRPr="004F2B88">
        <w:rPr>
          <w:rFonts w:ascii="Times" w:hAnsi="Times" w:cs="Arial"/>
        </w:rPr>
        <w:t>Peplonska</w:t>
      </w:r>
      <w:proofErr w:type="spellEnd"/>
      <w:r w:rsidRPr="004F2B88">
        <w:rPr>
          <w:rFonts w:ascii="Times" w:hAnsi="Times" w:cs="Arial"/>
        </w:rPr>
        <w:t xml:space="preserve"> et al., 2017) The relationship between methylation levels of BC susceptibility genes warrants further investigation</w:t>
      </w:r>
      <w:r>
        <w:rPr>
          <w:rFonts w:ascii="Times" w:hAnsi="Times" w:cs="Arial"/>
        </w:rPr>
        <w:t>.</w:t>
      </w:r>
    </w:p>
    <w:p w14:paraId="219BE1D1" w14:textId="3B9072AA" w:rsidR="00D33D30" w:rsidRDefault="00D33D30" w:rsidP="00D33D30">
      <w:pPr>
        <w:spacing w:line="480" w:lineRule="auto"/>
        <w:ind w:firstLine="720"/>
        <w:jc w:val="both"/>
      </w:pPr>
    </w:p>
    <w:p w14:paraId="3C3ACD73" w14:textId="625EED82" w:rsidR="003C2CD7" w:rsidRDefault="00DF4749" w:rsidP="00C01D9F">
      <w:pPr>
        <w:pStyle w:val="Heading3"/>
      </w:pPr>
      <w:bookmarkStart w:id="10" w:name="_Toc510174014"/>
      <w:r>
        <w:t xml:space="preserve">2.3.2 </w:t>
      </w:r>
      <w:r w:rsidR="003C2CD7">
        <w:t>Global Methylation, Obesity and Breast Cancer</w:t>
      </w:r>
      <w:bookmarkEnd w:id="10"/>
    </w:p>
    <w:p w14:paraId="47D418E8" w14:textId="76A9DA35" w:rsidR="003C2CD7" w:rsidRDefault="003C2CD7" w:rsidP="003C2CD7">
      <w:pPr>
        <w:spacing w:line="480" w:lineRule="auto"/>
        <w:jc w:val="both"/>
        <w:rPr>
          <w:rFonts w:ascii="Times" w:hAnsi="Times" w:cs="Arial"/>
        </w:rPr>
      </w:pPr>
      <w:r w:rsidRPr="008238C2">
        <w:rPr>
          <w:rFonts w:ascii="Times" w:hAnsi="Times" w:cs="Arial"/>
        </w:rPr>
        <w:t xml:space="preserve">In contrast to the hypermethylation of promotor regions of tumor suppressor genes, hypomethylation of non-coding genomic regions is characteristic of nearly all cancers, with BC as no exception. Global hypomethylation facilitates tumor promotion and progression through increased chromosomal instability. Results from studies on global methylation, body weight status and BC risk are varied, perhaps due in part to variations in inter-assay measurement validity. (Choi 2009, Cho 2010, Xu 2012) DNA methylation within specific regions of interest can be assessed with several different methods. Versions of High Performance Liquid Chromatography-based (HPLC) detection are considered the “gold standard” of global DNA methylation, but due to their considerable cost and need for special laboratory conditions, the use of HPLC for DNA methylation profiling is frequently less common. Two of the most popular substitutions for measuring whole-genome methylation profiles are long interspersed nuclear element-1 (LINE-1) and luminometric methylation assay (LUMA), as they exhibit higher specificity, sensitivity and lower assay-to-assay variability than other methods of approach. Both methods require very little </w:t>
      </w:r>
      <w:r w:rsidRPr="008238C2">
        <w:rPr>
          <w:rFonts w:ascii="Times" w:hAnsi="Times" w:cs="Arial"/>
        </w:rPr>
        <w:lastRenderedPageBreak/>
        <w:t>genomic DNA and so are often used in conjunction, with LUMA serving as an internal control accounting for variability in the amount of DNA input</w:t>
      </w:r>
      <w:r>
        <w:rPr>
          <w:rFonts w:ascii="Times" w:hAnsi="Times" w:cs="Arial"/>
        </w:rPr>
        <w:t>.</w:t>
      </w:r>
      <w:r w:rsidR="00AD576E">
        <w:rPr>
          <w:rFonts w:ascii="Times" w:hAnsi="Times" w:cs="Arial"/>
        </w:rPr>
        <w:t xml:space="preserve"> </w:t>
      </w:r>
      <w:r w:rsidR="00AD576E" w:rsidRPr="004F2B88">
        <w:rPr>
          <w:rFonts w:ascii="Times" w:hAnsi="Times" w:cs="Arial"/>
        </w:rPr>
        <w:t>Of these two methods, LUMA and LINE-1, only LINE-1 assay data correlates well with HPLC-derived measurements, and LINE-1 is often recommended over the use of LUMA</w:t>
      </w:r>
      <w:r w:rsidR="00AD576E">
        <w:rPr>
          <w:rFonts w:ascii="Times" w:hAnsi="Times" w:cs="Arial"/>
        </w:rPr>
        <w:t xml:space="preserve"> </w:t>
      </w:r>
      <w:r w:rsidRPr="004F2B88">
        <w:rPr>
          <w:rFonts w:ascii="Times" w:hAnsi="Times" w:cs="Arial"/>
        </w:rPr>
        <w:t>alone to assess whole genome methylation patterns. (</w:t>
      </w:r>
      <w:proofErr w:type="spellStart"/>
      <w:r w:rsidRPr="004F2B88">
        <w:rPr>
          <w:rFonts w:ascii="Times" w:hAnsi="Times" w:cs="Arial"/>
        </w:rPr>
        <w:t>Kurdyukov</w:t>
      </w:r>
      <w:proofErr w:type="spellEnd"/>
      <w:r w:rsidRPr="004F2B88">
        <w:rPr>
          <w:rFonts w:ascii="Times" w:hAnsi="Times" w:cs="Arial"/>
        </w:rPr>
        <w:t xml:space="preserve"> &amp; Bullock, 2016) As more than one-third of methylation in the human genome is found in the CpG-rich sequences of Long Interspersed Nuclear Elements (LINEs), these transposable elements are considered a valid surrogate marker for global methylation. (Beck et al., 2011; </w:t>
      </w:r>
      <w:proofErr w:type="spellStart"/>
      <w:r w:rsidRPr="004F2B88">
        <w:rPr>
          <w:rFonts w:ascii="Times" w:hAnsi="Times" w:cs="Arial"/>
        </w:rPr>
        <w:t>Carraro</w:t>
      </w:r>
      <w:proofErr w:type="spellEnd"/>
      <w:r w:rsidRPr="004F2B88">
        <w:rPr>
          <w:rFonts w:ascii="Times" w:hAnsi="Times" w:cs="Arial"/>
        </w:rPr>
        <w:t xml:space="preserve"> et al., 2016; </w:t>
      </w:r>
      <w:proofErr w:type="spellStart"/>
      <w:r w:rsidRPr="004F2B88">
        <w:rPr>
          <w:rFonts w:ascii="Times" w:hAnsi="Times" w:cs="Arial"/>
        </w:rPr>
        <w:t>Irahara</w:t>
      </w:r>
      <w:proofErr w:type="spellEnd"/>
      <w:r w:rsidRPr="004F2B88">
        <w:rPr>
          <w:rFonts w:ascii="Times" w:hAnsi="Times" w:cs="Arial"/>
        </w:rPr>
        <w:t xml:space="preserve">, </w:t>
      </w:r>
      <w:proofErr w:type="spellStart"/>
      <w:r w:rsidRPr="004F2B88">
        <w:rPr>
          <w:rFonts w:ascii="Times" w:hAnsi="Times" w:cs="Arial"/>
        </w:rPr>
        <w:t>Nosho</w:t>
      </w:r>
      <w:proofErr w:type="spellEnd"/>
      <w:r w:rsidRPr="004F2B88">
        <w:rPr>
          <w:rFonts w:ascii="Times" w:hAnsi="Times" w:cs="Arial"/>
        </w:rPr>
        <w:t xml:space="preserve">, Baba, &amp; </w:t>
      </w:r>
      <w:proofErr w:type="spellStart"/>
      <w:r w:rsidRPr="004F2B88">
        <w:rPr>
          <w:rFonts w:ascii="Times" w:hAnsi="Times" w:cs="Arial"/>
        </w:rPr>
        <w:t>Shima</w:t>
      </w:r>
      <w:proofErr w:type="spellEnd"/>
      <w:r w:rsidRPr="004F2B88">
        <w:rPr>
          <w:rFonts w:ascii="Times" w:hAnsi="Times" w:cs="Arial"/>
        </w:rPr>
        <w:t>, 2010; Park et al., 2014) The largest subclass of these transposable nuclear elements is LINE-1. Hypomethylation of LINE-1 parallels global DNA hypomethylation and is characteristic of cancer cells. (Tang et al., 2016</w:t>
      </w:r>
      <w:r w:rsidR="00E51ECB">
        <w:rPr>
          <w:rFonts w:ascii="Times" w:hAnsi="Times" w:cs="Arial"/>
        </w:rPr>
        <w:t>)</w:t>
      </w:r>
    </w:p>
    <w:p w14:paraId="2EEB24D9" w14:textId="6069429F" w:rsidR="00A9480E" w:rsidRDefault="003C2CD7" w:rsidP="00AD576E">
      <w:pPr>
        <w:spacing w:line="480" w:lineRule="auto"/>
        <w:ind w:firstLine="720"/>
        <w:jc w:val="both"/>
        <w:rPr>
          <w:rFonts w:ascii="Times" w:hAnsi="Times" w:cs="Arial"/>
        </w:rPr>
      </w:pPr>
      <w:r w:rsidRPr="004F2B88">
        <w:rPr>
          <w:rFonts w:ascii="Times" w:hAnsi="Times" w:cs="Arial"/>
        </w:rPr>
        <w:t>Though evidence supporting blood-based DNA methylation as measured by LINE-1 as a biomarker for BC risk is currently limited, a dose-dependent association between LINE-1 methylation from peripheral blood and BC risk has been reported. (</w:t>
      </w:r>
      <w:proofErr w:type="spellStart"/>
      <w:r w:rsidRPr="004F2B88">
        <w:rPr>
          <w:rFonts w:ascii="Times" w:hAnsi="Times" w:cs="Arial"/>
        </w:rPr>
        <w:t>Deroo</w:t>
      </w:r>
      <w:proofErr w:type="spellEnd"/>
      <w:r w:rsidRPr="004F2B88">
        <w:rPr>
          <w:rFonts w:ascii="Times" w:hAnsi="Times" w:cs="Arial"/>
        </w:rPr>
        <w:t xml:space="preserve"> et al., 2014)</w:t>
      </w:r>
      <w:r>
        <w:rPr>
          <w:rFonts w:ascii="Times" w:hAnsi="Times" w:cs="Arial"/>
        </w:rPr>
        <w:t xml:space="preserve"> </w:t>
      </w:r>
      <w:r w:rsidRPr="004F2B88">
        <w:rPr>
          <w:rFonts w:ascii="Times" w:hAnsi="Times" w:cs="Arial"/>
        </w:rPr>
        <w:t>The confounding effects of gender, age and lifestyle habits may explain the inconsistency in assessments between LINE-1 methylation and body weight status. Progressing age is associated with an increase in CpG island methylation but a decline in global methylation. (F. F. Zhang et al., 2011) LINE-1 methylation levels in white blood cells was negatively correlated with body fat mass but positively associated with a healthy lifestyle in a healthy, young cohort of men and women (mean age, 23 years; mean BMI = 22kg/m</w:t>
      </w:r>
      <w:r w:rsidRPr="004F2B88">
        <w:rPr>
          <w:rFonts w:ascii="Times" w:hAnsi="Times" w:cs="Arial"/>
          <w:vertAlign w:val="superscript"/>
        </w:rPr>
        <w:t>2</w:t>
      </w:r>
      <w:r w:rsidRPr="004F2B88">
        <w:rPr>
          <w:rFonts w:ascii="Times" w:hAnsi="Times" w:cs="Arial"/>
        </w:rPr>
        <w:t>). (Marques-Rocha</w:t>
      </w:r>
      <w:r w:rsidR="008D233D">
        <w:rPr>
          <w:rFonts w:ascii="Times" w:hAnsi="Times" w:cs="Arial"/>
        </w:rPr>
        <w:t xml:space="preserve"> et al.,</w:t>
      </w:r>
      <w:r w:rsidRPr="004F2B88">
        <w:rPr>
          <w:rFonts w:ascii="Times" w:hAnsi="Times" w:cs="Arial"/>
        </w:rPr>
        <w:t xml:space="preserve"> 2016). Likewise, global methylation as measured LINE-1 was positively associated with BMI in a recent cross-sectional study with a healthy cohort of postmenopausal women. (Boyne</w:t>
      </w:r>
      <w:r w:rsidR="00E51ECB">
        <w:rPr>
          <w:rFonts w:ascii="Times" w:hAnsi="Times" w:cs="Arial"/>
        </w:rPr>
        <w:t xml:space="preserve"> et al.</w:t>
      </w:r>
      <w:r w:rsidRPr="004F2B88">
        <w:rPr>
          <w:rFonts w:ascii="Times" w:hAnsi="Times" w:cs="Arial"/>
        </w:rPr>
        <w:t>, 2017)</w:t>
      </w:r>
      <w:r w:rsidR="00A9480E">
        <w:rPr>
          <w:rFonts w:ascii="Times" w:hAnsi="Times" w:cs="Arial"/>
        </w:rPr>
        <w:t xml:space="preserve"> </w:t>
      </w:r>
    </w:p>
    <w:p w14:paraId="48F334B7" w14:textId="1CDFA07C" w:rsidR="00A9480E" w:rsidRDefault="00A9480E" w:rsidP="00A9480E">
      <w:pPr>
        <w:spacing w:line="480" w:lineRule="auto"/>
        <w:jc w:val="both"/>
        <w:rPr>
          <w:rFonts w:ascii="Times" w:hAnsi="Times" w:cs="Arial"/>
        </w:rPr>
      </w:pPr>
      <w:r w:rsidRPr="004F2B88">
        <w:rPr>
          <w:rFonts w:ascii="Times" w:hAnsi="Times" w:cs="Arial"/>
        </w:rPr>
        <w:lastRenderedPageBreak/>
        <w:t xml:space="preserve">Due to its complexity and mutability, the quantification of CpG islands in repeating elements LINE-1 is not a perfect biomarker for global DNA methylation. Aside from the </w:t>
      </w:r>
      <w:proofErr w:type="spellStart"/>
      <w:r w:rsidRPr="004F2B88">
        <w:rPr>
          <w:rFonts w:ascii="Times" w:hAnsi="Times" w:cs="Arial"/>
        </w:rPr>
        <w:t>DeRoo</w:t>
      </w:r>
      <w:proofErr w:type="spellEnd"/>
      <w:r w:rsidRPr="004F2B88">
        <w:rPr>
          <w:rFonts w:ascii="Times" w:hAnsi="Times" w:cs="Arial"/>
        </w:rPr>
        <w:t xml:space="preserve"> study, most associations between global methylation and BC risk find significance only when assessing the data with quantile analysis. Of the thirteen studies assessed in a</w:t>
      </w:r>
      <w:r w:rsidRPr="00A9480E">
        <w:rPr>
          <w:rFonts w:ascii="Times" w:hAnsi="Times" w:cs="Arial"/>
        </w:rPr>
        <w:t xml:space="preserve"> </w:t>
      </w:r>
      <w:r w:rsidRPr="004F2B88">
        <w:rPr>
          <w:rFonts w:ascii="Times" w:hAnsi="Times" w:cs="Arial"/>
        </w:rPr>
        <w:t>review by Tang et al. in 2016, the four study results with significant odds ratios (ORs) had used different methods of measuring DNA methylation. The two studies which used the LUMA assay found that women in the highest quantile of global methylation versus the lowest had higher risks of BC. In contrast, the other two studies with significant ORs had used LINE-1 and/or 5-mdC levels to measure methylation. 5-methyldeoxycytosine methylation is measured through liquid chromatography mass spectrometry. These studies both found a reduced risk of BC with higher DNA methylation levels, though the results from the two measuring methods did not correlate with each other. (Choi et al., 2009</w:t>
      </w:r>
      <w:r>
        <w:rPr>
          <w:rFonts w:ascii="Times" w:hAnsi="Times" w:cs="Arial"/>
        </w:rPr>
        <w:t xml:space="preserve">) </w:t>
      </w:r>
      <w:r w:rsidRPr="004F2B88">
        <w:rPr>
          <w:rFonts w:ascii="Times" w:hAnsi="Times" w:cs="Arial"/>
        </w:rPr>
        <w:t xml:space="preserve">Importantly, changes in genome-wide or gene-specific methylation patterns may be confined to the microenvironment of the breast tumor site and specificity has been shown to depend on the originating tissue. </w:t>
      </w:r>
      <w:sdt>
        <w:sdtPr>
          <w:rPr>
            <w:rFonts w:ascii="Times" w:hAnsi="Times" w:cs="Arial"/>
          </w:rPr>
          <w:tag w:val="doc:59d84ef8e4b061a5d614d14f;body"/>
          <w:id w:val="607013025"/>
        </w:sdtPr>
        <w:sdtEndPr/>
        <w:sdtContent>
          <w:r w:rsidRPr="004F2B88">
            <w:rPr>
              <w:rFonts w:ascii="Times" w:hAnsi="Times" w:cs="Arial"/>
            </w:rPr>
            <w:t>(</w:t>
          </w:r>
          <w:proofErr w:type="spellStart"/>
          <w:r w:rsidRPr="004F2B88">
            <w:rPr>
              <w:rFonts w:ascii="Times" w:hAnsi="Times" w:cs="Arial"/>
            </w:rPr>
            <w:t>Knothe</w:t>
          </w:r>
          <w:proofErr w:type="spellEnd"/>
          <w:r w:rsidRPr="004F2B88">
            <w:rPr>
              <w:rFonts w:ascii="Times" w:hAnsi="Times" w:cs="Arial"/>
            </w:rPr>
            <w:t xml:space="preserve"> et al., 2016)</w:t>
          </w:r>
        </w:sdtContent>
      </w:sdt>
      <w:r w:rsidRPr="004F2B88">
        <w:rPr>
          <w:rFonts w:ascii="Times" w:hAnsi="Times" w:cs="Arial"/>
        </w:rPr>
        <w:t xml:space="preserve"> Previous studies on obesity, BC risk and survival rates and global methylation as measured by LINE-1 almost exclusively use DNA extracted from whole blood. (Tang</w:t>
      </w:r>
      <w:r w:rsidR="00E51ECB">
        <w:rPr>
          <w:rFonts w:ascii="Times" w:hAnsi="Times" w:cs="Arial"/>
        </w:rPr>
        <w:t xml:space="preserve"> et al., 2016</w:t>
      </w:r>
      <w:r w:rsidRPr="004F2B88">
        <w:rPr>
          <w:rFonts w:ascii="Times" w:hAnsi="Times" w:cs="Arial"/>
        </w:rPr>
        <w:t xml:space="preserve">) Samples for testing methylation levels extracted from the localized area of the breast as opposed to whole blood could reduce potential bias. As an example, in one of the few studies that show a positive relationship between BC risk, genomic hypomethylation and promoter hypermethylation, tumor and adjacent-tissue specific methylation levels of LINE-1 in invasive ductal carcinoma of the breast were found to be lower than in healthy tissue. In contrast, higher levels of promotor hypermethylation were exhibited in tumor and adjacent tissue, when </w:t>
      </w:r>
      <w:r w:rsidRPr="004F2B88">
        <w:rPr>
          <w:rFonts w:ascii="Times" w:hAnsi="Times" w:cs="Arial"/>
        </w:rPr>
        <w:lastRenderedPageBreak/>
        <w:t>compared to methylation levels of whole blood cell DNA from the same subjects. (Cho et al., 2012) Studies assessing weight status, methylation patterns and BC risk using local tissue samples may provide a more accurate picture of early epigenetic changes in the obesity phenotype</w:t>
      </w:r>
      <w:r>
        <w:rPr>
          <w:rFonts w:ascii="Times" w:hAnsi="Times" w:cs="Arial"/>
        </w:rPr>
        <w:t xml:space="preserve">. </w:t>
      </w:r>
    </w:p>
    <w:p w14:paraId="547EBC38" w14:textId="353A2D3E" w:rsidR="00A9480E" w:rsidRDefault="00A9480E" w:rsidP="00A9480E">
      <w:pPr>
        <w:spacing w:line="480" w:lineRule="auto"/>
        <w:ind w:firstLine="720"/>
        <w:jc w:val="both"/>
        <w:rPr>
          <w:rFonts w:ascii="Times" w:hAnsi="Times" w:cs="Arial"/>
        </w:rPr>
      </w:pPr>
      <w:r w:rsidRPr="004F2B88">
        <w:rPr>
          <w:rFonts w:ascii="Times" w:hAnsi="Times" w:cs="Arial"/>
        </w:rPr>
        <w:t xml:space="preserve">In conclusion, though studies from the past five years may not show consistent associations between BMI and global DNA methylation (see review by Bell 2017), differing methods of measurement as well as originating tissue may be the significant contributors to this lack of consensus. Overall, gene-specific as well as sight-specific changes in methylation have been consistently observed in both case-control and larger intervention trials assessing BMI and BC risk. More studies addressing methylation, weight status and BC risk in premenopausal women specifically would need to be conducted to reach a consensus on these relationships. </w:t>
      </w:r>
    </w:p>
    <w:p w14:paraId="13E6786C" w14:textId="77777777" w:rsidR="00A9480E" w:rsidRPr="004F2B88" w:rsidRDefault="00A9480E" w:rsidP="00A9480E">
      <w:pPr>
        <w:spacing w:line="480" w:lineRule="auto"/>
        <w:ind w:firstLine="720"/>
        <w:jc w:val="both"/>
        <w:rPr>
          <w:rFonts w:ascii="Times" w:hAnsi="Times" w:cs="Arial"/>
        </w:rPr>
      </w:pPr>
    </w:p>
    <w:p w14:paraId="675D5B49" w14:textId="4991E301" w:rsidR="00C606C5" w:rsidRDefault="00DF4749" w:rsidP="00C01D9F">
      <w:pPr>
        <w:pStyle w:val="Heading2"/>
      </w:pPr>
      <w:bookmarkStart w:id="11" w:name="_Toc510174015"/>
      <w:r>
        <w:t xml:space="preserve">2.4 </w:t>
      </w:r>
      <w:r w:rsidR="00C606C5">
        <w:t>Folate Status and Breast Cancer</w:t>
      </w:r>
      <w:bookmarkEnd w:id="11"/>
    </w:p>
    <w:p w14:paraId="37D67381" w14:textId="744F45FE" w:rsidR="00D33D30" w:rsidRPr="004F2B88" w:rsidRDefault="00D33D30" w:rsidP="00BF03A3">
      <w:pPr>
        <w:spacing w:line="480" w:lineRule="auto"/>
        <w:ind w:firstLine="720"/>
        <w:jc w:val="both"/>
        <w:rPr>
          <w:rFonts w:ascii="Times" w:hAnsi="Times" w:cs="Arial"/>
        </w:rPr>
      </w:pPr>
      <w:r w:rsidRPr="004F2B88">
        <w:rPr>
          <w:rFonts w:ascii="Times" w:hAnsi="Times" w:cs="Arial"/>
        </w:rPr>
        <w:t>Many of the critical cellular pathways disrupted in carcinogenesis are dependent on adequate folate status. Folate serves as the source of methyl groups for de novo nucleotide synthesis, DNA repair and the maintenance of the epigenetic landscape. Methyl donor depletion, as in a state of folate deficiency from inappropriate nutrition, significantly disrupts all areas of one-carbon metabolism. (</w:t>
      </w:r>
      <w:proofErr w:type="spellStart"/>
      <w:r w:rsidRPr="004F2B88">
        <w:rPr>
          <w:rFonts w:ascii="Times" w:hAnsi="Times" w:cs="Arial"/>
        </w:rPr>
        <w:t>Friso</w:t>
      </w:r>
      <w:proofErr w:type="spellEnd"/>
      <w:r w:rsidRPr="004F2B88">
        <w:rPr>
          <w:rFonts w:ascii="Times" w:hAnsi="Times" w:cs="Arial"/>
        </w:rPr>
        <w:t xml:space="preserve">, </w:t>
      </w:r>
      <w:proofErr w:type="spellStart"/>
      <w:r w:rsidRPr="004F2B88">
        <w:rPr>
          <w:rFonts w:ascii="Times" w:hAnsi="Times" w:cs="Arial"/>
        </w:rPr>
        <w:t>Udali</w:t>
      </w:r>
      <w:proofErr w:type="spellEnd"/>
      <w:r w:rsidRPr="004F2B88">
        <w:rPr>
          <w:rFonts w:ascii="Times" w:hAnsi="Times" w:cs="Arial"/>
        </w:rPr>
        <w:t xml:space="preserve">, De </w:t>
      </w:r>
      <w:proofErr w:type="spellStart"/>
      <w:r w:rsidRPr="004F2B88">
        <w:rPr>
          <w:rFonts w:ascii="Times" w:hAnsi="Times" w:cs="Arial"/>
        </w:rPr>
        <w:t>Santis</w:t>
      </w:r>
      <w:proofErr w:type="spellEnd"/>
      <w:r w:rsidRPr="004F2B88">
        <w:rPr>
          <w:rFonts w:ascii="Times" w:hAnsi="Times" w:cs="Arial"/>
        </w:rPr>
        <w:t>, &amp; Choi, 2017)</w:t>
      </w:r>
      <w:r w:rsidR="003C2CD7" w:rsidRPr="003C2CD7">
        <w:rPr>
          <w:rFonts w:ascii="Times" w:hAnsi="Times" w:cs="Arial"/>
        </w:rPr>
        <w:t xml:space="preserve"> </w:t>
      </w:r>
    </w:p>
    <w:p w14:paraId="364C5C7D" w14:textId="258D5130" w:rsidR="00D33D30" w:rsidRDefault="00D33D30" w:rsidP="00BF03A3">
      <w:pPr>
        <w:spacing w:line="480" w:lineRule="auto"/>
        <w:ind w:firstLine="720"/>
        <w:jc w:val="both"/>
        <w:rPr>
          <w:rFonts w:ascii="Times" w:hAnsi="Times" w:cs="Arial"/>
        </w:rPr>
      </w:pPr>
      <w:r w:rsidRPr="004F2B88">
        <w:rPr>
          <w:rFonts w:ascii="Times" w:hAnsi="Times" w:cs="Arial"/>
        </w:rPr>
        <w:t xml:space="preserve">The anti-cancer effects of foods high in folate have been studied for many decades. Dietary folate intake is essential to proper nucleotide synthesis, DNA repair and methylation, all of which are disrupted in carcinogenesis, and adequate folate status exhibits a protective effect against risk of many cancers. (Kim 1999) Diets low in fruits </w:t>
      </w:r>
      <w:r w:rsidRPr="004F2B88">
        <w:rPr>
          <w:rFonts w:ascii="Times" w:hAnsi="Times" w:cs="Arial"/>
        </w:rPr>
        <w:lastRenderedPageBreak/>
        <w:t>and vegetables often lead to diminished folate status. Overall vegetable intake has been associated with lowered premenopausal BC risk, though it is speculated that many compounds within the food (folate, fiber, phytochemicals, etc.) have a synergistic effect on risk reduction. (</w:t>
      </w:r>
      <w:proofErr w:type="spellStart"/>
      <w:r w:rsidRPr="004F2B88">
        <w:rPr>
          <w:rFonts w:ascii="Times" w:hAnsi="Times" w:cs="Arial"/>
        </w:rPr>
        <w:t>Freudenheim</w:t>
      </w:r>
      <w:proofErr w:type="spellEnd"/>
      <w:r w:rsidRPr="004F2B88">
        <w:rPr>
          <w:rFonts w:ascii="Times" w:hAnsi="Times" w:cs="Arial"/>
        </w:rPr>
        <w:t xml:space="preserve"> et al., 1996) More recently, cruciferous vegetable intake, a class of vegetables that are high in folate, has been associated with a</w:t>
      </w:r>
      <w:r w:rsidRPr="00D33D30">
        <w:rPr>
          <w:rFonts w:ascii="Times" w:hAnsi="Times" w:cs="Arial"/>
        </w:rPr>
        <w:t xml:space="preserve"> </w:t>
      </w:r>
      <w:r w:rsidRPr="004F2B88">
        <w:rPr>
          <w:rFonts w:ascii="Times" w:hAnsi="Times" w:cs="Arial"/>
        </w:rPr>
        <w:t>decreased risk of premenopausal BC in a Japanese cohort. [multivariable RR for intake, highe</w:t>
      </w:r>
      <w:r w:rsidR="00AC6B0F">
        <w:rPr>
          <w:rFonts w:ascii="Times" w:hAnsi="Times" w:cs="Arial"/>
        </w:rPr>
        <w:t xml:space="preserve">st vs. lowest = 0.64 (95 % CI, </w:t>
      </w:r>
      <w:r w:rsidRPr="004F2B88">
        <w:rPr>
          <w:rFonts w:ascii="Times" w:hAnsi="Times" w:cs="Arial"/>
        </w:rPr>
        <w:t xml:space="preserve">0.38-1.10; p </w:t>
      </w:r>
      <w:r w:rsidR="00B5154C">
        <w:rPr>
          <w:rFonts w:ascii="Times" w:hAnsi="Times" w:cs="Arial"/>
        </w:rPr>
        <w:t xml:space="preserve">for </w:t>
      </w:r>
      <w:r w:rsidRPr="004F2B88">
        <w:rPr>
          <w:rFonts w:ascii="Times" w:hAnsi="Times" w:cs="Arial"/>
        </w:rPr>
        <w:t xml:space="preserve">trend = .046)]. (Suzuki et al., 2013) Furthermore, some evidence suggests that an adolescent diet low in green leafy and cruciferous vegetables may influence premenopausal BC incidence. (Harris, Willett, Vaidya, &amp; </w:t>
      </w:r>
      <w:proofErr w:type="spellStart"/>
      <w:r w:rsidRPr="004F2B88">
        <w:rPr>
          <w:rFonts w:ascii="Times" w:hAnsi="Times" w:cs="Arial"/>
        </w:rPr>
        <w:t>Michels</w:t>
      </w:r>
      <w:proofErr w:type="spellEnd"/>
      <w:r w:rsidRPr="004F2B88">
        <w:rPr>
          <w:rFonts w:ascii="Times" w:hAnsi="Times" w:cs="Arial"/>
        </w:rPr>
        <w:t>, 2017)</w:t>
      </w:r>
      <w:r w:rsidRPr="00D33D30">
        <w:rPr>
          <w:rFonts w:ascii="Times" w:hAnsi="Times" w:cs="Arial"/>
        </w:rPr>
        <w:t xml:space="preserve"> </w:t>
      </w:r>
    </w:p>
    <w:p w14:paraId="6B63F0DA" w14:textId="77777777" w:rsidR="007A318B" w:rsidRDefault="00D33D30" w:rsidP="00D33D30">
      <w:pPr>
        <w:spacing w:line="480" w:lineRule="auto"/>
        <w:ind w:firstLine="720"/>
        <w:jc w:val="both"/>
        <w:rPr>
          <w:rFonts w:ascii="Times" w:hAnsi="Times" w:cs="Arial"/>
        </w:rPr>
      </w:pPr>
      <w:r w:rsidRPr="004F2B88">
        <w:rPr>
          <w:rFonts w:ascii="Times" w:hAnsi="Times" w:cs="Arial"/>
        </w:rPr>
        <w:t xml:space="preserve">Several studies, including meta-analyses, have been conducted assessing the association between BC risk or BC-specific mortality and folate. Akin to the effect of certain food groups on premenopausal BC, epidemiological studies have shown mixed results as to folate’s explicit role in associated BC risk. </w:t>
      </w:r>
      <w:r>
        <w:rPr>
          <w:rFonts w:ascii="Times" w:hAnsi="Times" w:cs="Arial"/>
          <w:b/>
        </w:rPr>
        <w:t>(</w:t>
      </w:r>
      <w:r w:rsidR="00452A60">
        <w:rPr>
          <w:rFonts w:ascii="Times" w:hAnsi="Times" w:cs="Arial"/>
        </w:rPr>
        <w:t>See T</w:t>
      </w:r>
      <w:r>
        <w:rPr>
          <w:rFonts w:ascii="Times" w:hAnsi="Times" w:cs="Arial"/>
        </w:rPr>
        <w:t>able 2.)</w:t>
      </w:r>
      <w:r w:rsidRPr="004F2B88">
        <w:rPr>
          <w:rFonts w:ascii="Times" w:hAnsi="Times" w:cs="Arial"/>
        </w:rPr>
        <w:t xml:space="preserve"> </w:t>
      </w:r>
    </w:p>
    <w:p w14:paraId="064017BD" w14:textId="1ADD0BD3" w:rsidR="007A318B" w:rsidRDefault="00D33D30" w:rsidP="00075835">
      <w:pPr>
        <w:spacing w:line="480" w:lineRule="auto"/>
        <w:ind w:firstLine="720"/>
        <w:jc w:val="both"/>
        <w:rPr>
          <w:rFonts w:ascii="Times" w:hAnsi="Times" w:cs="Arial"/>
        </w:rPr>
      </w:pPr>
      <w:r w:rsidRPr="004F2B88">
        <w:rPr>
          <w:rFonts w:ascii="Times" w:hAnsi="Times" w:cs="Arial"/>
        </w:rPr>
        <w:t>Dietary folate (DF) status and total folate (TF, both dietary and from all sources) status, as measured through food frequency questionnaires (FFQs), are the most widely used exposure</w:t>
      </w:r>
      <w:r w:rsidR="007A318B">
        <w:rPr>
          <w:rFonts w:ascii="Times" w:hAnsi="Times" w:cs="Arial"/>
        </w:rPr>
        <w:t>s</w:t>
      </w:r>
      <w:r w:rsidR="00373420">
        <w:rPr>
          <w:rFonts w:ascii="Times" w:hAnsi="Times" w:cs="Arial"/>
        </w:rPr>
        <w:t>.</w:t>
      </w:r>
      <w:r w:rsidRPr="00D33D30">
        <w:rPr>
          <w:rFonts w:ascii="Times" w:hAnsi="Times" w:cs="Arial"/>
        </w:rPr>
        <w:t xml:space="preserve"> </w:t>
      </w:r>
      <w:r w:rsidRPr="004F2B88">
        <w:rPr>
          <w:rFonts w:ascii="Times" w:hAnsi="Times" w:cs="Arial"/>
        </w:rPr>
        <w:t xml:space="preserve">Dietary folate status, when compared by lowest and highest intake, has not been associated with a higher RR of BC for both metastatic and invasive carcinoma in most meta-analyses. (Rohan et al., 2000, Cho 2003, Kabat et al., 2008, Bassett et al., 2013) This finding has remained true for larger-scale prospective cohorts, such as in the Canadian National Breast Screening Study (CNBSS) and Melbourne Collaborative Cohort Study (MCCS). </w:t>
      </w:r>
    </w:p>
    <w:p w14:paraId="2D1B6117" w14:textId="0E68751E" w:rsidR="00075835" w:rsidRDefault="00075835" w:rsidP="00075835">
      <w:pPr>
        <w:spacing w:line="480" w:lineRule="auto"/>
        <w:ind w:firstLine="720"/>
        <w:jc w:val="both"/>
        <w:rPr>
          <w:rFonts w:ascii="Times" w:hAnsi="Times" w:cs="Arial"/>
        </w:rPr>
      </w:pPr>
    </w:p>
    <w:p w14:paraId="110069E2" w14:textId="77777777" w:rsidR="00B24691" w:rsidRDefault="00075835">
      <w:pPr>
        <w:suppressAutoHyphens w:val="0"/>
        <w:rPr>
          <w:rFonts w:ascii="Times" w:hAnsi="Times" w:cs="Arial"/>
        </w:rPr>
        <w:sectPr w:rsidR="00B24691" w:rsidSect="00624F74">
          <w:headerReference w:type="default" r:id="rId10"/>
          <w:footerReference w:type="default" r:id="rId11"/>
          <w:endnotePr>
            <w:numFmt w:val="decimal"/>
            <w:numRestart w:val="eachSect"/>
          </w:endnotePr>
          <w:pgSz w:w="12240" w:h="15840"/>
          <w:pgMar w:top="1440" w:right="1440" w:bottom="1440" w:left="2160" w:header="720" w:footer="720" w:gutter="0"/>
          <w:pgNumType w:start="1"/>
          <w:cols w:space="720"/>
          <w:docGrid w:linePitch="360"/>
        </w:sectPr>
      </w:pPr>
      <w:r>
        <w:rPr>
          <w:rFonts w:ascii="Times" w:hAnsi="Times" w:cs="Arial"/>
        </w:rPr>
        <w:br w:type="page"/>
      </w:r>
    </w:p>
    <w:p w14:paraId="0D58938F" w14:textId="319569BB" w:rsidR="00075835" w:rsidRPr="002A713B" w:rsidRDefault="002A713B" w:rsidP="009D27F4">
      <w:pPr>
        <w:pStyle w:val="Caption"/>
      </w:pPr>
      <w:r w:rsidRPr="002A713B">
        <w:lastRenderedPageBreak/>
        <w:t xml:space="preserve">Table 2. Prospective studies and results on the association between dietary or total folate intake and breast cancer risk by premenopausal status. </w:t>
      </w:r>
    </w:p>
    <w:tbl>
      <w:tblPr>
        <w:tblW w:w="5000" w:type="pct"/>
        <w:tblBorders>
          <w:top w:val="nil"/>
          <w:left w:val="nil"/>
          <w:right w:val="nil"/>
        </w:tblBorders>
        <w:tblCellMar>
          <w:top w:w="14" w:type="dxa"/>
          <w:left w:w="115" w:type="dxa"/>
          <w:bottom w:w="14" w:type="dxa"/>
          <w:right w:w="115" w:type="dxa"/>
        </w:tblCellMar>
        <w:tblLook w:val="0000" w:firstRow="0" w:lastRow="0" w:firstColumn="0" w:lastColumn="0" w:noHBand="0" w:noVBand="0"/>
      </w:tblPr>
      <w:tblGrid>
        <w:gridCol w:w="1240"/>
        <w:gridCol w:w="948"/>
        <w:gridCol w:w="862"/>
        <w:gridCol w:w="855"/>
        <w:gridCol w:w="951"/>
        <w:gridCol w:w="1142"/>
        <w:gridCol w:w="1715"/>
        <w:gridCol w:w="1717"/>
        <w:gridCol w:w="3520"/>
      </w:tblGrid>
      <w:tr w:rsidR="00A31EE1" w:rsidRPr="002A76C1" w14:paraId="2478D286" w14:textId="77777777" w:rsidTr="009D5007">
        <w:trPr>
          <w:trHeight w:val="490"/>
        </w:trPr>
        <w:tc>
          <w:tcPr>
            <w:tcW w:w="479" w:type="pct"/>
            <w:tcBorders>
              <w:top w:val="single" w:sz="4" w:space="0" w:color="000000"/>
              <w:left w:val="single" w:sz="4" w:space="0" w:color="000000"/>
              <w:bottom w:val="single" w:sz="8" w:space="0" w:color="000000"/>
            </w:tcBorders>
            <w:vAlign w:val="center"/>
          </w:tcPr>
          <w:p w14:paraId="391CAA66" w14:textId="77777777" w:rsidR="00A31EE1" w:rsidRPr="00B24691" w:rsidRDefault="00A31EE1" w:rsidP="009D5007">
            <w:pPr>
              <w:autoSpaceDE w:val="0"/>
              <w:autoSpaceDN w:val="0"/>
              <w:adjustRightInd w:val="0"/>
              <w:spacing w:line="260" w:lineRule="atLeast"/>
              <w:jc w:val="center"/>
              <w:rPr>
                <w:rFonts w:ascii="Arial" w:hAnsi="Arial" w:cs="Arial"/>
                <w:color w:val="000000"/>
                <w:sz w:val="21"/>
                <w:szCs w:val="20"/>
              </w:rPr>
            </w:pPr>
            <w:r w:rsidRPr="00B24691">
              <w:rPr>
                <w:rFonts w:ascii="Arial" w:hAnsi="Arial" w:cs="Arial"/>
                <w:color w:val="000000"/>
                <w:sz w:val="21"/>
                <w:szCs w:val="20"/>
              </w:rPr>
              <w:t>Authors</w:t>
            </w:r>
          </w:p>
        </w:tc>
        <w:tc>
          <w:tcPr>
            <w:tcW w:w="366" w:type="pct"/>
            <w:tcBorders>
              <w:top w:val="single" w:sz="4" w:space="0" w:color="000000"/>
              <w:bottom w:val="single" w:sz="8" w:space="0" w:color="000000"/>
            </w:tcBorders>
            <w:vAlign w:val="center"/>
          </w:tcPr>
          <w:p w14:paraId="79BBC83F" w14:textId="77777777" w:rsidR="00A31EE1" w:rsidRPr="00B24691" w:rsidRDefault="00A31EE1" w:rsidP="009D5007">
            <w:pPr>
              <w:autoSpaceDE w:val="0"/>
              <w:autoSpaceDN w:val="0"/>
              <w:adjustRightInd w:val="0"/>
              <w:spacing w:line="260" w:lineRule="atLeast"/>
              <w:jc w:val="center"/>
              <w:rPr>
                <w:rFonts w:ascii="Arial" w:hAnsi="Arial" w:cs="Arial"/>
                <w:color w:val="000000"/>
                <w:sz w:val="21"/>
                <w:szCs w:val="20"/>
              </w:rPr>
            </w:pPr>
            <w:r w:rsidRPr="00B24691">
              <w:rPr>
                <w:rFonts w:ascii="Arial" w:hAnsi="Arial" w:cs="Arial"/>
                <w:color w:val="000000"/>
                <w:sz w:val="21"/>
                <w:szCs w:val="20"/>
              </w:rPr>
              <w:t>Study Period</w:t>
            </w:r>
          </w:p>
        </w:tc>
        <w:tc>
          <w:tcPr>
            <w:tcW w:w="333" w:type="pct"/>
            <w:tcBorders>
              <w:top w:val="single" w:sz="4" w:space="0" w:color="000000"/>
              <w:bottom w:val="single" w:sz="8" w:space="0" w:color="000000"/>
            </w:tcBorders>
            <w:vAlign w:val="center"/>
          </w:tcPr>
          <w:p w14:paraId="33FE1352" w14:textId="0A2B926A" w:rsidR="00A31EE1" w:rsidRPr="00B24691" w:rsidRDefault="00A31EE1" w:rsidP="009D5007">
            <w:pPr>
              <w:autoSpaceDE w:val="0"/>
              <w:autoSpaceDN w:val="0"/>
              <w:adjustRightInd w:val="0"/>
              <w:spacing w:line="260" w:lineRule="atLeast"/>
              <w:jc w:val="center"/>
              <w:rPr>
                <w:rFonts w:ascii="Arial" w:hAnsi="Arial" w:cs="Arial"/>
                <w:color w:val="000000"/>
                <w:sz w:val="21"/>
                <w:szCs w:val="20"/>
              </w:rPr>
            </w:pPr>
            <w:r w:rsidRPr="00B24691">
              <w:rPr>
                <w:rFonts w:ascii="Arial" w:hAnsi="Arial" w:cs="Arial"/>
                <w:color w:val="000000"/>
                <w:sz w:val="21"/>
                <w:szCs w:val="20"/>
              </w:rPr>
              <w:t>N</w:t>
            </w:r>
          </w:p>
        </w:tc>
        <w:tc>
          <w:tcPr>
            <w:tcW w:w="330" w:type="pct"/>
            <w:tcBorders>
              <w:top w:val="single" w:sz="4" w:space="0" w:color="000000"/>
              <w:bottom w:val="single" w:sz="8" w:space="0" w:color="000000"/>
            </w:tcBorders>
            <w:vAlign w:val="center"/>
          </w:tcPr>
          <w:p w14:paraId="35380323" w14:textId="77777777" w:rsidR="00A31EE1" w:rsidRPr="00B24691" w:rsidRDefault="00A31EE1" w:rsidP="009D5007">
            <w:pPr>
              <w:autoSpaceDE w:val="0"/>
              <w:autoSpaceDN w:val="0"/>
              <w:adjustRightInd w:val="0"/>
              <w:spacing w:line="260" w:lineRule="atLeast"/>
              <w:jc w:val="center"/>
              <w:rPr>
                <w:rFonts w:ascii="Arial" w:hAnsi="Arial" w:cs="Arial"/>
                <w:color w:val="000000"/>
                <w:sz w:val="21"/>
                <w:szCs w:val="20"/>
              </w:rPr>
            </w:pPr>
            <w:r w:rsidRPr="00B24691">
              <w:rPr>
                <w:rFonts w:ascii="Arial" w:hAnsi="Arial" w:cs="Arial"/>
                <w:color w:val="000000"/>
                <w:sz w:val="21"/>
                <w:szCs w:val="20"/>
              </w:rPr>
              <w:t>BC</w:t>
            </w:r>
            <w:r w:rsidRPr="00B24691">
              <w:rPr>
                <w:rFonts w:ascii="TimesNewRomanPSMT" w:hAnsi="TimesNewRomanPSMT"/>
                <w:color w:val="000000"/>
                <w:sz w:val="21"/>
                <w:szCs w:val="22"/>
              </w:rPr>
              <w:t>†</w:t>
            </w:r>
          </w:p>
        </w:tc>
        <w:tc>
          <w:tcPr>
            <w:tcW w:w="367" w:type="pct"/>
            <w:tcBorders>
              <w:top w:val="single" w:sz="4" w:space="0" w:color="000000"/>
              <w:bottom w:val="single" w:sz="8" w:space="0" w:color="000000"/>
            </w:tcBorders>
            <w:vAlign w:val="center"/>
          </w:tcPr>
          <w:p w14:paraId="40DD2118" w14:textId="77777777" w:rsidR="00A31EE1" w:rsidRPr="00B24691" w:rsidRDefault="00A31EE1" w:rsidP="009D5007">
            <w:pPr>
              <w:jc w:val="center"/>
              <w:rPr>
                <w:rFonts w:ascii="TimesNewRomanPSMT" w:hAnsi="TimesNewRomanPSMT"/>
                <w:color w:val="000000"/>
                <w:sz w:val="21"/>
                <w:szCs w:val="22"/>
              </w:rPr>
            </w:pPr>
            <w:r w:rsidRPr="00B24691">
              <w:rPr>
                <w:rFonts w:ascii="Arial" w:hAnsi="Arial" w:cs="Arial"/>
                <w:color w:val="000000"/>
                <w:sz w:val="21"/>
                <w:szCs w:val="20"/>
              </w:rPr>
              <w:t>TF or DF</w:t>
            </w:r>
            <w:r w:rsidRPr="00B24691">
              <w:rPr>
                <w:rFonts w:ascii="TimesNewRomanPSMT" w:hAnsi="TimesNewRomanPSMT"/>
                <w:color w:val="000000"/>
                <w:sz w:val="21"/>
                <w:szCs w:val="22"/>
              </w:rPr>
              <w:t>‡</w:t>
            </w:r>
          </w:p>
        </w:tc>
        <w:tc>
          <w:tcPr>
            <w:tcW w:w="441" w:type="pct"/>
            <w:tcBorders>
              <w:top w:val="single" w:sz="4" w:space="0" w:color="000000"/>
              <w:bottom w:val="single" w:sz="8" w:space="0" w:color="000000"/>
            </w:tcBorders>
            <w:vAlign w:val="center"/>
          </w:tcPr>
          <w:p w14:paraId="7E4B6537" w14:textId="2929B978" w:rsidR="00A31EE1" w:rsidRPr="00B24691" w:rsidRDefault="00A31EE1" w:rsidP="009D5007">
            <w:pPr>
              <w:autoSpaceDE w:val="0"/>
              <w:autoSpaceDN w:val="0"/>
              <w:adjustRightInd w:val="0"/>
              <w:spacing w:line="260" w:lineRule="atLeast"/>
              <w:jc w:val="center"/>
              <w:rPr>
                <w:rFonts w:ascii="Arial" w:hAnsi="Arial" w:cs="Arial"/>
                <w:color w:val="000000"/>
                <w:sz w:val="21"/>
                <w:szCs w:val="20"/>
              </w:rPr>
            </w:pPr>
            <w:r w:rsidRPr="00B24691">
              <w:rPr>
                <w:rFonts w:ascii="Arial" w:hAnsi="Arial" w:cs="Arial"/>
                <w:color w:val="000000"/>
                <w:sz w:val="21"/>
                <w:szCs w:val="20"/>
              </w:rPr>
              <w:t>Age</w:t>
            </w:r>
          </w:p>
        </w:tc>
        <w:tc>
          <w:tcPr>
            <w:tcW w:w="662" w:type="pct"/>
            <w:tcBorders>
              <w:top w:val="single" w:sz="4" w:space="0" w:color="000000"/>
              <w:bottom w:val="single" w:sz="8" w:space="0" w:color="000000"/>
            </w:tcBorders>
            <w:vAlign w:val="center"/>
          </w:tcPr>
          <w:p w14:paraId="2D76E478" w14:textId="77777777" w:rsidR="00A31EE1" w:rsidRPr="00B24691" w:rsidRDefault="00A31EE1" w:rsidP="009D5007">
            <w:pPr>
              <w:autoSpaceDE w:val="0"/>
              <w:autoSpaceDN w:val="0"/>
              <w:adjustRightInd w:val="0"/>
              <w:spacing w:line="260" w:lineRule="atLeast"/>
              <w:jc w:val="center"/>
              <w:rPr>
                <w:rFonts w:ascii="Arial" w:hAnsi="Arial" w:cs="Arial"/>
                <w:color w:val="000000"/>
                <w:sz w:val="21"/>
                <w:szCs w:val="20"/>
              </w:rPr>
            </w:pPr>
            <w:r w:rsidRPr="00B24691">
              <w:rPr>
                <w:rFonts w:ascii="Arial" w:hAnsi="Arial" w:cs="Arial"/>
                <w:color w:val="000000"/>
                <w:sz w:val="21"/>
                <w:szCs w:val="20"/>
              </w:rPr>
              <w:t>Study Cohort</w:t>
            </w:r>
          </w:p>
        </w:tc>
        <w:tc>
          <w:tcPr>
            <w:tcW w:w="663" w:type="pct"/>
            <w:tcBorders>
              <w:top w:val="single" w:sz="4" w:space="0" w:color="000000"/>
              <w:bottom w:val="single" w:sz="8" w:space="0" w:color="000000"/>
            </w:tcBorders>
            <w:vAlign w:val="center"/>
          </w:tcPr>
          <w:p w14:paraId="4527A23D" w14:textId="77777777" w:rsidR="00A31EE1" w:rsidRPr="00B24691" w:rsidRDefault="00A31EE1" w:rsidP="009D5007">
            <w:pPr>
              <w:autoSpaceDE w:val="0"/>
              <w:autoSpaceDN w:val="0"/>
              <w:adjustRightInd w:val="0"/>
              <w:spacing w:line="260" w:lineRule="atLeast"/>
              <w:jc w:val="center"/>
              <w:rPr>
                <w:rFonts w:ascii="Arial" w:hAnsi="Arial" w:cs="Arial"/>
                <w:color w:val="000000"/>
                <w:sz w:val="21"/>
                <w:szCs w:val="20"/>
              </w:rPr>
            </w:pPr>
            <w:r w:rsidRPr="00B24691">
              <w:rPr>
                <w:rFonts w:ascii="Arial" w:hAnsi="Arial" w:cs="Arial"/>
                <w:color w:val="000000"/>
                <w:sz w:val="21"/>
                <w:szCs w:val="20"/>
              </w:rPr>
              <w:t>P</w:t>
            </w:r>
            <w:r w:rsidRPr="00B24691">
              <w:rPr>
                <w:rFonts w:ascii="Arial" w:hAnsi="Arial" w:cs="Arial"/>
                <w:i/>
                <w:color w:val="000000"/>
                <w:sz w:val="21"/>
                <w:szCs w:val="20"/>
              </w:rPr>
              <w:t xml:space="preserve"> </w:t>
            </w:r>
            <w:r w:rsidRPr="00B24691">
              <w:rPr>
                <w:rFonts w:ascii="Arial" w:hAnsi="Arial" w:cs="Arial"/>
                <w:color w:val="000000"/>
                <w:sz w:val="21"/>
                <w:szCs w:val="20"/>
              </w:rPr>
              <w:t>for trend</w:t>
            </w:r>
          </w:p>
        </w:tc>
        <w:tc>
          <w:tcPr>
            <w:tcW w:w="1359" w:type="pct"/>
            <w:tcBorders>
              <w:top w:val="single" w:sz="4" w:space="0" w:color="000000"/>
              <w:bottom w:val="single" w:sz="8" w:space="0" w:color="000000"/>
              <w:right w:val="single" w:sz="4" w:space="0" w:color="000000"/>
            </w:tcBorders>
            <w:vAlign w:val="center"/>
          </w:tcPr>
          <w:p w14:paraId="1C87E56A" w14:textId="77777777" w:rsidR="00A31EE1" w:rsidRPr="00B24691" w:rsidRDefault="00A31EE1" w:rsidP="009D5007">
            <w:pPr>
              <w:autoSpaceDE w:val="0"/>
              <w:autoSpaceDN w:val="0"/>
              <w:adjustRightInd w:val="0"/>
              <w:spacing w:line="260" w:lineRule="atLeast"/>
              <w:jc w:val="center"/>
              <w:rPr>
                <w:rFonts w:ascii="Arial" w:hAnsi="Arial" w:cs="Arial"/>
                <w:color w:val="000000"/>
                <w:sz w:val="21"/>
                <w:szCs w:val="20"/>
              </w:rPr>
            </w:pPr>
            <w:r w:rsidRPr="00B24691">
              <w:rPr>
                <w:rFonts w:ascii="Arial" w:hAnsi="Arial" w:cs="Arial"/>
                <w:color w:val="000000"/>
                <w:sz w:val="21"/>
                <w:szCs w:val="20"/>
              </w:rPr>
              <w:t>Conclusions</w:t>
            </w:r>
          </w:p>
        </w:tc>
      </w:tr>
      <w:tr w:rsidR="00A31EE1" w:rsidRPr="002A76C1" w14:paraId="4C95DBC0" w14:textId="77777777" w:rsidTr="00A31EE1">
        <w:tblPrEx>
          <w:tblBorders>
            <w:top w:val="none" w:sz="0" w:space="0" w:color="auto"/>
          </w:tblBorders>
        </w:tblPrEx>
        <w:trPr>
          <w:trHeight w:val="490"/>
        </w:trPr>
        <w:tc>
          <w:tcPr>
            <w:tcW w:w="479" w:type="pct"/>
            <w:tcBorders>
              <w:left w:val="single" w:sz="4" w:space="0" w:color="000000"/>
            </w:tcBorders>
            <w:vAlign w:val="center"/>
          </w:tcPr>
          <w:p w14:paraId="4A312F4D" w14:textId="18F25F62" w:rsidR="00A31EE1" w:rsidRPr="002A76C1" w:rsidRDefault="00A31EE1" w:rsidP="00075835">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Zhang et al., 1999</w:t>
            </w:r>
          </w:p>
        </w:tc>
        <w:tc>
          <w:tcPr>
            <w:tcW w:w="366" w:type="pct"/>
            <w:vAlign w:val="center"/>
          </w:tcPr>
          <w:p w14:paraId="359A3DC0"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1980-1996</w:t>
            </w:r>
          </w:p>
        </w:tc>
        <w:tc>
          <w:tcPr>
            <w:tcW w:w="333" w:type="pct"/>
            <w:vAlign w:val="center"/>
          </w:tcPr>
          <w:p w14:paraId="793FB541"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88,818</w:t>
            </w:r>
          </w:p>
        </w:tc>
        <w:tc>
          <w:tcPr>
            <w:tcW w:w="330" w:type="pct"/>
            <w:vAlign w:val="center"/>
          </w:tcPr>
          <w:p w14:paraId="1C197BE5"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3483</w:t>
            </w:r>
          </w:p>
        </w:tc>
        <w:tc>
          <w:tcPr>
            <w:tcW w:w="367" w:type="pct"/>
            <w:vAlign w:val="center"/>
          </w:tcPr>
          <w:p w14:paraId="18B2CEA5"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TF</w:t>
            </w:r>
          </w:p>
        </w:tc>
        <w:tc>
          <w:tcPr>
            <w:tcW w:w="441" w:type="pct"/>
            <w:vAlign w:val="center"/>
          </w:tcPr>
          <w:p w14:paraId="1EAE4A3D"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30-55</w:t>
            </w:r>
          </w:p>
        </w:tc>
        <w:tc>
          <w:tcPr>
            <w:tcW w:w="662" w:type="pct"/>
            <w:vAlign w:val="center"/>
          </w:tcPr>
          <w:p w14:paraId="1F62C5C7" w14:textId="77777777" w:rsidR="00A31EE1" w:rsidRPr="002A76C1" w:rsidRDefault="00A31EE1" w:rsidP="003660F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Nurses' Health Study</w:t>
            </w:r>
          </w:p>
        </w:tc>
        <w:tc>
          <w:tcPr>
            <w:tcW w:w="663" w:type="pct"/>
            <w:vAlign w:val="center"/>
          </w:tcPr>
          <w:p w14:paraId="2B4A1EF0" w14:textId="77777777" w:rsidR="00A31EE1" w:rsidRPr="002A76C1" w:rsidRDefault="00A31EE1" w:rsidP="0007583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0.98</w:t>
            </w:r>
          </w:p>
        </w:tc>
        <w:tc>
          <w:tcPr>
            <w:tcW w:w="1359" w:type="pct"/>
            <w:tcBorders>
              <w:right w:val="single" w:sz="4" w:space="0" w:color="000000"/>
            </w:tcBorders>
            <w:vAlign w:val="bottom"/>
          </w:tcPr>
          <w:p w14:paraId="5591A724"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p w14:paraId="4FC5F4A2" w14:textId="3FBE6394" w:rsidR="00A31EE1" w:rsidRPr="002A76C1" w:rsidRDefault="00A31EE1" w:rsidP="00075835">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No association.</w:t>
            </w:r>
          </w:p>
          <w:p w14:paraId="7846BB8C"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tc>
      </w:tr>
      <w:tr w:rsidR="00A31EE1" w:rsidRPr="002A76C1" w14:paraId="475C40CA" w14:textId="77777777" w:rsidTr="00A31EE1">
        <w:tblPrEx>
          <w:tblBorders>
            <w:top w:val="none" w:sz="0" w:space="0" w:color="auto"/>
          </w:tblBorders>
        </w:tblPrEx>
        <w:trPr>
          <w:trHeight w:val="490"/>
        </w:trPr>
        <w:tc>
          <w:tcPr>
            <w:tcW w:w="479" w:type="pct"/>
            <w:tcBorders>
              <w:left w:val="single" w:sz="4" w:space="0" w:color="000000"/>
            </w:tcBorders>
            <w:vAlign w:val="center"/>
          </w:tcPr>
          <w:p w14:paraId="2C1C3230" w14:textId="62435AE4" w:rsidR="00A31EE1" w:rsidRPr="002A76C1" w:rsidRDefault="00A31EE1" w:rsidP="00075835">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Rohan et al., 2000</w:t>
            </w:r>
          </w:p>
        </w:tc>
        <w:tc>
          <w:tcPr>
            <w:tcW w:w="366" w:type="pct"/>
            <w:vAlign w:val="center"/>
          </w:tcPr>
          <w:p w14:paraId="29377730"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1980-1993</w:t>
            </w:r>
          </w:p>
        </w:tc>
        <w:tc>
          <w:tcPr>
            <w:tcW w:w="333" w:type="pct"/>
            <w:vAlign w:val="center"/>
          </w:tcPr>
          <w:p w14:paraId="4FE42648"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5,382</w:t>
            </w:r>
          </w:p>
        </w:tc>
        <w:tc>
          <w:tcPr>
            <w:tcW w:w="330" w:type="pct"/>
            <w:vAlign w:val="center"/>
          </w:tcPr>
          <w:p w14:paraId="7E9D7AAF"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1,336</w:t>
            </w:r>
          </w:p>
        </w:tc>
        <w:tc>
          <w:tcPr>
            <w:tcW w:w="367" w:type="pct"/>
            <w:vAlign w:val="center"/>
          </w:tcPr>
          <w:p w14:paraId="7A78864E"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DF</w:t>
            </w:r>
          </w:p>
        </w:tc>
        <w:tc>
          <w:tcPr>
            <w:tcW w:w="441" w:type="pct"/>
            <w:vAlign w:val="center"/>
          </w:tcPr>
          <w:p w14:paraId="7CC54C8D"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40-59</w:t>
            </w:r>
          </w:p>
        </w:tc>
        <w:tc>
          <w:tcPr>
            <w:tcW w:w="662" w:type="pct"/>
            <w:vAlign w:val="center"/>
          </w:tcPr>
          <w:p w14:paraId="3816C4EB" w14:textId="77777777" w:rsidR="00A31EE1" w:rsidRPr="002A76C1" w:rsidRDefault="00A31EE1" w:rsidP="003660F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Canadian National Breast Screening Study</w:t>
            </w:r>
          </w:p>
        </w:tc>
        <w:tc>
          <w:tcPr>
            <w:tcW w:w="663" w:type="pct"/>
            <w:vAlign w:val="center"/>
          </w:tcPr>
          <w:p w14:paraId="5C8D4369" w14:textId="77777777" w:rsidR="00A31EE1" w:rsidRPr="002A76C1" w:rsidRDefault="00A31EE1" w:rsidP="0007583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0.32</w:t>
            </w:r>
          </w:p>
        </w:tc>
        <w:tc>
          <w:tcPr>
            <w:tcW w:w="1359" w:type="pct"/>
            <w:tcBorders>
              <w:right w:val="single" w:sz="4" w:space="0" w:color="000000"/>
            </w:tcBorders>
            <w:vAlign w:val="bottom"/>
          </w:tcPr>
          <w:p w14:paraId="325FFD65"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p w14:paraId="2788D4E6" w14:textId="705561FD" w:rsidR="00A31EE1" w:rsidRPr="002A76C1" w:rsidRDefault="00A31EE1" w:rsidP="00075835">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No association for DF.</w:t>
            </w:r>
            <w:r w:rsidRPr="002A76C1">
              <w:rPr>
                <w:rFonts w:ascii="Arial" w:hAnsi="Arial" w:cs="Arial"/>
                <w:color w:val="000000"/>
                <w:sz w:val="20"/>
                <w:szCs w:val="20"/>
              </w:rPr>
              <w:t xml:space="preserve"> Suggestion of increased risk at highest quintile of </w:t>
            </w:r>
            <w:r>
              <w:rPr>
                <w:rFonts w:ascii="Arial" w:hAnsi="Arial" w:cs="Arial"/>
                <w:color w:val="000000"/>
                <w:sz w:val="20"/>
                <w:szCs w:val="20"/>
              </w:rPr>
              <w:t>DF</w:t>
            </w:r>
            <w:r w:rsidRPr="002A76C1">
              <w:rPr>
                <w:rFonts w:ascii="Arial" w:hAnsi="Arial" w:cs="Arial"/>
                <w:color w:val="000000"/>
                <w:sz w:val="20"/>
                <w:szCs w:val="20"/>
              </w:rPr>
              <w:t xml:space="preserve"> in premenopausal women; 95% CI included unity.</w:t>
            </w:r>
          </w:p>
        </w:tc>
      </w:tr>
      <w:tr w:rsidR="00A31EE1" w:rsidRPr="002A76C1" w14:paraId="25903511" w14:textId="77777777" w:rsidTr="00A31EE1">
        <w:tblPrEx>
          <w:tblBorders>
            <w:top w:val="none" w:sz="0" w:space="0" w:color="auto"/>
          </w:tblBorders>
        </w:tblPrEx>
        <w:trPr>
          <w:trHeight w:val="490"/>
        </w:trPr>
        <w:tc>
          <w:tcPr>
            <w:tcW w:w="479" w:type="pct"/>
            <w:tcBorders>
              <w:left w:val="single" w:sz="4" w:space="0" w:color="000000"/>
            </w:tcBorders>
            <w:vAlign w:val="center"/>
          </w:tcPr>
          <w:p w14:paraId="392E58EE" w14:textId="2E79ED38"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Cho et al.</w:t>
            </w:r>
            <w:r>
              <w:rPr>
                <w:rFonts w:ascii="Arial" w:hAnsi="Arial" w:cs="Arial"/>
                <w:color w:val="000000"/>
                <w:sz w:val="20"/>
                <w:szCs w:val="20"/>
              </w:rPr>
              <w:t>, 2003</w:t>
            </w:r>
          </w:p>
        </w:tc>
        <w:tc>
          <w:tcPr>
            <w:tcW w:w="366" w:type="pct"/>
            <w:vAlign w:val="center"/>
          </w:tcPr>
          <w:p w14:paraId="70F6A6CF"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1991-1999</w:t>
            </w:r>
          </w:p>
        </w:tc>
        <w:tc>
          <w:tcPr>
            <w:tcW w:w="333" w:type="pct"/>
            <w:vAlign w:val="center"/>
          </w:tcPr>
          <w:p w14:paraId="416A4EAE"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90,655</w:t>
            </w:r>
          </w:p>
        </w:tc>
        <w:tc>
          <w:tcPr>
            <w:tcW w:w="330" w:type="pct"/>
            <w:vAlign w:val="center"/>
          </w:tcPr>
          <w:p w14:paraId="2659503D"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714</w:t>
            </w:r>
          </w:p>
        </w:tc>
        <w:tc>
          <w:tcPr>
            <w:tcW w:w="367" w:type="pct"/>
            <w:vAlign w:val="center"/>
          </w:tcPr>
          <w:p w14:paraId="4B6804A2"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both</w:t>
            </w:r>
          </w:p>
        </w:tc>
        <w:tc>
          <w:tcPr>
            <w:tcW w:w="441" w:type="pct"/>
            <w:vAlign w:val="center"/>
          </w:tcPr>
          <w:p w14:paraId="708697D6"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26-46</w:t>
            </w:r>
          </w:p>
        </w:tc>
        <w:tc>
          <w:tcPr>
            <w:tcW w:w="662" w:type="pct"/>
            <w:vAlign w:val="center"/>
          </w:tcPr>
          <w:p w14:paraId="767BD68A" w14:textId="77777777" w:rsidR="00A31EE1" w:rsidRPr="002A76C1" w:rsidRDefault="00A31EE1" w:rsidP="003660F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Nurses' Health Study 2</w:t>
            </w:r>
          </w:p>
        </w:tc>
        <w:tc>
          <w:tcPr>
            <w:tcW w:w="663" w:type="pct"/>
            <w:vAlign w:val="center"/>
          </w:tcPr>
          <w:p w14:paraId="07E25842" w14:textId="77777777" w:rsidR="00A31EE1" w:rsidRPr="002A76C1" w:rsidRDefault="00A31EE1" w:rsidP="0007583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TF 0.96</w:t>
            </w:r>
          </w:p>
          <w:p w14:paraId="116093A7" w14:textId="77777777" w:rsidR="00A31EE1" w:rsidRPr="002A76C1" w:rsidRDefault="00A31EE1" w:rsidP="0007583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DF 0.94</w:t>
            </w:r>
          </w:p>
        </w:tc>
        <w:tc>
          <w:tcPr>
            <w:tcW w:w="1359" w:type="pct"/>
            <w:tcBorders>
              <w:right w:val="single" w:sz="4" w:space="0" w:color="000000"/>
            </w:tcBorders>
            <w:vAlign w:val="bottom"/>
          </w:tcPr>
          <w:p w14:paraId="410D1F92"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p w14:paraId="2F80FCD5" w14:textId="10DD6064" w:rsidR="00A31EE1" w:rsidRPr="002A76C1" w:rsidRDefault="00A31EE1" w:rsidP="00075835">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No association.</w:t>
            </w:r>
          </w:p>
          <w:p w14:paraId="0270343A"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tc>
      </w:tr>
      <w:tr w:rsidR="00A31EE1" w:rsidRPr="002A76C1" w14:paraId="45A4D928" w14:textId="77777777" w:rsidTr="00A31EE1">
        <w:tblPrEx>
          <w:tblBorders>
            <w:top w:val="none" w:sz="0" w:space="0" w:color="auto"/>
          </w:tblBorders>
        </w:tblPrEx>
        <w:trPr>
          <w:trHeight w:val="490"/>
        </w:trPr>
        <w:tc>
          <w:tcPr>
            <w:tcW w:w="479" w:type="pct"/>
            <w:tcBorders>
              <w:left w:val="single" w:sz="4" w:space="0" w:color="000000"/>
            </w:tcBorders>
            <w:vAlign w:val="center"/>
          </w:tcPr>
          <w:p w14:paraId="28509629" w14:textId="1BFA1D4A" w:rsidR="00A31EE1" w:rsidRPr="002A76C1" w:rsidRDefault="00A31EE1" w:rsidP="00075835">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Zhang et al., 2005</w:t>
            </w:r>
          </w:p>
        </w:tc>
        <w:tc>
          <w:tcPr>
            <w:tcW w:w="366" w:type="pct"/>
            <w:vAlign w:val="center"/>
          </w:tcPr>
          <w:p w14:paraId="500109E9"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1980-2000</w:t>
            </w:r>
          </w:p>
        </w:tc>
        <w:tc>
          <w:tcPr>
            <w:tcW w:w="333" w:type="pct"/>
            <w:vAlign w:val="center"/>
          </w:tcPr>
          <w:p w14:paraId="52E61D7D"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88,744</w:t>
            </w:r>
          </w:p>
        </w:tc>
        <w:tc>
          <w:tcPr>
            <w:tcW w:w="330" w:type="pct"/>
            <w:vAlign w:val="center"/>
          </w:tcPr>
          <w:p w14:paraId="61062930"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4,422</w:t>
            </w:r>
          </w:p>
        </w:tc>
        <w:tc>
          <w:tcPr>
            <w:tcW w:w="367" w:type="pct"/>
            <w:vAlign w:val="center"/>
          </w:tcPr>
          <w:p w14:paraId="4466FC0A"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both</w:t>
            </w:r>
          </w:p>
        </w:tc>
        <w:tc>
          <w:tcPr>
            <w:tcW w:w="441" w:type="pct"/>
            <w:vAlign w:val="center"/>
          </w:tcPr>
          <w:p w14:paraId="3DDFF129"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30-55</w:t>
            </w:r>
          </w:p>
        </w:tc>
        <w:tc>
          <w:tcPr>
            <w:tcW w:w="662" w:type="pct"/>
            <w:vAlign w:val="center"/>
          </w:tcPr>
          <w:p w14:paraId="53339074" w14:textId="77777777" w:rsidR="00A31EE1" w:rsidRPr="002A76C1" w:rsidRDefault="00A31EE1" w:rsidP="003660F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Nurses' Health Study</w:t>
            </w:r>
          </w:p>
        </w:tc>
        <w:tc>
          <w:tcPr>
            <w:tcW w:w="663" w:type="pct"/>
            <w:vAlign w:val="center"/>
          </w:tcPr>
          <w:p w14:paraId="7C3994D1" w14:textId="77777777" w:rsidR="00A31EE1" w:rsidRPr="002A76C1" w:rsidRDefault="00A31EE1" w:rsidP="0007583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0.03</w:t>
            </w:r>
          </w:p>
        </w:tc>
        <w:tc>
          <w:tcPr>
            <w:tcW w:w="1359" w:type="pct"/>
            <w:tcBorders>
              <w:right w:val="single" w:sz="4" w:space="0" w:color="000000"/>
            </w:tcBorders>
            <w:vAlign w:val="bottom"/>
          </w:tcPr>
          <w:p w14:paraId="480F1E98"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p w14:paraId="0715930D" w14:textId="0FE1383E"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 xml:space="preserve">Higher </w:t>
            </w:r>
            <w:r>
              <w:rPr>
                <w:rFonts w:ascii="Arial" w:hAnsi="Arial" w:cs="Arial"/>
                <w:color w:val="000000"/>
                <w:sz w:val="20"/>
                <w:szCs w:val="20"/>
              </w:rPr>
              <w:t>TF</w:t>
            </w:r>
            <w:r w:rsidRPr="002A76C1">
              <w:rPr>
                <w:rFonts w:ascii="Arial" w:hAnsi="Arial" w:cs="Arial"/>
                <w:color w:val="000000"/>
                <w:sz w:val="20"/>
                <w:szCs w:val="20"/>
              </w:rPr>
              <w:t xml:space="preserve"> intake associated with </w:t>
            </w:r>
            <w:r>
              <w:rPr>
                <w:rFonts w:ascii="Arial" w:hAnsi="Arial" w:cs="Arial"/>
                <w:color w:val="000000"/>
                <w:sz w:val="20"/>
                <w:szCs w:val="20"/>
              </w:rPr>
              <w:t xml:space="preserve">reduced </w:t>
            </w:r>
            <w:r w:rsidRPr="002A76C1">
              <w:rPr>
                <w:rFonts w:ascii="Arial" w:hAnsi="Arial" w:cs="Arial"/>
                <w:color w:val="000000"/>
                <w:sz w:val="20"/>
                <w:szCs w:val="20"/>
              </w:rPr>
              <w:t xml:space="preserve">RR of ER- but not ER+. ER+ associated with increased risk. </w:t>
            </w:r>
          </w:p>
          <w:p w14:paraId="61B7076D"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tc>
      </w:tr>
      <w:tr w:rsidR="00A31EE1" w:rsidRPr="002A76C1" w14:paraId="5F140B0B" w14:textId="77777777" w:rsidTr="00A31EE1">
        <w:tblPrEx>
          <w:tblBorders>
            <w:top w:val="none" w:sz="0" w:space="0" w:color="auto"/>
          </w:tblBorders>
        </w:tblPrEx>
        <w:trPr>
          <w:trHeight w:val="490"/>
        </w:trPr>
        <w:tc>
          <w:tcPr>
            <w:tcW w:w="479" w:type="pct"/>
            <w:tcBorders>
              <w:left w:val="single" w:sz="4" w:space="0" w:color="000000"/>
            </w:tcBorders>
            <w:vAlign w:val="center"/>
          </w:tcPr>
          <w:p w14:paraId="602BB756" w14:textId="53DE8E11"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Cho et al.</w:t>
            </w:r>
            <w:r>
              <w:rPr>
                <w:rFonts w:ascii="Arial" w:hAnsi="Arial" w:cs="Arial"/>
                <w:color w:val="000000"/>
                <w:sz w:val="20"/>
                <w:szCs w:val="20"/>
              </w:rPr>
              <w:t>, 2007</w:t>
            </w:r>
          </w:p>
        </w:tc>
        <w:tc>
          <w:tcPr>
            <w:tcW w:w="366" w:type="pct"/>
            <w:vAlign w:val="center"/>
          </w:tcPr>
          <w:p w14:paraId="1694D2ED"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1991-2003</w:t>
            </w:r>
          </w:p>
        </w:tc>
        <w:tc>
          <w:tcPr>
            <w:tcW w:w="333" w:type="pct"/>
            <w:vAlign w:val="center"/>
          </w:tcPr>
          <w:p w14:paraId="666C816C"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90,663</w:t>
            </w:r>
          </w:p>
        </w:tc>
        <w:tc>
          <w:tcPr>
            <w:tcW w:w="330" w:type="pct"/>
            <w:vAlign w:val="center"/>
          </w:tcPr>
          <w:p w14:paraId="6BADF655"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1,032</w:t>
            </w:r>
          </w:p>
        </w:tc>
        <w:tc>
          <w:tcPr>
            <w:tcW w:w="367" w:type="pct"/>
            <w:vAlign w:val="center"/>
          </w:tcPr>
          <w:p w14:paraId="0BCFFC84"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both</w:t>
            </w:r>
          </w:p>
        </w:tc>
        <w:tc>
          <w:tcPr>
            <w:tcW w:w="441" w:type="pct"/>
            <w:vAlign w:val="center"/>
          </w:tcPr>
          <w:p w14:paraId="4516FB24"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36</w:t>
            </w:r>
          </w:p>
        </w:tc>
        <w:tc>
          <w:tcPr>
            <w:tcW w:w="662" w:type="pct"/>
            <w:vAlign w:val="center"/>
          </w:tcPr>
          <w:p w14:paraId="1DAD6DD8" w14:textId="5849024F" w:rsidR="00A31EE1" w:rsidRPr="002A76C1" w:rsidRDefault="00A31EE1" w:rsidP="003660F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 xml:space="preserve">14 States </w:t>
            </w:r>
            <w:r w:rsidR="003660F5">
              <w:rPr>
                <w:rFonts w:ascii="Arial" w:hAnsi="Arial" w:cs="Arial"/>
                <w:color w:val="000000"/>
                <w:sz w:val="20"/>
                <w:szCs w:val="20"/>
              </w:rPr>
              <w:t>(</w:t>
            </w:r>
            <w:r w:rsidRPr="002A76C1">
              <w:rPr>
                <w:rFonts w:ascii="Arial" w:hAnsi="Arial" w:cs="Arial"/>
                <w:color w:val="000000"/>
                <w:sz w:val="20"/>
                <w:szCs w:val="20"/>
              </w:rPr>
              <w:t>US</w:t>
            </w:r>
            <w:r w:rsidR="003660F5">
              <w:rPr>
                <w:rFonts w:ascii="Arial" w:hAnsi="Arial" w:cs="Arial"/>
                <w:color w:val="000000"/>
                <w:sz w:val="20"/>
                <w:szCs w:val="20"/>
              </w:rPr>
              <w:t>)</w:t>
            </w:r>
          </w:p>
        </w:tc>
        <w:tc>
          <w:tcPr>
            <w:tcW w:w="663" w:type="pct"/>
            <w:vAlign w:val="center"/>
          </w:tcPr>
          <w:p w14:paraId="215BC22D" w14:textId="77777777" w:rsidR="00A31EE1" w:rsidRPr="002A76C1" w:rsidRDefault="00A31EE1" w:rsidP="0007583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TF 0.31</w:t>
            </w:r>
          </w:p>
          <w:p w14:paraId="5834EF7E" w14:textId="77777777" w:rsidR="00A31EE1" w:rsidRPr="002A76C1" w:rsidRDefault="00A31EE1" w:rsidP="0007583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DF 0.77</w:t>
            </w:r>
          </w:p>
        </w:tc>
        <w:tc>
          <w:tcPr>
            <w:tcW w:w="1359" w:type="pct"/>
            <w:tcBorders>
              <w:right w:val="single" w:sz="4" w:space="0" w:color="000000"/>
            </w:tcBorders>
            <w:vAlign w:val="bottom"/>
          </w:tcPr>
          <w:p w14:paraId="01D4A8FE"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p w14:paraId="5663C12F" w14:textId="63F7B95B" w:rsidR="00A31EE1" w:rsidRPr="002A76C1" w:rsidRDefault="00A31EE1" w:rsidP="00075835">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 xml:space="preserve">No association (BC overall or </w:t>
            </w:r>
            <w:r w:rsidRPr="002A76C1">
              <w:rPr>
                <w:rFonts w:ascii="Arial" w:hAnsi="Arial" w:cs="Arial"/>
                <w:color w:val="000000"/>
                <w:sz w:val="20"/>
                <w:szCs w:val="20"/>
              </w:rPr>
              <w:t>ER- breast cancer</w:t>
            </w:r>
            <w:r>
              <w:rPr>
                <w:rFonts w:ascii="Arial" w:hAnsi="Arial" w:cs="Arial"/>
                <w:color w:val="000000"/>
                <w:sz w:val="20"/>
                <w:szCs w:val="20"/>
              </w:rPr>
              <w:t>)</w:t>
            </w:r>
            <w:r w:rsidRPr="002A76C1">
              <w:rPr>
                <w:rFonts w:ascii="Arial" w:hAnsi="Arial" w:cs="Arial"/>
                <w:color w:val="000000"/>
                <w:sz w:val="20"/>
                <w:szCs w:val="20"/>
              </w:rPr>
              <w:t xml:space="preserve">. </w:t>
            </w:r>
          </w:p>
          <w:p w14:paraId="4BF708A9"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tc>
      </w:tr>
      <w:tr w:rsidR="00A31EE1" w:rsidRPr="002A76C1" w14:paraId="7955D116" w14:textId="77777777" w:rsidTr="00A31EE1">
        <w:tblPrEx>
          <w:tblBorders>
            <w:top w:val="none" w:sz="0" w:space="0" w:color="auto"/>
          </w:tblBorders>
        </w:tblPrEx>
        <w:trPr>
          <w:trHeight w:val="490"/>
        </w:trPr>
        <w:tc>
          <w:tcPr>
            <w:tcW w:w="479" w:type="pct"/>
            <w:tcBorders>
              <w:left w:val="single" w:sz="4" w:space="0" w:color="000000"/>
            </w:tcBorders>
            <w:vAlign w:val="center"/>
          </w:tcPr>
          <w:p w14:paraId="1EF8820F" w14:textId="7FD5D89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Lars</w:t>
            </w:r>
            <w:r>
              <w:rPr>
                <w:rFonts w:ascii="Arial" w:hAnsi="Arial" w:cs="Arial"/>
                <w:color w:val="000000"/>
                <w:sz w:val="20"/>
                <w:szCs w:val="20"/>
              </w:rPr>
              <w:t>son et al., 2008</w:t>
            </w:r>
          </w:p>
        </w:tc>
        <w:tc>
          <w:tcPr>
            <w:tcW w:w="366" w:type="pct"/>
            <w:vAlign w:val="center"/>
          </w:tcPr>
          <w:p w14:paraId="7211EA31"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1990-2001</w:t>
            </w:r>
          </w:p>
        </w:tc>
        <w:tc>
          <w:tcPr>
            <w:tcW w:w="333" w:type="pct"/>
            <w:vAlign w:val="center"/>
          </w:tcPr>
          <w:p w14:paraId="34525E80"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61,433</w:t>
            </w:r>
          </w:p>
        </w:tc>
        <w:tc>
          <w:tcPr>
            <w:tcW w:w="330" w:type="pct"/>
            <w:vAlign w:val="center"/>
          </w:tcPr>
          <w:p w14:paraId="57002259"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2,952</w:t>
            </w:r>
          </w:p>
        </w:tc>
        <w:tc>
          <w:tcPr>
            <w:tcW w:w="367" w:type="pct"/>
            <w:vAlign w:val="center"/>
          </w:tcPr>
          <w:p w14:paraId="3B32A5F8"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TF</w:t>
            </w:r>
          </w:p>
        </w:tc>
        <w:tc>
          <w:tcPr>
            <w:tcW w:w="441" w:type="pct"/>
            <w:vAlign w:val="center"/>
          </w:tcPr>
          <w:p w14:paraId="2115FBAE"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53.3</w:t>
            </w:r>
          </w:p>
        </w:tc>
        <w:tc>
          <w:tcPr>
            <w:tcW w:w="662" w:type="pct"/>
            <w:vAlign w:val="center"/>
          </w:tcPr>
          <w:p w14:paraId="6364FADB" w14:textId="77777777" w:rsidR="00A31EE1" w:rsidRPr="002A76C1" w:rsidRDefault="00A31EE1" w:rsidP="003660F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Swedish Mammography Cohort</w:t>
            </w:r>
          </w:p>
        </w:tc>
        <w:tc>
          <w:tcPr>
            <w:tcW w:w="663" w:type="pct"/>
            <w:vAlign w:val="center"/>
          </w:tcPr>
          <w:p w14:paraId="33F889B0" w14:textId="77777777" w:rsidR="00A31EE1" w:rsidRPr="002A76C1" w:rsidRDefault="00A31EE1" w:rsidP="0007583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TF 0.84</w:t>
            </w:r>
          </w:p>
          <w:p w14:paraId="60C6EE84" w14:textId="77777777" w:rsidR="00A31EE1" w:rsidRPr="002A76C1" w:rsidRDefault="00A31EE1" w:rsidP="0007583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ER+/PR- 0.01</w:t>
            </w:r>
          </w:p>
        </w:tc>
        <w:tc>
          <w:tcPr>
            <w:tcW w:w="1359" w:type="pct"/>
            <w:tcBorders>
              <w:right w:val="single" w:sz="4" w:space="0" w:color="000000"/>
            </w:tcBorders>
            <w:vAlign w:val="bottom"/>
          </w:tcPr>
          <w:p w14:paraId="4AB92607"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p w14:paraId="3BF4BFD9" w14:textId="387C3F58"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 xml:space="preserve">No </w:t>
            </w:r>
            <w:r>
              <w:rPr>
                <w:rFonts w:ascii="Arial" w:hAnsi="Arial" w:cs="Arial"/>
                <w:color w:val="000000"/>
                <w:sz w:val="20"/>
                <w:szCs w:val="20"/>
              </w:rPr>
              <w:t xml:space="preserve">association for BC overall. Suggestion of inverse association </w:t>
            </w:r>
            <w:r w:rsidRPr="002A76C1">
              <w:rPr>
                <w:rFonts w:ascii="Arial" w:hAnsi="Arial" w:cs="Arial"/>
                <w:color w:val="000000"/>
                <w:sz w:val="20"/>
                <w:szCs w:val="20"/>
              </w:rPr>
              <w:t>with ER+/PR- tumors. </w:t>
            </w:r>
          </w:p>
          <w:p w14:paraId="3770B17D"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tc>
      </w:tr>
      <w:tr w:rsidR="00A31EE1" w:rsidRPr="002A76C1" w14:paraId="019F565A" w14:textId="77777777" w:rsidTr="00A31EE1">
        <w:tblPrEx>
          <w:tblBorders>
            <w:top w:val="none" w:sz="0" w:space="0" w:color="auto"/>
          </w:tblBorders>
        </w:tblPrEx>
        <w:trPr>
          <w:trHeight w:val="490"/>
        </w:trPr>
        <w:tc>
          <w:tcPr>
            <w:tcW w:w="479" w:type="pct"/>
            <w:tcBorders>
              <w:left w:val="single" w:sz="4" w:space="0" w:color="000000"/>
            </w:tcBorders>
            <w:vAlign w:val="center"/>
          </w:tcPr>
          <w:p w14:paraId="6C434089" w14:textId="308EAE82"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Kabat et al.</w:t>
            </w:r>
            <w:r>
              <w:rPr>
                <w:rFonts w:ascii="Arial" w:hAnsi="Arial" w:cs="Arial"/>
                <w:color w:val="000000"/>
                <w:sz w:val="20"/>
                <w:szCs w:val="20"/>
              </w:rPr>
              <w:t>, 2008</w:t>
            </w:r>
          </w:p>
        </w:tc>
        <w:tc>
          <w:tcPr>
            <w:tcW w:w="366" w:type="pct"/>
            <w:vAlign w:val="center"/>
          </w:tcPr>
          <w:p w14:paraId="551BC85C"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1980-2000</w:t>
            </w:r>
          </w:p>
        </w:tc>
        <w:tc>
          <w:tcPr>
            <w:tcW w:w="333" w:type="pct"/>
            <w:vAlign w:val="center"/>
          </w:tcPr>
          <w:p w14:paraId="25E26749"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49,654</w:t>
            </w:r>
          </w:p>
        </w:tc>
        <w:tc>
          <w:tcPr>
            <w:tcW w:w="330" w:type="pct"/>
            <w:vAlign w:val="center"/>
          </w:tcPr>
          <w:p w14:paraId="79A12AA4"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2,491</w:t>
            </w:r>
          </w:p>
        </w:tc>
        <w:tc>
          <w:tcPr>
            <w:tcW w:w="367" w:type="pct"/>
            <w:vAlign w:val="center"/>
          </w:tcPr>
          <w:p w14:paraId="36EDCE97"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DF</w:t>
            </w:r>
          </w:p>
        </w:tc>
        <w:tc>
          <w:tcPr>
            <w:tcW w:w="441" w:type="pct"/>
            <w:vAlign w:val="center"/>
          </w:tcPr>
          <w:p w14:paraId="5C1B37D1"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40-59</w:t>
            </w:r>
          </w:p>
        </w:tc>
        <w:tc>
          <w:tcPr>
            <w:tcW w:w="662" w:type="pct"/>
            <w:vAlign w:val="center"/>
          </w:tcPr>
          <w:p w14:paraId="1B393946" w14:textId="77777777" w:rsidR="00A31EE1" w:rsidRPr="002A76C1" w:rsidRDefault="00A31EE1" w:rsidP="003660F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Canadian National Breast Screening Study</w:t>
            </w:r>
          </w:p>
        </w:tc>
        <w:tc>
          <w:tcPr>
            <w:tcW w:w="663" w:type="pct"/>
            <w:vAlign w:val="center"/>
          </w:tcPr>
          <w:p w14:paraId="7D56FEEE" w14:textId="77777777" w:rsidR="00A31EE1" w:rsidRPr="002A76C1" w:rsidRDefault="00A31EE1" w:rsidP="0007583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0.79</w:t>
            </w:r>
          </w:p>
        </w:tc>
        <w:tc>
          <w:tcPr>
            <w:tcW w:w="1359" w:type="pct"/>
            <w:tcBorders>
              <w:right w:val="single" w:sz="4" w:space="0" w:color="000000"/>
            </w:tcBorders>
            <w:vAlign w:val="bottom"/>
          </w:tcPr>
          <w:p w14:paraId="0D7EDBC3"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p w14:paraId="56C17F83" w14:textId="06FEEA88" w:rsidR="00A31EE1" w:rsidRPr="002A76C1" w:rsidRDefault="00A31EE1" w:rsidP="00075835">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No association.</w:t>
            </w:r>
          </w:p>
          <w:p w14:paraId="58459CDB"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tc>
      </w:tr>
      <w:tr w:rsidR="00A31EE1" w:rsidRPr="002A76C1" w14:paraId="24B25363" w14:textId="77777777" w:rsidTr="00A31EE1">
        <w:tblPrEx>
          <w:tblBorders>
            <w:top w:val="none" w:sz="0" w:space="0" w:color="auto"/>
          </w:tblBorders>
        </w:tblPrEx>
        <w:trPr>
          <w:trHeight w:val="490"/>
        </w:trPr>
        <w:tc>
          <w:tcPr>
            <w:tcW w:w="479" w:type="pct"/>
            <w:tcBorders>
              <w:left w:val="single" w:sz="4" w:space="0" w:color="000000"/>
            </w:tcBorders>
            <w:vAlign w:val="center"/>
          </w:tcPr>
          <w:p w14:paraId="58C07789" w14:textId="711C82CB" w:rsidR="00A31EE1" w:rsidRPr="002A76C1" w:rsidRDefault="00A31EE1" w:rsidP="00075835">
            <w:pPr>
              <w:autoSpaceDE w:val="0"/>
              <w:autoSpaceDN w:val="0"/>
              <w:adjustRightInd w:val="0"/>
              <w:spacing w:line="260" w:lineRule="atLeast"/>
              <w:rPr>
                <w:rFonts w:ascii="Arial" w:hAnsi="Arial" w:cs="Arial"/>
                <w:color w:val="000000"/>
                <w:sz w:val="20"/>
                <w:szCs w:val="20"/>
              </w:rPr>
            </w:pPr>
            <w:proofErr w:type="spellStart"/>
            <w:r w:rsidRPr="002A76C1">
              <w:rPr>
                <w:rFonts w:ascii="Arial" w:hAnsi="Arial" w:cs="Arial"/>
                <w:color w:val="000000"/>
                <w:sz w:val="20"/>
                <w:szCs w:val="20"/>
              </w:rPr>
              <w:lastRenderedPageBreak/>
              <w:t>Shrubsole</w:t>
            </w:r>
            <w:proofErr w:type="spellEnd"/>
            <w:r w:rsidRPr="002A76C1">
              <w:rPr>
                <w:rFonts w:ascii="Arial" w:hAnsi="Arial" w:cs="Arial"/>
                <w:color w:val="000000"/>
                <w:sz w:val="20"/>
                <w:szCs w:val="20"/>
              </w:rPr>
              <w:t xml:space="preserve"> et al.</w:t>
            </w:r>
            <w:r>
              <w:rPr>
                <w:rFonts w:ascii="Arial" w:hAnsi="Arial" w:cs="Arial"/>
                <w:color w:val="000000"/>
                <w:sz w:val="20"/>
                <w:szCs w:val="20"/>
              </w:rPr>
              <w:t>, 2011</w:t>
            </w:r>
            <w:r w:rsidRPr="002A76C1">
              <w:rPr>
                <w:rFonts w:ascii="Arial" w:hAnsi="Arial" w:cs="Arial"/>
                <w:color w:val="000000"/>
                <w:sz w:val="20"/>
                <w:szCs w:val="20"/>
              </w:rPr>
              <w:t> </w:t>
            </w:r>
          </w:p>
        </w:tc>
        <w:tc>
          <w:tcPr>
            <w:tcW w:w="366" w:type="pct"/>
            <w:vAlign w:val="center"/>
          </w:tcPr>
          <w:p w14:paraId="7D774937"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1997-2008</w:t>
            </w:r>
          </w:p>
        </w:tc>
        <w:tc>
          <w:tcPr>
            <w:tcW w:w="333" w:type="pct"/>
            <w:vAlign w:val="center"/>
          </w:tcPr>
          <w:p w14:paraId="6440B804"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72,861</w:t>
            </w:r>
          </w:p>
        </w:tc>
        <w:tc>
          <w:tcPr>
            <w:tcW w:w="330" w:type="pct"/>
            <w:vAlign w:val="center"/>
          </w:tcPr>
          <w:p w14:paraId="21E0672B"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718</w:t>
            </w:r>
          </w:p>
        </w:tc>
        <w:tc>
          <w:tcPr>
            <w:tcW w:w="367" w:type="pct"/>
            <w:vAlign w:val="center"/>
          </w:tcPr>
          <w:p w14:paraId="38E29DCF"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DF</w:t>
            </w:r>
          </w:p>
        </w:tc>
        <w:tc>
          <w:tcPr>
            <w:tcW w:w="441" w:type="pct"/>
            <w:vAlign w:val="center"/>
          </w:tcPr>
          <w:p w14:paraId="68CCE916"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40-70 </w:t>
            </w:r>
          </w:p>
        </w:tc>
        <w:tc>
          <w:tcPr>
            <w:tcW w:w="662" w:type="pct"/>
            <w:vAlign w:val="center"/>
          </w:tcPr>
          <w:p w14:paraId="1816D77F" w14:textId="77777777" w:rsidR="00A31EE1" w:rsidRPr="002A76C1" w:rsidRDefault="00A31EE1" w:rsidP="003660F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Shanghai, China</w:t>
            </w:r>
          </w:p>
        </w:tc>
        <w:tc>
          <w:tcPr>
            <w:tcW w:w="663" w:type="pct"/>
            <w:vAlign w:val="center"/>
          </w:tcPr>
          <w:p w14:paraId="3F55E932" w14:textId="77777777" w:rsidR="00A31EE1" w:rsidRPr="002A76C1" w:rsidRDefault="00A31EE1" w:rsidP="00075835">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0.032</w:t>
            </w:r>
          </w:p>
        </w:tc>
        <w:tc>
          <w:tcPr>
            <w:tcW w:w="1359" w:type="pct"/>
            <w:tcBorders>
              <w:right w:val="single" w:sz="4" w:space="0" w:color="000000"/>
            </w:tcBorders>
            <w:vAlign w:val="bottom"/>
          </w:tcPr>
          <w:p w14:paraId="5DDFF6A2"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p w14:paraId="74058C06" w14:textId="0764FF2E" w:rsidR="00A31EE1" w:rsidRPr="002A76C1" w:rsidRDefault="00A31EE1" w:rsidP="00075835">
            <w:pPr>
              <w:autoSpaceDE w:val="0"/>
              <w:autoSpaceDN w:val="0"/>
              <w:adjustRightInd w:val="0"/>
              <w:spacing w:line="260" w:lineRule="atLeast"/>
              <w:rPr>
                <w:rFonts w:ascii="Arial" w:hAnsi="Arial" w:cs="Arial"/>
                <w:color w:val="000000"/>
                <w:sz w:val="20"/>
                <w:szCs w:val="20"/>
              </w:rPr>
            </w:pPr>
            <w:r w:rsidRPr="002A76C1">
              <w:rPr>
                <w:rFonts w:ascii="Arial" w:hAnsi="Arial" w:cs="Arial"/>
                <w:color w:val="000000"/>
                <w:sz w:val="20"/>
                <w:szCs w:val="20"/>
              </w:rPr>
              <w:t xml:space="preserve">Higher dietary folate intake associated with a 40% decreased </w:t>
            </w:r>
            <w:r>
              <w:rPr>
                <w:rFonts w:ascii="Arial" w:hAnsi="Arial" w:cs="Arial"/>
                <w:color w:val="000000"/>
                <w:sz w:val="20"/>
                <w:szCs w:val="20"/>
              </w:rPr>
              <w:t>BC risk for high vs. low intake</w:t>
            </w:r>
            <w:r w:rsidRPr="002A76C1">
              <w:rPr>
                <w:rFonts w:ascii="Arial" w:hAnsi="Arial" w:cs="Arial"/>
                <w:color w:val="000000"/>
                <w:sz w:val="20"/>
                <w:szCs w:val="20"/>
              </w:rPr>
              <w:t>.</w:t>
            </w:r>
          </w:p>
          <w:p w14:paraId="13D9C6F5" w14:textId="77777777" w:rsidR="00A31EE1" w:rsidRPr="002A76C1" w:rsidRDefault="00A31EE1" w:rsidP="00075835">
            <w:pPr>
              <w:autoSpaceDE w:val="0"/>
              <w:autoSpaceDN w:val="0"/>
              <w:adjustRightInd w:val="0"/>
              <w:spacing w:line="260" w:lineRule="atLeast"/>
              <w:rPr>
                <w:rFonts w:ascii="Arial" w:hAnsi="Arial" w:cs="Arial"/>
                <w:color w:val="000000"/>
                <w:sz w:val="20"/>
                <w:szCs w:val="20"/>
              </w:rPr>
            </w:pPr>
          </w:p>
        </w:tc>
      </w:tr>
      <w:tr w:rsidR="00A31EE1" w:rsidRPr="002A76C1" w14:paraId="18EC3695" w14:textId="77777777" w:rsidTr="00D127B7">
        <w:trPr>
          <w:trHeight w:val="490"/>
        </w:trPr>
        <w:tc>
          <w:tcPr>
            <w:tcW w:w="479" w:type="pct"/>
            <w:tcBorders>
              <w:left w:val="single" w:sz="4" w:space="0" w:color="000000"/>
              <w:bottom w:val="single" w:sz="4" w:space="0" w:color="000000"/>
            </w:tcBorders>
            <w:vAlign w:val="center"/>
          </w:tcPr>
          <w:p w14:paraId="6835C126" w14:textId="12C0223B" w:rsidR="00A31EE1" w:rsidRPr="002A76C1" w:rsidRDefault="00A31EE1" w:rsidP="00D127B7">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Bassett et al.</w:t>
            </w:r>
            <w:r>
              <w:rPr>
                <w:rFonts w:ascii="Arial" w:hAnsi="Arial" w:cs="Arial"/>
                <w:color w:val="000000"/>
                <w:sz w:val="20"/>
                <w:szCs w:val="20"/>
              </w:rPr>
              <w:t>, 2013</w:t>
            </w:r>
          </w:p>
        </w:tc>
        <w:tc>
          <w:tcPr>
            <w:tcW w:w="366" w:type="pct"/>
            <w:tcBorders>
              <w:bottom w:val="single" w:sz="4" w:space="0" w:color="000000"/>
            </w:tcBorders>
            <w:vAlign w:val="center"/>
          </w:tcPr>
          <w:p w14:paraId="33E4C037" w14:textId="77777777" w:rsidR="00A31EE1" w:rsidRPr="002A76C1" w:rsidRDefault="00A31EE1" w:rsidP="00D127B7">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2010</w:t>
            </w:r>
          </w:p>
        </w:tc>
        <w:tc>
          <w:tcPr>
            <w:tcW w:w="333" w:type="pct"/>
            <w:tcBorders>
              <w:bottom w:val="single" w:sz="4" w:space="0" w:color="000000"/>
            </w:tcBorders>
            <w:vAlign w:val="center"/>
          </w:tcPr>
          <w:p w14:paraId="69AED306" w14:textId="77777777" w:rsidR="00A31EE1" w:rsidRPr="002A76C1" w:rsidRDefault="00A31EE1" w:rsidP="00D127B7">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20,756</w:t>
            </w:r>
          </w:p>
        </w:tc>
        <w:tc>
          <w:tcPr>
            <w:tcW w:w="330" w:type="pct"/>
            <w:tcBorders>
              <w:bottom w:val="single" w:sz="4" w:space="0" w:color="000000"/>
            </w:tcBorders>
            <w:vAlign w:val="center"/>
          </w:tcPr>
          <w:p w14:paraId="72E26D3C" w14:textId="77777777" w:rsidR="00A31EE1" w:rsidRPr="002A76C1" w:rsidRDefault="00A31EE1" w:rsidP="00D127B7">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936</w:t>
            </w:r>
          </w:p>
        </w:tc>
        <w:tc>
          <w:tcPr>
            <w:tcW w:w="367" w:type="pct"/>
            <w:tcBorders>
              <w:bottom w:val="single" w:sz="4" w:space="0" w:color="000000"/>
            </w:tcBorders>
            <w:vAlign w:val="center"/>
          </w:tcPr>
          <w:p w14:paraId="738591C0" w14:textId="4D592DE1" w:rsidR="00A31EE1" w:rsidRPr="002A76C1" w:rsidRDefault="00A31EE1" w:rsidP="00D127B7">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DF</w:t>
            </w:r>
          </w:p>
        </w:tc>
        <w:tc>
          <w:tcPr>
            <w:tcW w:w="441" w:type="pct"/>
            <w:tcBorders>
              <w:bottom w:val="single" w:sz="4" w:space="0" w:color="000000"/>
            </w:tcBorders>
            <w:vAlign w:val="center"/>
          </w:tcPr>
          <w:p w14:paraId="663575CC" w14:textId="77777777" w:rsidR="00A31EE1" w:rsidRPr="002A76C1" w:rsidRDefault="00A31EE1" w:rsidP="00D127B7">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41-86</w:t>
            </w:r>
          </w:p>
        </w:tc>
        <w:tc>
          <w:tcPr>
            <w:tcW w:w="662" w:type="pct"/>
            <w:tcBorders>
              <w:bottom w:val="single" w:sz="4" w:space="0" w:color="000000"/>
            </w:tcBorders>
            <w:vAlign w:val="center"/>
          </w:tcPr>
          <w:p w14:paraId="2BF50779" w14:textId="03EA728F" w:rsidR="00A31EE1" w:rsidRPr="002A76C1" w:rsidRDefault="00A31EE1" w:rsidP="00D127B7">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Melbourne Collaborative Cohort Study</w:t>
            </w:r>
          </w:p>
        </w:tc>
        <w:tc>
          <w:tcPr>
            <w:tcW w:w="663" w:type="pct"/>
            <w:tcBorders>
              <w:bottom w:val="single" w:sz="4" w:space="0" w:color="000000"/>
            </w:tcBorders>
            <w:vAlign w:val="center"/>
          </w:tcPr>
          <w:p w14:paraId="722C8A2A" w14:textId="77777777" w:rsidR="00A31EE1" w:rsidRPr="002A76C1" w:rsidRDefault="00A31EE1" w:rsidP="00D127B7">
            <w:pPr>
              <w:autoSpaceDE w:val="0"/>
              <w:autoSpaceDN w:val="0"/>
              <w:adjustRightInd w:val="0"/>
              <w:spacing w:line="260" w:lineRule="atLeast"/>
              <w:jc w:val="center"/>
              <w:rPr>
                <w:rFonts w:ascii="Arial" w:hAnsi="Arial" w:cs="Arial"/>
                <w:color w:val="000000"/>
                <w:sz w:val="20"/>
                <w:szCs w:val="20"/>
              </w:rPr>
            </w:pPr>
            <w:r w:rsidRPr="002A76C1">
              <w:rPr>
                <w:rFonts w:ascii="Arial" w:hAnsi="Arial" w:cs="Arial"/>
                <w:color w:val="000000"/>
                <w:sz w:val="20"/>
                <w:szCs w:val="20"/>
              </w:rPr>
              <w:t>&gt;0.07</w:t>
            </w:r>
          </w:p>
        </w:tc>
        <w:tc>
          <w:tcPr>
            <w:tcW w:w="1359" w:type="pct"/>
            <w:tcBorders>
              <w:bottom w:val="single" w:sz="4" w:space="0" w:color="000000"/>
              <w:right w:val="single" w:sz="4" w:space="0" w:color="000000"/>
            </w:tcBorders>
            <w:vAlign w:val="center"/>
          </w:tcPr>
          <w:p w14:paraId="31BD6BF6" w14:textId="77777777" w:rsidR="00A31EE1" w:rsidRPr="002A76C1" w:rsidRDefault="00A31EE1" w:rsidP="00D127B7">
            <w:pPr>
              <w:autoSpaceDE w:val="0"/>
              <w:autoSpaceDN w:val="0"/>
              <w:adjustRightInd w:val="0"/>
              <w:spacing w:line="260" w:lineRule="atLeast"/>
              <w:jc w:val="center"/>
              <w:rPr>
                <w:rFonts w:ascii="Arial" w:hAnsi="Arial" w:cs="Arial"/>
                <w:color w:val="000000"/>
                <w:sz w:val="20"/>
                <w:szCs w:val="20"/>
              </w:rPr>
            </w:pPr>
          </w:p>
          <w:p w14:paraId="18D0F9EA" w14:textId="1D879E7F" w:rsidR="00A31EE1" w:rsidRDefault="00A31EE1" w:rsidP="00D127B7">
            <w:pPr>
              <w:autoSpaceDE w:val="0"/>
              <w:autoSpaceDN w:val="0"/>
              <w:adjustRightInd w:val="0"/>
              <w:spacing w:line="260" w:lineRule="atLeast"/>
              <w:rPr>
                <w:rFonts w:ascii="Arial" w:hAnsi="Arial" w:cs="Arial"/>
                <w:color w:val="000000"/>
                <w:sz w:val="20"/>
                <w:szCs w:val="20"/>
              </w:rPr>
            </w:pPr>
            <w:r>
              <w:rPr>
                <w:rFonts w:ascii="Arial" w:hAnsi="Arial" w:cs="Arial"/>
                <w:color w:val="000000"/>
                <w:sz w:val="20"/>
                <w:szCs w:val="20"/>
              </w:rPr>
              <w:t>No association</w:t>
            </w:r>
            <w:r w:rsidR="009D27F4">
              <w:rPr>
                <w:rFonts w:ascii="Arial" w:hAnsi="Arial" w:cs="Arial"/>
                <w:color w:val="000000"/>
                <w:sz w:val="20"/>
                <w:szCs w:val="20"/>
              </w:rPr>
              <w:t>.</w:t>
            </w:r>
          </w:p>
          <w:p w14:paraId="4AE39C33" w14:textId="7C530AC4" w:rsidR="009D27F4" w:rsidRPr="002A76C1" w:rsidRDefault="009D27F4" w:rsidP="00D127B7">
            <w:pPr>
              <w:autoSpaceDE w:val="0"/>
              <w:autoSpaceDN w:val="0"/>
              <w:adjustRightInd w:val="0"/>
              <w:spacing w:line="260" w:lineRule="atLeast"/>
              <w:jc w:val="center"/>
              <w:rPr>
                <w:rFonts w:ascii="Arial" w:hAnsi="Arial" w:cs="Arial"/>
                <w:color w:val="000000"/>
                <w:sz w:val="20"/>
                <w:szCs w:val="20"/>
              </w:rPr>
            </w:pPr>
          </w:p>
        </w:tc>
      </w:tr>
    </w:tbl>
    <w:p w14:paraId="153BFB19" w14:textId="5ADE7039" w:rsidR="00075835" w:rsidRPr="00A815F7" w:rsidRDefault="00B24691" w:rsidP="00A815F7">
      <w:pPr>
        <w:rPr>
          <w:rFonts w:ascii="Times" w:hAnsi="Times"/>
          <w:color w:val="000000"/>
          <w:sz w:val="20"/>
          <w:szCs w:val="20"/>
        </w:rPr>
      </w:pPr>
      <w:r w:rsidRPr="00A815F7">
        <w:rPr>
          <w:rFonts w:ascii="Times" w:hAnsi="Times"/>
          <w:color w:val="000000"/>
          <w:sz w:val="20"/>
          <w:szCs w:val="20"/>
        </w:rPr>
        <w:t>† Breast cancer cases</w:t>
      </w:r>
      <w:r w:rsidR="00A815F7" w:rsidRPr="00A815F7">
        <w:rPr>
          <w:rFonts w:ascii="Times" w:hAnsi="Times"/>
          <w:color w:val="000000"/>
          <w:sz w:val="20"/>
          <w:szCs w:val="20"/>
        </w:rPr>
        <w:t xml:space="preserve">; </w:t>
      </w:r>
      <w:r w:rsidRPr="00A815F7">
        <w:rPr>
          <w:rFonts w:ascii="Times" w:hAnsi="Times"/>
          <w:color w:val="000000"/>
          <w:sz w:val="20"/>
          <w:szCs w:val="20"/>
        </w:rPr>
        <w:t>‡ total folate or dietary folate</w:t>
      </w:r>
      <w:r w:rsidR="00A815F7" w:rsidRPr="00A815F7">
        <w:rPr>
          <w:rFonts w:ascii="Times" w:hAnsi="Times"/>
          <w:color w:val="000000"/>
          <w:sz w:val="20"/>
          <w:szCs w:val="20"/>
        </w:rPr>
        <w:t xml:space="preserve">; </w:t>
      </w:r>
      <w:proofErr w:type="gramStart"/>
      <w:r w:rsidR="00A815F7" w:rsidRPr="00A815F7">
        <w:rPr>
          <w:rFonts w:ascii="Times" w:hAnsi="Times"/>
          <w:color w:val="000000"/>
          <w:sz w:val="20"/>
          <w:szCs w:val="20"/>
        </w:rPr>
        <w:t xml:space="preserve">N,  </w:t>
      </w:r>
      <w:r w:rsidRPr="00A815F7">
        <w:rPr>
          <w:rFonts w:ascii="Times" w:hAnsi="Times"/>
          <w:color w:val="000000"/>
          <w:sz w:val="20"/>
          <w:szCs w:val="20"/>
        </w:rPr>
        <w:t>number</w:t>
      </w:r>
      <w:proofErr w:type="gramEnd"/>
      <w:r w:rsidRPr="00A815F7">
        <w:rPr>
          <w:rFonts w:ascii="Times" w:hAnsi="Times"/>
          <w:color w:val="000000"/>
          <w:sz w:val="20"/>
          <w:szCs w:val="20"/>
        </w:rPr>
        <w:t xml:space="preserve"> of study participants</w:t>
      </w:r>
      <w:r w:rsidR="00A815F7" w:rsidRPr="00A815F7">
        <w:rPr>
          <w:rFonts w:ascii="Times" w:hAnsi="Times"/>
          <w:color w:val="000000"/>
          <w:sz w:val="20"/>
          <w:szCs w:val="20"/>
        </w:rPr>
        <w:t xml:space="preserve">; </w:t>
      </w:r>
      <w:r w:rsidRPr="00A815F7">
        <w:rPr>
          <w:rFonts w:ascii="Times" w:hAnsi="Times"/>
          <w:color w:val="000000"/>
          <w:sz w:val="20"/>
          <w:szCs w:val="20"/>
        </w:rPr>
        <w:t>BC</w:t>
      </w:r>
      <w:r w:rsidR="00A815F7" w:rsidRPr="00A815F7">
        <w:rPr>
          <w:rFonts w:ascii="Times" w:hAnsi="Times"/>
          <w:color w:val="000000"/>
          <w:sz w:val="20"/>
          <w:szCs w:val="20"/>
        </w:rPr>
        <w:t>,</w:t>
      </w:r>
      <w:r w:rsidRPr="00A815F7">
        <w:rPr>
          <w:rFonts w:ascii="Times" w:hAnsi="Times"/>
          <w:color w:val="000000"/>
          <w:sz w:val="20"/>
          <w:szCs w:val="20"/>
        </w:rPr>
        <w:t xml:space="preserve"> breast cancer</w:t>
      </w:r>
      <w:r w:rsidR="00A815F7" w:rsidRPr="00A815F7">
        <w:rPr>
          <w:rFonts w:ascii="Times" w:hAnsi="Times"/>
          <w:color w:val="000000"/>
          <w:sz w:val="20"/>
          <w:szCs w:val="20"/>
        </w:rPr>
        <w:t xml:space="preserve">; age, age at baseline; </w:t>
      </w:r>
      <w:r w:rsidRPr="00A815F7">
        <w:rPr>
          <w:rFonts w:ascii="Times" w:hAnsi="Times"/>
          <w:color w:val="000000"/>
          <w:sz w:val="20"/>
          <w:szCs w:val="20"/>
        </w:rPr>
        <w:t>RR</w:t>
      </w:r>
      <w:r w:rsidR="00A815F7" w:rsidRPr="00A815F7">
        <w:rPr>
          <w:rFonts w:ascii="Times" w:hAnsi="Times"/>
          <w:color w:val="000000"/>
          <w:sz w:val="20"/>
          <w:szCs w:val="20"/>
        </w:rPr>
        <w:t xml:space="preserve">, </w:t>
      </w:r>
      <w:r w:rsidRPr="00A815F7">
        <w:rPr>
          <w:rFonts w:ascii="Times" w:hAnsi="Times"/>
          <w:color w:val="000000"/>
          <w:sz w:val="20"/>
          <w:szCs w:val="20"/>
        </w:rPr>
        <w:t>relative risk</w:t>
      </w:r>
      <w:r w:rsidR="00A815F7" w:rsidRPr="00A815F7">
        <w:rPr>
          <w:rFonts w:ascii="Times" w:hAnsi="Times"/>
          <w:color w:val="000000"/>
          <w:sz w:val="20"/>
          <w:szCs w:val="20"/>
        </w:rPr>
        <w:t xml:space="preserve">; </w:t>
      </w:r>
      <w:r w:rsidRPr="00A815F7">
        <w:rPr>
          <w:rFonts w:ascii="Times" w:hAnsi="Times"/>
          <w:color w:val="000000"/>
          <w:sz w:val="20"/>
          <w:szCs w:val="20"/>
        </w:rPr>
        <w:t xml:space="preserve">95% CI </w:t>
      </w:r>
      <w:r w:rsidR="00A815F7" w:rsidRPr="00A815F7">
        <w:rPr>
          <w:rFonts w:ascii="Times" w:hAnsi="Times"/>
          <w:color w:val="000000"/>
          <w:sz w:val="20"/>
          <w:szCs w:val="20"/>
        </w:rPr>
        <w:t>,</w:t>
      </w:r>
      <w:r w:rsidRPr="00A815F7">
        <w:rPr>
          <w:rFonts w:ascii="Times" w:hAnsi="Times"/>
          <w:color w:val="000000"/>
          <w:sz w:val="20"/>
          <w:szCs w:val="20"/>
        </w:rPr>
        <w:t>95%</w:t>
      </w:r>
      <w:r w:rsidR="00A815F7" w:rsidRPr="00A815F7">
        <w:rPr>
          <w:rFonts w:ascii="Times" w:hAnsi="Times"/>
          <w:color w:val="000000"/>
          <w:sz w:val="20"/>
          <w:szCs w:val="20"/>
        </w:rPr>
        <w:t xml:space="preserve"> confidence interval; ER+, ER-, </w:t>
      </w:r>
      <w:r w:rsidRPr="00A815F7">
        <w:rPr>
          <w:rFonts w:ascii="Times" w:hAnsi="Times"/>
          <w:color w:val="000000"/>
          <w:sz w:val="20"/>
          <w:szCs w:val="20"/>
        </w:rPr>
        <w:t xml:space="preserve">Estrogen receptor positive, estrogen receptor negative; PR+, PR- Progesterone receptor positive, </w:t>
      </w:r>
      <w:r w:rsidR="00A815F7" w:rsidRPr="00A815F7">
        <w:rPr>
          <w:rFonts w:ascii="Times" w:hAnsi="Times"/>
          <w:color w:val="000000"/>
          <w:sz w:val="20"/>
          <w:szCs w:val="20"/>
        </w:rPr>
        <w:t>p</w:t>
      </w:r>
      <w:r w:rsidRPr="00A815F7">
        <w:rPr>
          <w:rFonts w:ascii="Times" w:hAnsi="Times"/>
          <w:color w:val="000000"/>
          <w:sz w:val="20"/>
          <w:szCs w:val="20"/>
        </w:rPr>
        <w:t>rogesterone receptor negative</w:t>
      </w:r>
      <w:r w:rsidR="00A815F7" w:rsidRPr="00A815F7">
        <w:rPr>
          <w:rFonts w:ascii="Times" w:hAnsi="Times"/>
          <w:color w:val="000000"/>
          <w:sz w:val="20"/>
          <w:szCs w:val="20"/>
        </w:rPr>
        <w:t>.</w:t>
      </w:r>
    </w:p>
    <w:p w14:paraId="1446AE94" w14:textId="77777777" w:rsidR="00B24691" w:rsidRPr="00A815F7" w:rsidRDefault="00B24691">
      <w:pPr>
        <w:suppressAutoHyphens w:val="0"/>
        <w:rPr>
          <w:rFonts w:ascii="Times" w:hAnsi="Times" w:cs="Arial"/>
        </w:rPr>
      </w:pPr>
    </w:p>
    <w:p w14:paraId="62B2FA34" w14:textId="41D7F109" w:rsidR="00A815F7" w:rsidRDefault="00A815F7">
      <w:pPr>
        <w:suppressAutoHyphens w:val="0"/>
        <w:rPr>
          <w:rFonts w:ascii="Times" w:hAnsi="Times" w:cs="Arial"/>
        </w:rPr>
        <w:sectPr w:rsidR="00A815F7" w:rsidSect="00B24691">
          <w:endnotePr>
            <w:numFmt w:val="decimal"/>
            <w:numRestart w:val="eachSect"/>
          </w:endnotePr>
          <w:pgSz w:w="15840" w:h="12240" w:orient="landscape"/>
          <w:pgMar w:top="1440" w:right="1440" w:bottom="2160" w:left="1440" w:header="720" w:footer="720" w:gutter="0"/>
          <w:cols w:space="720"/>
          <w:docGrid w:linePitch="360"/>
        </w:sectPr>
      </w:pPr>
    </w:p>
    <w:p w14:paraId="09B86CE6" w14:textId="769326B0" w:rsidR="00D33D30" w:rsidRPr="004F2B88" w:rsidRDefault="00D33D30" w:rsidP="00D33D30">
      <w:pPr>
        <w:spacing w:line="480" w:lineRule="auto"/>
        <w:ind w:firstLine="720"/>
        <w:jc w:val="both"/>
        <w:rPr>
          <w:rFonts w:ascii="Times" w:hAnsi="Times" w:cs="Arial"/>
        </w:rPr>
      </w:pPr>
      <w:r w:rsidRPr="004F2B88">
        <w:rPr>
          <w:rFonts w:ascii="Times" w:hAnsi="Times" w:cs="Arial"/>
        </w:rPr>
        <w:lastRenderedPageBreak/>
        <w:t>In contrast, a meta-analysis of five studies assessing folate intake before diagnosis of BC by Li et al. reported a significant inverse relationship between DF intake and all-cause mortality (highest vs. lowest; pooled HR fro</w:t>
      </w:r>
      <w:r w:rsidR="00AC6B0F">
        <w:rPr>
          <w:rFonts w:ascii="Times" w:hAnsi="Times" w:cs="Arial"/>
        </w:rPr>
        <w:t xml:space="preserve">m all five studies 0.74, 95% CI, </w:t>
      </w:r>
      <w:r w:rsidRPr="004F2B88">
        <w:rPr>
          <w:rFonts w:ascii="Times" w:hAnsi="Times" w:cs="Arial"/>
        </w:rPr>
        <w:t>0.60-0.92). (Li, Lu, Wang, &amp; Zhang, 2015) All-cause mortality in BC patients was significantly lower in the highest levels of folate intake, showing a 14% risk reduction compared to lowest. Using two of the studies included in this meta-analysis, Sellers 2002 and Harris 2012, the authors also found a dose-response relationship between dietary fo</w:t>
      </w:r>
      <w:r w:rsidR="00EA2924">
        <w:rPr>
          <w:rFonts w:ascii="Times" w:hAnsi="Times" w:cs="Arial"/>
        </w:rPr>
        <w:t>late intake at increments of200</w:t>
      </w:r>
      <w:r w:rsidR="00EA2924" w:rsidRPr="004F2B88">
        <w:rPr>
          <w:rFonts w:ascii="Times" w:hAnsi="Times" w:cs="Arial"/>
        </w:rPr>
        <w:sym w:font="Symbol" w:char="F06D"/>
      </w:r>
      <w:r w:rsidRPr="004F2B88">
        <w:rPr>
          <w:rFonts w:ascii="Times" w:hAnsi="Times" w:cs="Arial"/>
        </w:rPr>
        <w:t xml:space="preserve">g/day and all-cause mortality (summary HR 0.86; 95% </w:t>
      </w:r>
      <w:r w:rsidR="00AC6B0F">
        <w:rPr>
          <w:rFonts w:ascii="Times" w:hAnsi="Times" w:cs="Arial"/>
        </w:rPr>
        <w:t>CI,</w:t>
      </w:r>
      <w:r w:rsidRPr="004F2B88">
        <w:rPr>
          <w:rFonts w:ascii="Times" w:hAnsi="Times" w:cs="Arial"/>
        </w:rPr>
        <w:t xml:space="preserve"> 0.76-0.97). (Li et al., 2015) However, no association was found between total folate intake and BC risk. </w:t>
      </w:r>
    </w:p>
    <w:p w14:paraId="68AD6547" w14:textId="6D497FA4" w:rsidR="00D33D30" w:rsidRDefault="00D33D30" w:rsidP="00D33D30">
      <w:pPr>
        <w:spacing w:line="480" w:lineRule="auto"/>
        <w:ind w:firstLine="720"/>
        <w:jc w:val="both"/>
        <w:rPr>
          <w:rFonts w:ascii="Times" w:hAnsi="Times" w:cs="Arial"/>
        </w:rPr>
      </w:pPr>
      <w:r w:rsidRPr="004F2B88">
        <w:rPr>
          <w:rFonts w:ascii="Times" w:hAnsi="Times" w:cs="Arial"/>
        </w:rPr>
        <w:t>In a meta-analysis of</w:t>
      </w:r>
      <w:r w:rsidR="007D39F3">
        <w:rPr>
          <w:rFonts w:ascii="Times" w:hAnsi="Times" w:cs="Arial"/>
        </w:rPr>
        <w:t xml:space="preserve"> 14 cohorts from 19 studies (n=</w:t>
      </w:r>
      <w:r w:rsidRPr="004F2B88">
        <w:rPr>
          <w:rFonts w:ascii="Times" w:hAnsi="Times" w:cs="Arial"/>
        </w:rPr>
        <w:t>677,858), a non-linear relationship was observed between folate intake a</w:t>
      </w:r>
      <w:r w:rsidR="00FC314B">
        <w:rPr>
          <w:rFonts w:ascii="Times" w:hAnsi="Times" w:cs="Arial"/>
        </w:rPr>
        <w:t>s measured by FFQ and BC risk (p</w:t>
      </w:r>
      <w:r w:rsidRPr="004F2B88">
        <w:rPr>
          <w:rFonts w:ascii="Times" w:hAnsi="Times" w:cs="Arial"/>
        </w:rPr>
        <w:t>-value for non-linearity = 0.0007).</w:t>
      </w:r>
      <w:r w:rsidRPr="004F2B88">
        <w:rPr>
          <w:rFonts w:ascii="Times" w:hAnsi="Times" w:cs="Arial"/>
          <w:vertAlign w:val="superscript"/>
        </w:rPr>
        <w:t xml:space="preserve"> </w:t>
      </w:r>
      <w:r w:rsidRPr="004F2B88">
        <w:rPr>
          <w:rFonts w:ascii="Times" w:hAnsi="Times" w:cs="Arial"/>
        </w:rPr>
        <w:t>(</w:t>
      </w:r>
      <w:r w:rsidR="005E457E">
        <w:rPr>
          <w:rFonts w:ascii="Times" w:hAnsi="Times" w:cs="Arial"/>
        </w:rPr>
        <w:t xml:space="preserve">F. </w:t>
      </w:r>
      <w:r w:rsidRPr="004F2B88">
        <w:rPr>
          <w:rFonts w:ascii="Times" w:hAnsi="Times" w:cs="Arial"/>
        </w:rPr>
        <w:t>Zhang et al., 2014) Zhang et al found that 20</w:t>
      </w:r>
      <w:r w:rsidR="00EA2924">
        <w:rPr>
          <w:rFonts w:ascii="Times" w:hAnsi="Times" w:cs="Arial"/>
        </w:rPr>
        <w:t>0-320</w:t>
      </w:r>
      <w:r w:rsidR="00EA2924" w:rsidRPr="004F2B88">
        <w:rPr>
          <w:rFonts w:ascii="Times" w:hAnsi="Times" w:cs="Arial"/>
        </w:rPr>
        <w:sym w:font="Symbol" w:char="F06D"/>
      </w:r>
      <w:r w:rsidRPr="004F2B88">
        <w:rPr>
          <w:rFonts w:ascii="Times" w:hAnsi="Times" w:cs="Arial"/>
        </w:rPr>
        <w:t>g/d of dietary folate was associated with a lowered risk of BC, verses a significant increase in risk with</w:t>
      </w:r>
      <w:r w:rsidR="00EA2924">
        <w:rPr>
          <w:rFonts w:ascii="Times" w:hAnsi="Times" w:cs="Arial"/>
        </w:rPr>
        <w:t xml:space="preserve"> daily folate intakes above 400</w:t>
      </w:r>
      <w:r w:rsidR="00EA2924" w:rsidRPr="004F2B88">
        <w:rPr>
          <w:rFonts w:ascii="Times" w:hAnsi="Times" w:cs="Arial"/>
        </w:rPr>
        <w:sym w:font="Symbol" w:char="F06D"/>
      </w:r>
      <w:r w:rsidRPr="004F2B88">
        <w:rPr>
          <w:rFonts w:ascii="Times" w:hAnsi="Times" w:cs="Arial"/>
        </w:rPr>
        <w:t xml:space="preserve">g. </w:t>
      </w:r>
      <w:r w:rsidR="00EA2924">
        <w:rPr>
          <w:rFonts w:ascii="Times" w:hAnsi="Times" w:cs="Arial"/>
        </w:rPr>
        <w:t>Intake at these levels (200-320</w:t>
      </w:r>
      <w:r w:rsidR="00EA2924" w:rsidRPr="004F2B88">
        <w:rPr>
          <w:rFonts w:ascii="Times" w:hAnsi="Times" w:cs="Arial"/>
        </w:rPr>
        <w:sym w:font="Symbol" w:char="F06D"/>
      </w:r>
      <w:r w:rsidRPr="004F2B88">
        <w:rPr>
          <w:rFonts w:ascii="Times" w:hAnsi="Times" w:cs="Arial"/>
        </w:rPr>
        <w:t>g</w:t>
      </w:r>
      <w:r w:rsidR="00EA2924">
        <w:rPr>
          <w:rFonts w:ascii="Times" w:hAnsi="Times" w:cs="Arial"/>
        </w:rPr>
        <w:t>/d) though below the RDA of 400</w:t>
      </w:r>
      <w:r w:rsidR="00EA2924" w:rsidRPr="004F2B88">
        <w:rPr>
          <w:rFonts w:ascii="Times" w:hAnsi="Times" w:cs="Arial"/>
        </w:rPr>
        <w:sym w:font="Symbol" w:char="F06D"/>
      </w:r>
      <w:r w:rsidRPr="004F2B88">
        <w:rPr>
          <w:rFonts w:ascii="Times" w:hAnsi="Times" w:cs="Arial"/>
        </w:rPr>
        <w:t>g/day, are often the median of intake in prospective studies on folate intake and BC risk. Simila</w:t>
      </w:r>
      <w:r w:rsidR="00F044E6">
        <w:rPr>
          <w:rFonts w:ascii="Times" w:hAnsi="Times" w:cs="Arial"/>
        </w:rPr>
        <w:t>rly, a meta-analysis by Chen et al.</w:t>
      </w:r>
      <w:r w:rsidRPr="004F2B88">
        <w:rPr>
          <w:rFonts w:ascii="Times" w:hAnsi="Times" w:cs="Arial"/>
        </w:rPr>
        <w:t xml:space="preserve"> in 2014 investigated the effects of folate on BC risk. After correcting for publication bias, statistical methods using models that assume linearity yielded different results than models that assumed non-linearity. In the 16 prospective studies, no linear association was found between DF and BC risk [pooled RR=1.04 (95% </w:t>
      </w:r>
      <w:r w:rsidR="00AC6B0F">
        <w:rPr>
          <w:rFonts w:ascii="Times" w:hAnsi="Times" w:cs="Arial"/>
        </w:rPr>
        <w:t>CI,</w:t>
      </w:r>
      <w:r w:rsidRPr="004F2B88">
        <w:rPr>
          <w:rFonts w:ascii="Times" w:hAnsi="Times" w:cs="Arial"/>
        </w:rPr>
        <w:t xml:space="preserve"> 0.94,1.15)]. In contrast, women with DF intake between 153-400µg exhibited a reduced risk of BC compared to those whom consumed &lt;153</w:t>
      </w:r>
      <w:r w:rsidR="00AC6B0F" w:rsidRPr="004F2B88">
        <w:rPr>
          <w:rFonts w:ascii="Times" w:hAnsi="Times" w:cs="Arial"/>
        </w:rPr>
        <w:sym w:font="Symbol" w:char="F06D"/>
      </w:r>
      <w:r w:rsidRPr="004F2B88">
        <w:rPr>
          <w:rFonts w:ascii="Times" w:hAnsi="Times" w:cs="Arial"/>
        </w:rPr>
        <w:t>g of folate daily, while women with average DF intakes above 400</w:t>
      </w:r>
      <w:r w:rsidR="00AC6B0F" w:rsidRPr="004F2B88">
        <w:rPr>
          <w:rFonts w:ascii="Times" w:hAnsi="Times" w:cs="Arial"/>
        </w:rPr>
        <w:sym w:font="Symbol" w:char="F06D"/>
      </w:r>
      <w:r w:rsidRPr="004F2B88">
        <w:rPr>
          <w:rFonts w:ascii="Times" w:hAnsi="Times" w:cs="Arial"/>
        </w:rPr>
        <w:t xml:space="preserve">g did not see this reduction in </w:t>
      </w:r>
      <w:r w:rsidRPr="004F2B88">
        <w:rPr>
          <w:rFonts w:ascii="Times" w:hAnsi="Times" w:cs="Arial"/>
        </w:rPr>
        <w:lastRenderedPageBreak/>
        <w:t>risk. In the 25 case-control studies, a significant negative correlation was reported between BC risk and DF intake, though this result was not linear [pooled OR under linear model</w:t>
      </w:r>
      <w:r w:rsidR="00AC6B0F">
        <w:rPr>
          <w:rFonts w:ascii="Times" w:hAnsi="Times" w:cs="Arial"/>
        </w:rPr>
        <w:t xml:space="preserve"> </w:t>
      </w:r>
      <w:r w:rsidRPr="004F2B88">
        <w:rPr>
          <w:rFonts w:ascii="Times" w:hAnsi="Times" w:cs="Arial"/>
        </w:rPr>
        <w:t>=</w:t>
      </w:r>
      <w:r w:rsidR="00AC6B0F">
        <w:rPr>
          <w:rFonts w:ascii="Times" w:hAnsi="Times" w:cs="Arial"/>
        </w:rPr>
        <w:t xml:space="preserve"> 0.99 (95% CI, 0.84 -</w:t>
      </w:r>
      <w:r w:rsidRPr="004F2B88">
        <w:rPr>
          <w:rFonts w:ascii="Times" w:hAnsi="Times" w:cs="Arial"/>
        </w:rPr>
        <w:t>1.16)]. BC risk reduction was significant for women with higher DF intake compared with those with DF intake &lt;130.5</w:t>
      </w:r>
      <w:r w:rsidRPr="004F2B88">
        <w:t> </w:t>
      </w:r>
      <w:r w:rsidRPr="004F2B88">
        <w:rPr>
          <w:rFonts w:ascii="Times" w:hAnsi="Times" w:cs="Arial"/>
        </w:rPr>
        <w:sym w:font="Symbol" w:char="F06D"/>
      </w:r>
      <w:r w:rsidRPr="004F2B88">
        <w:rPr>
          <w:rFonts w:ascii="Times" w:hAnsi="Times" w:cs="Arial"/>
        </w:rPr>
        <w:t>g per day, where a 100</w:t>
      </w:r>
      <w:r w:rsidRPr="004F2B88">
        <w:t> </w:t>
      </w:r>
      <w:proofErr w:type="spellStart"/>
      <w:r w:rsidRPr="004F2B88">
        <w:rPr>
          <w:rFonts w:ascii="Times" w:hAnsi="Times" w:cs="Arial"/>
        </w:rPr>
        <w:t>μg</w:t>
      </w:r>
      <w:proofErr w:type="spellEnd"/>
      <w:r w:rsidRPr="004F2B88">
        <w:rPr>
          <w:rFonts w:ascii="Times" w:hAnsi="Times" w:cs="Arial"/>
        </w:rPr>
        <w:t xml:space="preserve"> per day increase of DF was associated with a 9% reduction in BC risk (OR</w:t>
      </w:r>
      <w:r w:rsidR="00AC6B0F">
        <w:rPr>
          <w:rFonts w:ascii="Times" w:hAnsi="Times" w:cs="Arial"/>
        </w:rPr>
        <w:t xml:space="preserve"> </w:t>
      </w:r>
      <w:r w:rsidRPr="004F2B88">
        <w:rPr>
          <w:rFonts w:ascii="Times" w:hAnsi="Times" w:cs="Arial"/>
        </w:rPr>
        <w:t>=</w:t>
      </w:r>
      <w:r w:rsidR="00AC6B0F">
        <w:rPr>
          <w:rFonts w:ascii="Times" w:hAnsi="Times" w:cs="Arial"/>
        </w:rPr>
        <w:t xml:space="preserve"> </w:t>
      </w:r>
      <w:r w:rsidRPr="004F2B88">
        <w:rPr>
          <w:rFonts w:ascii="Times" w:hAnsi="Times" w:cs="Arial"/>
        </w:rPr>
        <w:t xml:space="preserve">0.91; 95% </w:t>
      </w:r>
      <w:r w:rsidR="00AC6B0F">
        <w:rPr>
          <w:rFonts w:ascii="Times" w:hAnsi="Times" w:cs="Arial"/>
        </w:rPr>
        <w:t xml:space="preserve">CI, </w:t>
      </w:r>
      <w:r w:rsidRPr="004F2B88">
        <w:rPr>
          <w:rFonts w:ascii="Times" w:hAnsi="Times" w:cs="Arial"/>
        </w:rPr>
        <w:t>0.86–0.97)</w:t>
      </w:r>
    </w:p>
    <w:p w14:paraId="633DE715" w14:textId="393A42E1" w:rsidR="00D33D30" w:rsidRDefault="00D33D30" w:rsidP="00D33D30">
      <w:pPr>
        <w:spacing w:line="480" w:lineRule="auto"/>
        <w:jc w:val="both"/>
        <w:rPr>
          <w:rFonts w:ascii="Times" w:hAnsi="Times" w:cs="Arial"/>
        </w:rPr>
      </w:pPr>
      <w:r w:rsidRPr="004F2B88">
        <w:rPr>
          <w:rFonts w:ascii="Times" w:hAnsi="Times" w:cs="Arial"/>
        </w:rPr>
        <w:t>Of consideration, results from the Chen et al. paper suggest higher folate intake is linearly associated with BC risk reduction in non-US populations, but not in American cohorts</w:t>
      </w:r>
      <w:r>
        <w:rPr>
          <w:rFonts w:ascii="Times" w:hAnsi="Times" w:cs="Arial"/>
        </w:rPr>
        <w:t>. T</w:t>
      </w:r>
      <w:r w:rsidRPr="004F2B88">
        <w:rPr>
          <w:rFonts w:ascii="Times" w:hAnsi="Times" w:cs="Arial"/>
        </w:rPr>
        <w:t>his may be due to difference in folic acid fortification levels of the food supply; populations with relatively high folate status may confer a weaker protective effect. When stratified by menopausal status, DF was not associated with BC risk [highest vs. lowest category of intake, fixed- or random-effects model and 95% CIs, respectively:  1.05 (0.86–1.28), 1.02 (0.62–1.67)], though only 20 of the 42 included studies reported data on menopausal status</w:t>
      </w:r>
      <w:r w:rsidR="00BF03A3">
        <w:rPr>
          <w:rFonts w:ascii="Times" w:hAnsi="Times" w:cs="Arial"/>
        </w:rPr>
        <w:t>.</w:t>
      </w:r>
    </w:p>
    <w:p w14:paraId="516650D8" w14:textId="25C9A6C2" w:rsidR="00D33D30" w:rsidRPr="004F2B88" w:rsidRDefault="00D33D30" w:rsidP="00D33D30">
      <w:pPr>
        <w:spacing w:line="480" w:lineRule="auto"/>
        <w:ind w:firstLine="720"/>
        <w:jc w:val="both"/>
        <w:rPr>
          <w:rFonts w:ascii="Times" w:hAnsi="Times" w:cs="Arial"/>
        </w:rPr>
      </w:pPr>
      <w:r w:rsidRPr="004F2B88">
        <w:rPr>
          <w:rFonts w:ascii="Times" w:hAnsi="Times" w:cs="Arial"/>
        </w:rPr>
        <w:t>A seminal prospective cohort study conducted in 1999 of more than 88,000 women (3483 cases of invasive BC) found total folate was not associated with an overall reduced risk of BC. Despite this, the excess risk of BC associated with 15g of alcohol intake per day was reduced by total folate intake. Folate intake above 600</w:t>
      </w:r>
      <w:r w:rsidR="00AC6B0F" w:rsidRPr="004F2B88">
        <w:rPr>
          <w:rFonts w:ascii="Times" w:hAnsi="Times" w:cs="Arial"/>
        </w:rPr>
        <w:sym w:font="Symbol" w:char="F06D"/>
      </w:r>
      <w:r w:rsidRPr="004F2B88">
        <w:rPr>
          <w:rFonts w:ascii="Times" w:hAnsi="Times" w:cs="Arial"/>
        </w:rPr>
        <w:t>g/d had a 7% decrease in risk compared to participants with intake between 150-299</w:t>
      </w:r>
      <w:r w:rsidR="00AC6B0F" w:rsidRPr="004F2B88">
        <w:rPr>
          <w:rFonts w:ascii="Times" w:hAnsi="Times" w:cs="Arial"/>
        </w:rPr>
        <w:sym w:font="Symbol" w:char="F06D"/>
      </w:r>
      <w:r w:rsidRPr="004F2B88">
        <w:rPr>
          <w:rFonts w:ascii="Times" w:hAnsi="Times" w:cs="Arial"/>
        </w:rPr>
        <w:t xml:space="preserve">g/d [multivariate relative risk (RR) of 0.55 (95% </w:t>
      </w:r>
      <w:r w:rsidR="00AC6B0F">
        <w:rPr>
          <w:rFonts w:ascii="Times" w:hAnsi="Times" w:cs="Arial"/>
        </w:rPr>
        <w:t>CI,</w:t>
      </w:r>
      <w:r w:rsidRPr="004F2B88">
        <w:rPr>
          <w:rFonts w:ascii="Times" w:hAnsi="Times" w:cs="Arial"/>
        </w:rPr>
        <w:t xml:space="preserve"> 0.39-0.76; </w:t>
      </w:r>
      <w:r w:rsidR="00B5154C">
        <w:rPr>
          <w:rFonts w:ascii="Times" w:hAnsi="Times" w:cs="Arial"/>
        </w:rPr>
        <w:t xml:space="preserve">p for </w:t>
      </w:r>
      <w:r w:rsidR="00AC6B0F">
        <w:rPr>
          <w:rFonts w:ascii="Times" w:hAnsi="Times" w:cs="Arial"/>
        </w:rPr>
        <w:t>trend</w:t>
      </w:r>
      <w:r w:rsidRPr="004F2B88">
        <w:rPr>
          <w:rFonts w:ascii="Times" w:hAnsi="Times" w:cs="Arial"/>
        </w:rPr>
        <w:t xml:space="preserve"> = .001)] This association was only slightly attenuated after additional adjustment for intake of beta carotene, lutein/zeaxanthin, preformed vitamin A, and total vitamins C and E. (S. Zhang et al., 1999)</w:t>
      </w:r>
    </w:p>
    <w:p w14:paraId="03366430" w14:textId="0FF16731" w:rsidR="00D33D30" w:rsidRDefault="00D33D30" w:rsidP="00D33D30">
      <w:pPr>
        <w:spacing w:line="480" w:lineRule="auto"/>
        <w:ind w:firstLine="720"/>
        <w:jc w:val="both"/>
        <w:rPr>
          <w:rFonts w:ascii="Times" w:hAnsi="Times" w:cs="Arial"/>
        </w:rPr>
      </w:pPr>
      <w:r w:rsidRPr="004F2B88">
        <w:rPr>
          <w:rFonts w:ascii="Times" w:hAnsi="Times" w:cs="Arial"/>
        </w:rPr>
        <w:lastRenderedPageBreak/>
        <w:t xml:space="preserve">There is limited evidence on hormone receptor-specific premenopausal BC risk and dietary folate intake. In a prospective study on a subset of the European Prospective Investigation into Cancer </w:t>
      </w:r>
      <w:r w:rsidR="00AC6B0F">
        <w:rPr>
          <w:rFonts w:ascii="Times" w:hAnsi="Times" w:cs="Arial"/>
        </w:rPr>
        <w:t>and Nutrition (EPIC) cohort (n=</w:t>
      </w:r>
      <w:r w:rsidRPr="004F2B88">
        <w:rPr>
          <w:rFonts w:ascii="Times" w:hAnsi="Times" w:cs="Arial"/>
        </w:rPr>
        <w:t>367,993 women), researchers found that higher DF intake may be associated with reduced risk of hormone-receptor-negative BC in premenopausal women. A statistically significant trend towards lower risk in estrogen receptor-negative BC (HR, hi</w:t>
      </w:r>
      <w:r w:rsidR="00AC6B0F">
        <w:rPr>
          <w:rFonts w:ascii="Times" w:hAnsi="Times" w:cs="Arial"/>
        </w:rPr>
        <w:t>ghest vs. lowest = 0.66; 95% CI,</w:t>
      </w:r>
      <w:r w:rsidRPr="004F2B88">
        <w:rPr>
          <w:rFonts w:ascii="Times" w:hAnsi="Times" w:cs="Arial"/>
        </w:rPr>
        <w:t xml:space="preserve"> 0.45-0.96, </w:t>
      </w:r>
      <w:r w:rsidR="00B5154C">
        <w:rPr>
          <w:rFonts w:ascii="Times" w:hAnsi="Times" w:cs="Arial"/>
        </w:rPr>
        <w:t xml:space="preserve">p for </w:t>
      </w:r>
      <w:r w:rsidR="00AC6B0F">
        <w:rPr>
          <w:rFonts w:ascii="Times" w:hAnsi="Times" w:cs="Arial"/>
        </w:rPr>
        <w:t>trend</w:t>
      </w:r>
      <w:r w:rsidRPr="004F2B88">
        <w:rPr>
          <w:rFonts w:ascii="Times" w:hAnsi="Times" w:cs="Arial"/>
        </w:rPr>
        <w:t xml:space="preserve"> = .042) and progesterone receptor-negative BC (HR, highest vs. lowe</w:t>
      </w:r>
      <w:r w:rsidR="00AC6B0F">
        <w:rPr>
          <w:rFonts w:ascii="Times" w:hAnsi="Times" w:cs="Arial"/>
        </w:rPr>
        <w:t>st = 0.70; 95% CI,</w:t>
      </w:r>
      <w:r w:rsidR="00B5154C">
        <w:rPr>
          <w:rFonts w:ascii="Times" w:hAnsi="Times" w:cs="Arial"/>
        </w:rPr>
        <w:t xml:space="preserve"> 0.51-0.97, p for </w:t>
      </w:r>
      <w:r w:rsidR="00AC6B0F">
        <w:rPr>
          <w:rFonts w:ascii="Times" w:hAnsi="Times" w:cs="Arial"/>
        </w:rPr>
        <w:t xml:space="preserve">trend </w:t>
      </w:r>
      <w:r w:rsidRPr="004F2B88">
        <w:rPr>
          <w:rFonts w:ascii="Times" w:hAnsi="Times" w:cs="Arial"/>
        </w:rPr>
        <w:t>= .021) was exhibited. (</w:t>
      </w:r>
      <w:proofErr w:type="spellStart"/>
      <w:r w:rsidRPr="004F2B88">
        <w:rPr>
          <w:rFonts w:ascii="Times" w:hAnsi="Times" w:cs="Arial"/>
        </w:rPr>
        <w:t>Batlle</w:t>
      </w:r>
      <w:proofErr w:type="spellEnd"/>
      <w:r w:rsidRPr="004F2B88">
        <w:rPr>
          <w:rFonts w:ascii="Times" w:hAnsi="Times" w:cs="Arial"/>
        </w:rPr>
        <w:t xml:space="preserve"> et al., 2014</w:t>
      </w:r>
      <w:r w:rsidR="003156A6">
        <w:rPr>
          <w:rFonts w:ascii="Times" w:hAnsi="Times" w:cs="Arial"/>
        </w:rPr>
        <w:t>)</w:t>
      </w:r>
    </w:p>
    <w:p w14:paraId="73145534" w14:textId="63A7B74B" w:rsidR="003156A6" w:rsidRDefault="003156A6" w:rsidP="00BF03A3">
      <w:pPr>
        <w:spacing w:line="480" w:lineRule="auto"/>
        <w:ind w:firstLine="720"/>
        <w:jc w:val="both"/>
        <w:rPr>
          <w:rFonts w:ascii="Times" w:hAnsi="Times" w:cs="Arial"/>
        </w:rPr>
      </w:pPr>
      <w:r w:rsidRPr="004F2B88">
        <w:rPr>
          <w:rFonts w:ascii="Times" w:hAnsi="Times" w:cs="Arial"/>
        </w:rPr>
        <w:t>In another cohort study with 3,016 overweight and obese women, a marginal inverse association between dietary folate intake and premenopausal status was found in African American women who consumed more than 230mcg/d of natural food folate but did not reach significance (highest vs. lo</w:t>
      </w:r>
      <w:r w:rsidR="00AC6B0F">
        <w:rPr>
          <w:rFonts w:ascii="Times" w:hAnsi="Times" w:cs="Arial"/>
        </w:rPr>
        <w:t xml:space="preserve">west quartile: OR=0.57, 95% CI, </w:t>
      </w:r>
      <w:r w:rsidRPr="004F2B88">
        <w:rPr>
          <w:rFonts w:ascii="Times" w:hAnsi="Times" w:cs="Arial"/>
        </w:rPr>
        <w:t xml:space="preserve">0.33–1.00; </w:t>
      </w:r>
      <w:r w:rsidRPr="00AC6B0F">
        <w:rPr>
          <w:rFonts w:ascii="Times" w:hAnsi="Times" w:cs="Arial"/>
          <w:i/>
        </w:rPr>
        <w:t>p</w:t>
      </w:r>
      <w:r w:rsidR="00B5154C">
        <w:rPr>
          <w:rFonts w:ascii="Times" w:hAnsi="Times" w:cs="Arial"/>
        </w:rPr>
        <w:t xml:space="preserve"> for trend = </w:t>
      </w:r>
      <w:r w:rsidRPr="004F2B88">
        <w:rPr>
          <w:rFonts w:ascii="Times" w:hAnsi="Times" w:cs="Arial"/>
        </w:rPr>
        <w:t>.06). After stratification by hormone receptor status, this association between premenopausal BC risk and folate status was further diminished. In their conclusion, the authors of this study suggested other B vitamins may modify the relationship between folate and premenopausal BC risk, as the lowest ORs were observed in women who consumed the highest levels of natural food folate as well as either B12</w:t>
      </w:r>
      <w:r w:rsidR="00AC6B0F">
        <w:rPr>
          <w:rFonts w:ascii="Times" w:hAnsi="Times" w:cs="Arial"/>
        </w:rPr>
        <w:t xml:space="preserve"> or methionine (OR = 0.60, 95% CI, 0.37–0.96 and OR = 0.42, 95% CI, </w:t>
      </w:r>
      <w:r w:rsidRPr="004F2B88">
        <w:rPr>
          <w:rFonts w:ascii="Times" w:hAnsi="Times" w:cs="Arial"/>
        </w:rPr>
        <w:t xml:space="preserve">0.25–0.72, respectively). (Gong 2014) </w:t>
      </w:r>
    </w:p>
    <w:p w14:paraId="346BBCAB" w14:textId="077D96C3" w:rsidR="003156A6" w:rsidRDefault="003156A6" w:rsidP="00BF03A3">
      <w:pPr>
        <w:spacing w:line="480" w:lineRule="auto"/>
        <w:ind w:firstLine="720"/>
        <w:jc w:val="both"/>
        <w:rPr>
          <w:rFonts w:ascii="Times" w:hAnsi="Times" w:cs="Arial"/>
        </w:rPr>
      </w:pPr>
      <w:r w:rsidRPr="004F2B88">
        <w:rPr>
          <w:rFonts w:ascii="Times" w:hAnsi="Times" w:cs="Arial"/>
        </w:rPr>
        <w:t>Previous epidemiological studies investigating folate intake and their non-consensus among results may be due to differences in methods of folate status assessment (self-reported versus validated food frequency questionnaire) or due to the tim</w:t>
      </w:r>
      <w:r w:rsidR="004A5684">
        <w:rPr>
          <w:rFonts w:ascii="Times" w:hAnsi="Times" w:cs="Arial"/>
        </w:rPr>
        <w:t>ing of measurement (pre- or post-</w:t>
      </w:r>
      <w:r w:rsidRPr="004F2B88">
        <w:rPr>
          <w:rFonts w:ascii="Times" w:hAnsi="Times" w:cs="Arial"/>
        </w:rPr>
        <w:t xml:space="preserve">BC diagnosis). Reported folate intake and relative status may differ; misclassification due to self-reported low intake may offer a causal explanation as </w:t>
      </w:r>
      <w:r w:rsidRPr="004F2B88">
        <w:rPr>
          <w:rFonts w:ascii="Times" w:hAnsi="Times" w:cs="Arial"/>
        </w:rPr>
        <w:lastRenderedPageBreak/>
        <w:t>to why folate intakes at levels below the RDA are not associated with risk reduction. It is known that dietary assessments using self-reported intakes can exhibit systematic bias, especially with regard to energy underreporting in a female cohort. Therefore, it is suggested that self-reported intakes are used in conjunction with biomarkers for folate status such as serum or red blood cell (RBC) folate, especially when considering intakes at levels indicative of folate deficiency or excess. (Bailey et al., 2017</w:t>
      </w:r>
      <w:r w:rsidR="00BF03A3">
        <w:rPr>
          <w:rFonts w:ascii="Times" w:hAnsi="Times" w:cs="Arial"/>
        </w:rPr>
        <w:t>)</w:t>
      </w:r>
    </w:p>
    <w:p w14:paraId="659BC8CE" w14:textId="1C86B33D" w:rsidR="003156A6" w:rsidRDefault="003156A6" w:rsidP="003156A6">
      <w:pPr>
        <w:spacing w:line="480" w:lineRule="auto"/>
        <w:ind w:firstLine="720"/>
        <w:jc w:val="both"/>
        <w:rPr>
          <w:rFonts w:ascii="Times" w:hAnsi="Times" w:cs="Arial"/>
        </w:rPr>
      </w:pPr>
      <w:r w:rsidRPr="004F2B88">
        <w:rPr>
          <w:rFonts w:ascii="Times" w:hAnsi="Times" w:cs="Arial"/>
        </w:rPr>
        <w:t>It is important to note that higher folate levels, such as those reached with intakes of supplements or fortified foods, are more closely correlated with folate levels as assessed with self-reporting and validated with biomarkers. Systematic underreporting is prominent in epidemiological studies, which assess folate status by food frequency questionnaire or through 24-hour recall. This is of special concern with regard to studies investigating all-female cohorts, as women tend to systematically underreport energy intake more often than men. Caution is recommended when interpreting the relationship between health outcomes and lower folate intakes when measured by self-reported data. (Bailey et al., 2017) A further consideration: though self-reported dietary data in large epidemiological studies can be paired with biomarkers to increase the strength of observed folate status and health outcome associations, both serum and RBC folate are not true recovery biomarkers. Folate levels as assessed by these measures still cannot correct for the systematic bias of energy underreporting that is common to dietary assessments using FFQ</w:t>
      </w:r>
      <w:r w:rsidR="00915DD9">
        <w:rPr>
          <w:rFonts w:ascii="Times" w:hAnsi="Times" w:cs="Arial"/>
        </w:rPr>
        <w:t>.</w:t>
      </w:r>
    </w:p>
    <w:p w14:paraId="184697AB" w14:textId="77777777" w:rsidR="003156A6" w:rsidRPr="004F2B88" w:rsidRDefault="003156A6" w:rsidP="003156A6">
      <w:pPr>
        <w:spacing w:line="480" w:lineRule="auto"/>
        <w:ind w:firstLine="720"/>
        <w:jc w:val="both"/>
        <w:rPr>
          <w:rFonts w:ascii="Times" w:hAnsi="Times" w:cs="Arial"/>
        </w:rPr>
      </w:pPr>
      <w:r w:rsidRPr="004F2B88">
        <w:rPr>
          <w:rFonts w:ascii="Times" w:hAnsi="Times" w:cs="Arial"/>
        </w:rPr>
        <w:t xml:space="preserve">Folate status and its role in BC etiology may also depend as heavily on timing of intake as well as relative intake levels, especially with regard to risk in premenopausal versus postmenopausal BC instance.  Dietary intake pattern changes between pre- and post-diagnosis have been reported in up to 30-40% of participants in some epidemiological </w:t>
      </w:r>
      <w:r w:rsidRPr="004F2B88">
        <w:rPr>
          <w:rFonts w:ascii="Times" w:hAnsi="Times" w:cs="Arial"/>
        </w:rPr>
        <w:lastRenderedPageBreak/>
        <w:t>studies on BC risk. (</w:t>
      </w:r>
      <w:proofErr w:type="spellStart"/>
      <w:r w:rsidRPr="004F2B88">
        <w:rPr>
          <w:rFonts w:ascii="Times" w:hAnsi="Times" w:cs="Arial"/>
        </w:rPr>
        <w:t>Salminen</w:t>
      </w:r>
      <w:proofErr w:type="spellEnd"/>
      <w:r w:rsidRPr="004F2B88">
        <w:rPr>
          <w:rFonts w:ascii="Times" w:hAnsi="Times" w:cs="Arial"/>
        </w:rPr>
        <w:t xml:space="preserve"> et al., 2000 and </w:t>
      </w:r>
      <w:proofErr w:type="spellStart"/>
      <w:r w:rsidRPr="004F2B88">
        <w:rPr>
          <w:rFonts w:ascii="Times" w:hAnsi="Times" w:cs="Arial"/>
        </w:rPr>
        <w:t>Maunsell</w:t>
      </w:r>
      <w:proofErr w:type="spellEnd"/>
      <w:r w:rsidRPr="004F2B88">
        <w:rPr>
          <w:rFonts w:ascii="Times" w:hAnsi="Times" w:cs="Arial"/>
        </w:rPr>
        <w:t xml:space="preserve"> et al., 2002) The authors suggested their findings support adequate folate intake pre-diagnosis, as opposed to supplementation with high doses post-diagnosis. </w:t>
      </w:r>
    </w:p>
    <w:p w14:paraId="577B549F" w14:textId="77777777" w:rsidR="003156A6" w:rsidRDefault="003156A6" w:rsidP="00915DD9">
      <w:pPr>
        <w:spacing w:line="480" w:lineRule="auto"/>
        <w:ind w:firstLine="720"/>
        <w:jc w:val="both"/>
        <w:rPr>
          <w:rFonts w:ascii="Times" w:hAnsi="Times" w:cs="Arial"/>
        </w:rPr>
      </w:pPr>
      <w:r w:rsidRPr="004F2B88">
        <w:rPr>
          <w:rFonts w:ascii="Times" w:hAnsi="Times" w:cs="Arial"/>
        </w:rPr>
        <w:t>At present, study findings have suggested a U-shaped curve relationship between individual vitamin intakes and health risks, including folate. (Chen et al., 2014) Following a sharp observable increase in colorectal cancer after food fortification with B vitamins</w:t>
      </w:r>
      <w:r>
        <w:rPr>
          <w:rFonts w:ascii="Times" w:hAnsi="Times" w:cs="Arial"/>
        </w:rPr>
        <w:t xml:space="preserve">, </w:t>
      </w:r>
      <w:r w:rsidRPr="004F2B88">
        <w:rPr>
          <w:rFonts w:ascii="Times" w:hAnsi="Times" w:cs="Arial"/>
        </w:rPr>
        <w:t>early studies were held to investigate the relationship between increased folate intakes due to food fortification and various health outcomes. (</w:t>
      </w:r>
      <w:proofErr w:type="spellStart"/>
      <w:r w:rsidRPr="004F2B88">
        <w:rPr>
          <w:rFonts w:ascii="Times" w:hAnsi="Times" w:cs="Arial"/>
        </w:rPr>
        <w:t>Selhub</w:t>
      </w:r>
      <w:proofErr w:type="spellEnd"/>
      <w:r w:rsidRPr="004F2B88">
        <w:rPr>
          <w:rFonts w:ascii="Times" w:hAnsi="Times" w:cs="Arial"/>
        </w:rPr>
        <w:t xml:space="preserve"> &amp; Rosenberg, 2016) The American Institute of Cancer Research (AICR) and World Cancer Research Foundation (WCRF) both advise meeting vitamin and mineral needs through dietary rather than supplemental sources, in order to keep intake below levels that may pose risk (WCRF and AICR, 2007).</w:t>
      </w:r>
      <w:r w:rsidRPr="003156A6">
        <w:rPr>
          <w:rFonts w:ascii="Times" w:hAnsi="Times" w:cs="Arial"/>
        </w:rPr>
        <w:t xml:space="preserve"> </w:t>
      </w:r>
    </w:p>
    <w:p w14:paraId="01399054" w14:textId="477D5F08" w:rsidR="003156A6" w:rsidRPr="004F2B88" w:rsidRDefault="003156A6" w:rsidP="003156A6">
      <w:pPr>
        <w:spacing w:line="480" w:lineRule="auto"/>
        <w:ind w:firstLine="720"/>
        <w:jc w:val="both"/>
        <w:rPr>
          <w:rFonts w:ascii="Times" w:hAnsi="Times" w:cs="Arial"/>
        </w:rPr>
      </w:pPr>
      <w:r w:rsidRPr="004F2B88">
        <w:rPr>
          <w:rFonts w:ascii="Times" w:hAnsi="Times" w:cs="Arial"/>
        </w:rPr>
        <w:t xml:space="preserve">Like studies using FFQs, results compared with circulating plasma or RBC folate levels as indicators of status are also disagreement with regard to folate’s impact on BC. Serum and RBC folate are the two commonly used biomarkers to assess folate status. Where RBC folate levels correlate with tissue folate levels and are a more reliable measure of long term folate status, serum folate is subject to transient changes in dietary folate </w:t>
      </w:r>
      <w:proofErr w:type="gramStart"/>
      <w:r w:rsidRPr="004F2B88">
        <w:rPr>
          <w:rFonts w:ascii="Times" w:hAnsi="Times" w:cs="Arial"/>
        </w:rPr>
        <w:t>intake, and</w:t>
      </w:r>
      <w:proofErr w:type="gramEnd"/>
      <w:r w:rsidRPr="004F2B88">
        <w:rPr>
          <w:rFonts w:ascii="Times" w:hAnsi="Times" w:cs="Arial"/>
        </w:rPr>
        <w:t xml:space="preserve"> </w:t>
      </w:r>
      <w:r w:rsidR="00FF73B9">
        <w:rPr>
          <w:rFonts w:ascii="Times" w:hAnsi="Times" w:cs="Arial"/>
        </w:rPr>
        <w:t>is therefore</w:t>
      </w:r>
      <w:r w:rsidRPr="004F2B88">
        <w:rPr>
          <w:rFonts w:ascii="Times" w:hAnsi="Times" w:cs="Arial"/>
        </w:rPr>
        <w:t xml:space="preserve"> a poorer indicator of long term status. This lack of consensus with biomarker data may be due to fewer numbers of studies overall or due to differences in both lifestyle-related exposures (such as alcohol intake, a known folate disruptor, or smoking) and genetic predispositions in their cohorts. Further, few analyses on serum or RBC folate and BC have reported results with regard to both BMI and premenopausal status, specifically. </w:t>
      </w:r>
    </w:p>
    <w:p w14:paraId="18629234" w14:textId="5650B431" w:rsidR="003156A6" w:rsidRDefault="003156A6" w:rsidP="003156A6">
      <w:pPr>
        <w:spacing w:line="480" w:lineRule="auto"/>
        <w:ind w:firstLine="720"/>
        <w:jc w:val="both"/>
        <w:rPr>
          <w:rFonts w:ascii="Times" w:hAnsi="Times" w:cs="Arial"/>
        </w:rPr>
      </w:pPr>
      <w:r w:rsidRPr="004F2B88">
        <w:rPr>
          <w:rFonts w:ascii="Times" w:hAnsi="Times" w:cs="Arial"/>
        </w:rPr>
        <w:lastRenderedPageBreak/>
        <w:t>In a meta-analysis of twelve studies on BC risk and serum or RBC folate status by Lin et al. in 2008, no associations between folate biomarkers (serum or RBC) and BC risk reached statistical significance for ten of the studies, and only one study reported their findings with regard to menopausal status. (Lin et al.</w:t>
      </w:r>
      <w:r w:rsidR="00FC6F19">
        <w:rPr>
          <w:rFonts w:ascii="Times" w:hAnsi="Times" w:cs="Arial"/>
        </w:rPr>
        <w:t>,</w:t>
      </w:r>
      <w:r w:rsidRPr="004F2B88">
        <w:rPr>
          <w:rFonts w:ascii="Times" w:hAnsi="Times" w:cs="Arial"/>
        </w:rPr>
        <w:t xml:space="preserve"> 2008). </w:t>
      </w:r>
    </w:p>
    <w:p w14:paraId="479AF1AA" w14:textId="56189310" w:rsidR="003156A6" w:rsidRDefault="003156A6" w:rsidP="003156A6">
      <w:pPr>
        <w:spacing w:line="480" w:lineRule="auto"/>
        <w:jc w:val="both"/>
        <w:rPr>
          <w:rFonts w:ascii="Times" w:hAnsi="Times" w:cs="Arial"/>
        </w:rPr>
      </w:pPr>
      <w:r w:rsidRPr="004F2B88">
        <w:rPr>
          <w:rFonts w:ascii="Times" w:hAnsi="Times" w:cs="Arial"/>
        </w:rPr>
        <w:t>In one of the studies that reached statistical significance in the Lin et al. meta-analysis, serum folate levels were assessed for carriers of the methyltetrahydrofolate reductase gene (MTHFR&gt;C677T, wildtype or single nucleotide polymorphism) and compared to risk of</w:t>
      </w:r>
      <w:r w:rsidRPr="003156A6">
        <w:rPr>
          <w:rFonts w:ascii="Times" w:hAnsi="Times" w:cs="Arial"/>
        </w:rPr>
        <w:t xml:space="preserve"> </w:t>
      </w:r>
      <w:r w:rsidRPr="004F2B88">
        <w:rPr>
          <w:rFonts w:ascii="Times" w:hAnsi="Times" w:cs="Arial"/>
        </w:rPr>
        <w:t xml:space="preserve">BC instance. In the 141 BC patients and 109 age-matched controls, increased serum folate levels were significantly associated with a reduced risk of BC (quartiles, </w:t>
      </w:r>
      <w:r w:rsidRPr="004F2B88">
        <w:rPr>
          <w:rFonts w:ascii="Times" w:hAnsi="Times" w:cs="Arial"/>
        </w:rPr>
        <w:sym w:font="Symbol" w:char="F06D"/>
      </w:r>
      <w:r w:rsidRPr="004F2B88">
        <w:rPr>
          <w:rFonts w:ascii="Times" w:hAnsi="Times" w:cs="Arial"/>
        </w:rPr>
        <w:t xml:space="preserve">g/L; </w:t>
      </w:r>
      <w:r w:rsidR="00B5154C">
        <w:rPr>
          <w:rFonts w:ascii="Times" w:hAnsi="Times" w:cs="Arial"/>
        </w:rPr>
        <w:t xml:space="preserve">p for </w:t>
      </w:r>
      <w:r w:rsidR="007736EB">
        <w:rPr>
          <w:rFonts w:ascii="Times" w:hAnsi="Times" w:cs="Arial"/>
        </w:rPr>
        <w:t>trend</w:t>
      </w:r>
      <w:r w:rsidRPr="004F2B88">
        <w:rPr>
          <w:rFonts w:ascii="Times" w:hAnsi="Times" w:cs="Arial"/>
        </w:rPr>
        <w:t xml:space="preserve"> </w:t>
      </w:r>
      <w:r w:rsidR="004A5684">
        <w:rPr>
          <w:rFonts w:ascii="Times" w:hAnsi="Times" w:cs="Arial"/>
        </w:rPr>
        <w:t xml:space="preserve">= </w:t>
      </w:r>
      <w:r w:rsidRPr="004F2B88">
        <w:rPr>
          <w:rFonts w:ascii="Times" w:hAnsi="Times" w:cs="Arial"/>
        </w:rPr>
        <w:t>.001), but these results were not adjusted for menopausal status. (Beilby et al.</w:t>
      </w:r>
      <w:r w:rsidR="003C1705">
        <w:rPr>
          <w:rFonts w:ascii="Times" w:hAnsi="Times" w:cs="Arial"/>
        </w:rPr>
        <w:t>,</w:t>
      </w:r>
      <w:r w:rsidRPr="004F2B88">
        <w:rPr>
          <w:rFonts w:ascii="Times" w:hAnsi="Times" w:cs="Arial"/>
        </w:rPr>
        <w:t xml:space="preserve"> 2004) In a later publication from this lab, using a sub-cohort within a larger prospective study in Caucasian West Australians, RBC folate but not serum folate was inversely associated with BC risk [n=569 women without cancer at first interview; adjusted HR per decreas</w:t>
      </w:r>
      <w:r w:rsidR="00AC6B0F">
        <w:rPr>
          <w:rFonts w:ascii="Times" w:hAnsi="Times" w:cs="Arial"/>
        </w:rPr>
        <w:t>e of 100</w:t>
      </w:r>
      <w:r w:rsidR="00AC6B0F" w:rsidRPr="004F2B88">
        <w:rPr>
          <w:rFonts w:ascii="Times" w:hAnsi="Times" w:cs="Arial"/>
        </w:rPr>
        <w:sym w:font="Symbol" w:char="F06D"/>
      </w:r>
      <w:r w:rsidR="00AC6B0F">
        <w:rPr>
          <w:rFonts w:ascii="Times" w:hAnsi="Times" w:cs="Arial"/>
        </w:rPr>
        <w:t xml:space="preserve">g/L 1.96 (95% CI, 1.22, </w:t>
      </w:r>
      <w:r w:rsidRPr="004F2B88">
        <w:rPr>
          <w:rFonts w:ascii="Times" w:hAnsi="Times" w:cs="Arial"/>
        </w:rPr>
        <w:t xml:space="preserve">3.12); </w:t>
      </w:r>
      <w:r w:rsidR="00B5154C">
        <w:rPr>
          <w:rFonts w:ascii="Times" w:hAnsi="Times" w:cs="Arial"/>
        </w:rPr>
        <w:t xml:space="preserve">p for </w:t>
      </w:r>
      <w:r w:rsidR="007736EB">
        <w:rPr>
          <w:rFonts w:ascii="Times" w:hAnsi="Times" w:cs="Arial"/>
        </w:rPr>
        <w:t xml:space="preserve">trend </w:t>
      </w:r>
      <w:r w:rsidRPr="004F2B88">
        <w:rPr>
          <w:rFonts w:ascii="Times" w:hAnsi="Times" w:cs="Arial"/>
        </w:rPr>
        <w:t>&lt;</w:t>
      </w:r>
      <w:r w:rsidR="0072243E">
        <w:rPr>
          <w:rFonts w:ascii="Times" w:hAnsi="Times" w:cs="Arial"/>
        </w:rPr>
        <w:t xml:space="preserve"> </w:t>
      </w:r>
      <w:r w:rsidRPr="004F2B88">
        <w:rPr>
          <w:rFonts w:ascii="Times" w:hAnsi="Times" w:cs="Arial"/>
        </w:rPr>
        <w:t>.01]. (Rossi et al.</w:t>
      </w:r>
      <w:r w:rsidR="003C1705">
        <w:rPr>
          <w:rFonts w:ascii="Times" w:hAnsi="Times" w:cs="Arial"/>
        </w:rPr>
        <w:t>,</w:t>
      </w:r>
      <w:r w:rsidRPr="004F2B88">
        <w:rPr>
          <w:rFonts w:ascii="Times" w:hAnsi="Times" w:cs="Arial"/>
        </w:rPr>
        <w:t xml:space="preserve"> 2006). The trend for serum folate was similar but did not reach significance (p = 0.17). Participants in the lowest folate category (&lt;200</w:t>
      </w:r>
      <w:r w:rsidRPr="004F2B88">
        <w:rPr>
          <w:rFonts w:ascii="Times" w:hAnsi="Times" w:cs="Arial"/>
        </w:rPr>
        <w:sym w:font="Symbol" w:char="F06D"/>
      </w:r>
      <w:r w:rsidRPr="004F2B88">
        <w:rPr>
          <w:rFonts w:ascii="Times" w:hAnsi="Times" w:cs="Arial"/>
        </w:rPr>
        <w:t>g/L) had an adj</w:t>
      </w:r>
      <w:r w:rsidR="00AC6B0F">
        <w:rPr>
          <w:rFonts w:ascii="Times" w:hAnsi="Times" w:cs="Arial"/>
        </w:rPr>
        <w:t xml:space="preserve">usted HR of 6.46 (95% CI, 1.19, </w:t>
      </w:r>
      <w:r w:rsidRPr="004F2B88">
        <w:rPr>
          <w:rFonts w:ascii="Times" w:hAnsi="Times" w:cs="Arial"/>
        </w:rPr>
        <w:t>35.07) for a subsequent cancer event. With a total of only 19 BC events in this sub-cohort, statistical power to assess the relation between folate levels and site-specific cancer instance was greatly diminished, compared to the original cohort, and caution should be exercised when interpreting the results of this study.</w:t>
      </w:r>
      <w:r w:rsidRPr="003156A6">
        <w:rPr>
          <w:rFonts w:ascii="Times" w:hAnsi="Times" w:cs="Arial"/>
        </w:rPr>
        <w:t xml:space="preserve"> </w:t>
      </w:r>
    </w:p>
    <w:p w14:paraId="6B70DC62" w14:textId="1FB42359" w:rsidR="003156A6" w:rsidRPr="004F2B88" w:rsidRDefault="003156A6" w:rsidP="003156A6">
      <w:pPr>
        <w:spacing w:line="480" w:lineRule="auto"/>
        <w:ind w:firstLine="720"/>
        <w:jc w:val="both"/>
        <w:rPr>
          <w:rFonts w:ascii="Times" w:hAnsi="Times" w:cs="Arial"/>
        </w:rPr>
      </w:pPr>
      <w:r w:rsidRPr="004F2B88">
        <w:rPr>
          <w:rFonts w:ascii="Times" w:hAnsi="Times" w:cs="Arial"/>
        </w:rPr>
        <w:t xml:space="preserve">In the remaining study which reached significance within the Li et al. meta-analysis, a nested case control using the Women’s Health Study cohort, plasma folate levels were positively associated with premenopausal BC but not postmenopausal BC [RR 1.42 </w:t>
      </w:r>
      <w:r w:rsidRPr="004F2B88">
        <w:rPr>
          <w:rFonts w:ascii="Times" w:hAnsi="Times" w:cs="Arial"/>
        </w:rPr>
        <w:lastRenderedPageBreak/>
        <w:t xml:space="preserve">(95% </w:t>
      </w:r>
      <w:r w:rsidR="00AC6B0F">
        <w:rPr>
          <w:rFonts w:ascii="Times" w:hAnsi="Times" w:cs="Arial"/>
        </w:rPr>
        <w:t>CI,</w:t>
      </w:r>
      <w:r w:rsidRPr="004F2B88">
        <w:rPr>
          <w:rFonts w:ascii="Times" w:hAnsi="Times" w:cs="Arial"/>
        </w:rPr>
        <w:t xml:space="preserve"> 1.00, 2</w:t>
      </w:r>
      <w:r w:rsidR="00AC6B0F">
        <w:rPr>
          <w:rFonts w:ascii="Times" w:hAnsi="Times" w:cs="Arial"/>
        </w:rPr>
        <w:t>.02) for plasma fola</w:t>
      </w:r>
      <w:r w:rsidR="00B5154C">
        <w:rPr>
          <w:rFonts w:ascii="Times" w:hAnsi="Times" w:cs="Arial"/>
        </w:rPr>
        <w:t xml:space="preserve">te, p for </w:t>
      </w:r>
      <w:r w:rsidR="00AC6B0F">
        <w:rPr>
          <w:rFonts w:ascii="Times" w:hAnsi="Times" w:cs="Arial"/>
        </w:rPr>
        <w:t>trend</w:t>
      </w:r>
      <w:r w:rsidR="00B5154C">
        <w:rPr>
          <w:rFonts w:ascii="Times" w:hAnsi="Times" w:cs="Arial"/>
        </w:rPr>
        <w:t xml:space="preserve"> = </w:t>
      </w:r>
      <w:r w:rsidRPr="004F2B88">
        <w:rPr>
          <w:rFonts w:ascii="Times" w:hAnsi="Times" w:cs="Arial"/>
        </w:rPr>
        <w:t>.04 (adj. for BMI)]. (Lin et al.</w:t>
      </w:r>
      <w:r w:rsidR="00F044E6">
        <w:rPr>
          <w:rFonts w:ascii="Times" w:hAnsi="Times" w:cs="Arial"/>
        </w:rPr>
        <w:t>,</w:t>
      </w:r>
      <w:r w:rsidR="00533012">
        <w:rPr>
          <w:rFonts w:ascii="Times" w:hAnsi="Times" w:cs="Arial"/>
        </w:rPr>
        <w:t xml:space="preserve"> 2008)</w:t>
      </w:r>
      <w:r w:rsidRPr="004F2B88">
        <w:rPr>
          <w:rFonts w:ascii="Times" w:hAnsi="Times" w:cs="Arial"/>
        </w:rPr>
        <w:t xml:space="preserve"> As described by authors of this study, additional research is needed for to explore these unexpected results. </w:t>
      </w:r>
    </w:p>
    <w:p w14:paraId="14D2EC64" w14:textId="0747451D" w:rsidR="00C606C5" w:rsidRPr="00865994" w:rsidRDefault="003156A6" w:rsidP="00865994">
      <w:pPr>
        <w:spacing w:line="480" w:lineRule="auto"/>
        <w:ind w:firstLine="720"/>
        <w:jc w:val="both"/>
        <w:rPr>
          <w:rFonts w:ascii="Times" w:hAnsi="Times" w:cs="Arial"/>
        </w:rPr>
      </w:pPr>
      <w:r w:rsidRPr="004F2B88">
        <w:rPr>
          <w:rFonts w:ascii="Times" w:hAnsi="Times" w:cs="Arial"/>
        </w:rPr>
        <w:t>In conclusion, though studies from the past five years may not show consistent associations between folate status and the risk of BC, different methods of folate status assessment, menopausal status, and obese state may be the significant contributors to this lack of consensus. In FFQ results, most studies do not describe a significant pattern. Results using</w:t>
      </w:r>
      <w:r>
        <w:rPr>
          <w:rFonts w:ascii="Times" w:hAnsi="Times" w:cs="Arial"/>
        </w:rPr>
        <w:t xml:space="preserve"> </w:t>
      </w:r>
      <w:r w:rsidRPr="004F2B88">
        <w:rPr>
          <w:rFonts w:ascii="Times" w:hAnsi="Times" w:cs="Arial"/>
        </w:rPr>
        <w:t>biomarkers of folate status are mixed, as well. Going further, studies must account for menopausal status as well as bodyweight in order to delineate how these factors interact to influence the development of BC or BC-related mortality</w:t>
      </w:r>
      <w:r w:rsidR="00FC6F19">
        <w:rPr>
          <w:rFonts w:ascii="Times" w:hAnsi="Times" w:cs="Arial"/>
        </w:rPr>
        <w:t>.</w:t>
      </w:r>
    </w:p>
    <w:p w14:paraId="3A3E9F24" w14:textId="77777777" w:rsidR="00C606C5" w:rsidRDefault="00C606C5" w:rsidP="00C606C5"/>
    <w:p w14:paraId="3C7E7275" w14:textId="269C34B2" w:rsidR="00C606C5" w:rsidRDefault="00DF4749" w:rsidP="00C01D9F">
      <w:pPr>
        <w:pStyle w:val="Heading2"/>
      </w:pPr>
      <w:bookmarkStart w:id="12" w:name="_Toc510174016"/>
      <w:r>
        <w:t xml:space="preserve">2.5 </w:t>
      </w:r>
      <w:r w:rsidR="00C606C5">
        <w:t>Folate and Methylation</w:t>
      </w:r>
      <w:bookmarkEnd w:id="12"/>
    </w:p>
    <w:p w14:paraId="35A71047" w14:textId="7C27D541" w:rsidR="00A9480E" w:rsidRPr="004F2B88" w:rsidRDefault="00A9480E" w:rsidP="00A9480E">
      <w:pPr>
        <w:spacing w:line="480" w:lineRule="auto"/>
        <w:ind w:firstLine="720"/>
        <w:jc w:val="both"/>
        <w:rPr>
          <w:rFonts w:ascii="Times" w:hAnsi="Times" w:cs="Arial"/>
        </w:rPr>
      </w:pPr>
      <w:r w:rsidRPr="004F2B88">
        <w:rPr>
          <w:rFonts w:ascii="Times" w:hAnsi="Times" w:cs="Arial"/>
        </w:rPr>
        <w:t>Folate serves as both donor and acceptor of methyl groups in many one-carbon metabolism reactions, including DNA methylation. As a one-carbon donor deficiency will alter the rate of DNA methylation, fluctuations in folate levels disturb the maintenance of DNA methylation following replication. The deleterious effects of low folate on DNA methylation have been observed in numerous cancer cell models, though the effect and rage of impact of this depletion varies among cancer cell type. (</w:t>
      </w:r>
      <w:proofErr w:type="spellStart"/>
      <w:r w:rsidRPr="004F2B88">
        <w:rPr>
          <w:rFonts w:ascii="Times" w:hAnsi="Times" w:cs="Arial"/>
        </w:rPr>
        <w:t>Jin</w:t>
      </w:r>
      <w:proofErr w:type="spellEnd"/>
      <w:r w:rsidRPr="004F2B88">
        <w:rPr>
          <w:rFonts w:ascii="Times" w:hAnsi="Times" w:cs="Arial"/>
        </w:rPr>
        <w:t xml:space="preserve"> et al., 2009)</w:t>
      </w:r>
    </w:p>
    <w:p w14:paraId="60DBC9B9" w14:textId="2D9A1D84" w:rsidR="00C606C5" w:rsidRPr="00865994" w:rsidRDefault="00A9480E" w:rsidP="00865994">
      <w:pPr>
        <w:spacing w:line="480" w:lineRule="auto"/>
        <w:jc w:val="both"/>
        <w:rPr>
          <w:rFonts w:ascii="Times" w:hAnsi="Times" w:cs="Arial"/>
        </w:rPr>
      </w:pPr>
      <w:r w:rsidRPr="004F2B88">
        <w:rPr>
          <w:rFonts w:ascii="Times" w:hAnsi="Times" w:cs="Arial"/>
        </w:rPr>
        <w:t xml:space="preserve">Indeed, </w:t>
      </w:r>
      <w:r w:rsidRPr="004F2B88">
        <w:rPr>
          <w:rFonts w:ascii="Times" w:hAnsi="Times" w:cs="Arial"/>
          <w:i/>
        </w:rPr>
        <w:t>in vitro</w:t>
      </w:r>
      <w:r w:rsidRPr="004F2B88">
        <w:rPr>
          <w:rFonts w:ascii="Times" w:hAnsi="Times" w:cs="Arial"/>
        </w:rPr>
        <w:t xml:space="preserve"> studies have shown folic acid elicits changes in both the transcriptome and methylome of BC lines, though findings supporting the latter are varied. In an </w:t>
      </w:r>
      <w:r w:rsidRPr="004F2B88">
        <w:rPr>
          <w:rFonts w:ascii="Times" w:hAnsi="Times" w:cs="Arial"/>
          <w:i/>
        </w:rPr>
        <w:t>in vitro</w:t>
      </w:r>
      <w:r w:rsidRPr="004F2B88">
        <w:rPr>
          <w:rFonts w:ascii="Times" w:hAnsi="Times" w:cs="Arial"/>
        </w:rPr>
        <w:t xml:space="preserve"> study by Price et al. using 1mg/d of folic acid supplementation, levels of folic acid in excess of normal recommended dietary intake leve</w:t>
      </w:r>
      <w:r w:rsidR="00EA2924">
        <w:rPr>
          <w:rFonts w:ascii="Times" w:hAnsi="Times" w:cs="Arial"/>
        </w:rPr>
        <w:t>ls (1mg/d versus the RDA of 400</w:t>
      </w:r>
      <w:r w:rsidR="00EA2924" w:rsidRPr="004F2B88">
        <w:rPr>
          <w:rFonts w:ascii="Times" w:hAnsi="Times" w:cs="Arial"/>
        </w:rPr>
        <w:sym w:font="Symbol" w:char="F06D"/>
      </w:r>
      <w:r w:rsidR="00EA2924">
        <w:rPr>
          <w:rFonts w:ascii="Times" w:hAnsi="Times" w:cs="Arial"/>
        </w:rPr>
        <w:t>g/d and 800</w:t>
      </w:r>
      <w:r w:rsidR="00EA2924" w:rsidRPr="004F2B88">
        <w:rPr>
          <w:rFonts w:ascii="Times" w:hAnsi="Times" w:cs="Arial"/>
        </w:rPr>
        <w:sym w:font="Symbol" w:char="F06D"/>
      </w:r>
      <w:r w:rsidRPr="004F2B88">
        <w:rPr>
          <w:rFonts w:ascii="Times" w:hAnsi="Times" w:cs="Arial"/>
        </w:rPr>
        <w:t xml:space="preserve">g/d for women of child-bearing age), on both normal and BC cell lines showed no variation between methylation of CpG sites on two breast-cancer related genes, BRCA1 </w:t>
      </w:r>
      <w:r w:rsidRPr="004F2B88">
        <w:rPr>
          <w:rFonts w:ascii="Times" w:hAnsi="Times" w:cs="Arial"/>
        </w:rPr>
        <w:lastRenderedPageBreak/>
        <w:t xml:space="preserve">and BRCA2. (Price, </w:t>
      </w:r>
      <w:proofErr w:type="spellStart"/>
      <w:r w:rsidRPr="004F2B88">
        <w:rPr>
          <w:rFonts w:ascii="Times" w:hAnsi="Times" w:cs="Arial"/>
        </w:rPr>
        <w:t>Lillycrop</w:t>
      </w:r>
      <w:proofErr w:type="spellEnd"/>
      <w:r w:rsidRPr="004F2B88">
        <w:rPr>
          <w:rFonts w:ascii="Times" w:hAnsi="Times" w:cs="Arial"/>
        </w:rPr>
        <w:t xml:space="preserve">, &amp; </w:t>
      </w:r>
      <w:proofErr w:type="spellStart"/>
      <w:r w:rsidRPr="004F2B88">
        <w:rPr>
          <w:rFonts w:ascii="Times" w:hAnsi="Times" w:cs="Arial"/>
        </w:rPr>
        <w:t>Burdge</w:t>
      </w:r>
      <w:proofErr w:type="spellEnd"/>
      <w:r w:rsidRPr="004F2B88">
        <w:rPr>
          <w:rFonts w:ascii="Times" w:hAnsi="Times" w:cs="Arial"/>
        </w:rPr>
        <w:t xml:space="preserve">, 2015) In a more recent cell culture study by the same authors on both non-transformed and cancerous BC models, physiological concentrations of folic acid (100nm/l of folic acid) were shown to affect regulation of genes associated with apoptosis, senescence and cell proliferation. (Price 2016). Again, no affect was found on BRCA1 or BRCA2 DNA methylation by breast cell line in this study. </w:t>
      </w:r>
      <w:r>
        <w:rPr>
          <w:rFonts w:ascii="Times" w:hAnsi="Times" w:cs="Arial"/>
        </w:rPr>
        <w:t xml:space="preserve"> </w:t>
      </w:r>
    </w:p>
    <w:p w14:paraId="6508C1CE" w14:textId="77777777" w:rsidR="00C606C5" w:rsidRDefault="00C606C5" w:rsidP="00C606C5"/>
    <w:p w14:paraId="4383BF30" w14:textId="7A077FC9" w:rsidR="00C606C5" w:rsidRDefault="00DF4749" w:rsidP="00C01D9F">
      <w:pPr>
        <w:pStyle w:val="Heading2"/>
      </w:pPr>
      <w:bookmarkStart w:id="13" w:name="_Toc510174017"/>
      <w:r>
        <w:t xml:space="preserve">2.6 </w:t>
      </w:r>
      <w:r w:rsidR="00C606C5">
        <w:t>Obesity, Folate Status,</w:t>
      </w:r>
      <w:r w:rsidR="005A3A71">
        <w:t xml:space="preserve"> </w:t>
      </w:r>
      <w:r w:rsidR="00C606C5">
        <w:t>Methylation and Cancer</w:t>
      </w:r>
      <w:bookmarkEnd w:id="13"/>
    </w:p>
    <w:p w14:paraId="41F4535A" w14:textId="01C6F4D1" w:rsidR="00A9480E" w:rsidRPr="004F2B88" w:rsidRDefault="00A9480E" w:rsidP="00865994">
      <w:pPr>
        <w:spacing w:line="480" w:lineRule="auto"/>
        <w:ind w:firstLine="720"/>
        <w:jc w:val="both"/>
        <w:rPr>
          <w:rFonts w:ascii="Times" w:hAnsi="Times" w:cs="Arial"/>
        </w:rPr>
      </w:pPr>
      <w:r w:rsidRPr="004F2B88">
        <w:rPr>
          <w:rFonts w:ascii="Times" w:hAnsi="Times" w:cs="Arial"/>
        </w:rPr>
        <w:t xml:space="preserve">Folate serves as a methyl donor for adequate DNA methylation and folate levels are sensitive to weight status. Epigenetic responses to folate status have been shown to be bodyweight dependent. DNA methylation patterns differ between metabolic states, and fluctuations throughout the lifespan of both folate status and BMI elicit modifiable changes in the epigenome. (Meeks et al., 2017)  </w:t>
      </w:r>
    </w:p>
    <w:p w14:paraId="552E7358" w14:textId="77777777" w:rsidR="00A9480E" w:rsidRPr="004F2B88" w:rsidRDefault="00A9480E" w:rsidP="00865994">
      <w:pPr>
        <w:spacing w:line="480" w:lineRule="auto"/>
        <w:ind w:firstLine="720"/>
        <w:jc w:val="both"/>
        <w:rPr>
          <w:rFonts w:ascii="Times" w:hAnsi="Times" w:cs="Arial"/>
        </w:rPr>
      </w:pPr>
      <w:r w:rsidRPr="004F2B88">
        <w:rPr>
          <w:rFonts w:ascii="Times" w:hAnsi="Times" w:cs="Arial"/>
        </w:rPr>
        <w:t xml:space="preserve">Both folate levels and distribution can vary by bodyweight. In a study by Tinker et. al., BMI was inversely associated with serum folate concentrations. (Tinker et al., 2012) Using NHANES data, Bird et al. found that young overweight and obese women had lower serum folate and higher RBC folate levels when compared to either men or older women of the same weight categories. (Bird et al., 2015) Even after adjustment for intake, BMI has been shown to affect the distribution of folate from circulation into tissue. (da Silva et al., 2013) This redistribution may affect the availability of folate as a substrate for global and gene-specific methylation. </w:t>
      </w:r>
    </w:p>
    <w:p w14:paraId="2FAFFCD6" w14:textId="77777777" w:rsidR="00A9480E" w:rsidRDefault="00A9480E" w:rsidP="00A9480E">
      <w:pPr>
        <w:spacing w:line="480" w:lineRule="auto"/>
        <w:ind w:firstLine="720"/>
        <w:jc w:val="both"/>
        <w:rPr>
          <w:rFonts w:ascii="Times" w:hAnsi="Times" w:cs="Arial"/>
        </w:rPr>
      </w:pPr>
      <w:r w:rsidRPr="004F2B88">
        <w:rPr>
          <w:rFonts w:ascii="Times" w:hAnsi="Times" w:cs="Arial"/>
        </w:rPr>
        <w:t xml:space="preserve">Though many of the exact mechanisms underlying these associations have yet to be discovered, DNA methylation patterns in premenopausal overweight or obese women with BC are often significantly different from postmenopausal women with BC. Whether </w:t>
      </w:r>
      <w:r w:rsidRPr="004F2B88">
        <w:rPr>
          <w:rFonts w:ascii="Times" w:hAnsi="Times" w:cs="Arial"/>
        </w:rPr>
        <w:lastRenderedPageBreak/>
        <w:t>changes in DNA methylation in response to folate levels and bodyweight are deleterious or protective against risk may heavily depend on menopausal status or age.</w:t>
      </w:r>
      <w:r w:rsidRPr="00A9480E">
        <w:rPr>
          <w:rFonts w:ascii="Times" w:hAnsi="Times" w:cs="Arial"/>
        </w:rPr>
        <w:t xml:space="preserve"> </w:t>
      </w:r>
    </w:p>
    <w:p w14:paraId="195A26C9" w14:textId="77777777" w:rsidR="00A9480E" w:rsidRPr="004F2B88" w:rsidRDefault="00A9480E" w:rsidP="00865994">
      <w:pPr>
        <w:spacing w:line="480" w:lineRule="auto"/>
        <w:ind w:firstLine="720"/>
        <w:jc w:val="both"/>
        <w:rPr>
          <w:rFonts w:ascii="Times" w:hAnsi="Times" w:cs="Arial"/>
        </w:rPr>
      </w:pPr>
      <w:r w:rsidRPr="004F2B88">
        <w:rPr>
          <w:rFonts w:ascii="Times" w:hAnsi="Times" w:cs="Arial"/>
        </w:rPr>
        <w:t>Differences between serum and RBC folate concentrations as well as epigenetic responses to folate interventions provide evidence in support of the significant effect of menopausal status and cancer risk. Many of the existing studies on folate status, bodyweight and premenopausal women have focused on the effects of folic acid supplementation against baseline serum or RBC folate levels. Within women of child-bearing age, folic acid</w:t>
      </w:r>
      <w:r>
        <w:t xml:space="preserve"> </w:t>
      </w:r>
      <w:r w:rsidRPr="004F2B88">
        <w:rPr>
          <w:rFonts w:ascii="Times" w:hAnsi="Times" w:cs="Arial"/>
        </w:rPr>
        <w:t>supplementation has been shown to elicit different effects on methylation levels of folate metabolism-associated genes, dependent on weight status. Response to folic acid supplementation has been shown to be lower in healthy obese compared to healthy normal weight premenopausal women. (Da Silva et al., 2013) In obese women both before and after intervention with supplementation, open seas CpG sites of cancer-related genes in obese women were more likely to have higher degrees of change in response to folic acid supplementation, despite overall lower levels of serum folate. (Yong</w:t>
      </w:r>
      <w:r w:rsidRPr="004F2B88">
        <w:rPr>
          <w:rFonts w:ascii="Cambria Math" w:hAnsi="Cambria Math" w:cs="Cambria Math"/>
        </w:rPr>
        <w:t>‐</w:t>
      </w:r>
      <w:r w:rsidRPr="004F2B88">
        <w:rPr>
          <w:rFonts w:ascii="Times" w:hAnsi="Times" w:cs="Arial"/>
        </w:rPr>
        <w:t>Moon et al., 2017)</w:t>
      </w:r>
    </w:p>
    <w:p w14:paraId="58EC07F6" w14:textId="7B9D96FE" w:rsidR="00A9480E" w:rsidRDefault="00A9480E" w:rsidP="00865994">
      <w:pPr>
        <w:spacing w:line="480" w:lineRule="auto"/>
        <w:ind w:firstLine="720"/>
        <w:jc w:val="both"/>
        <w:rPr>
          <w:rFonts w:ascii="Times" w:hAnsi="Times" w:cs="Arial"/>
        </w:rPr>
      </w:pPr>
      <w:r w:rsidRPr="004F2B88">
        <w:rPr>
          <w:rFonts w:ascii="Times" w:hAnsi="Times" w:cs="Arial"/>
        </w:rPr>
        <w:t>Results from the few investigations on BMI, folate, methylation, menopausal status and differences in BC risk have been mixed. A possible explanation for these mixed results is that the relationship between these factors may be contingent on age, area of fat disposition, and metabolic activity of adipose. Localized inflammation often precedes the development of BC, and obesity-related low-grade inflammation increases with age. (</w:t>
      </w:r>
      <w:proofErr w:type="spellStart"/>
      <w:r w:rsidRPr="004F2B88">
        <w:rPr>
          <w:rFonts w:ascii="Times" w:hAnsi="Times" w:cs="Arial"/>
        </w:rPr>
        <w:t>Frasca</w:t>
      </w:r>
      <w:proofErr w:type="spellEnd"/>
      <w:r w:rsidR="00B5154C">
        <w:rPr>
          <w:rFonts w:ascii="Times" w:hAnsi="Times" w:cs="Arial"/>
        </w:rPr>
        <w:t>,</w:t>
      </w:r>
      <w:r w:rsidRPr="004F2B88">
        <w:rPr>
          <w:rFonts w:ascii="Times" w:hAnsi="Times" w:cs="Arial"/>
        </w:rPr>
        <w:t xml:space="preserve"> 2017) A state of subclinical inflammation has been documented in the breast adipose of healthy, postmenopausal women with normal BMI as opposed to premenopausal women. It is speculated that obesity-associated metabolic or inflammatory </w:t>
      </w:r>
      <w:r w:rsidRPr="004F2B88">
        <w:rPr>
          <w:rFonts w:ascii="Times" w:hAnsi="Times" w:cs="Arial"/>
        </w:rPr>
        <w:lastRenderedPageBreak/>
        <w:t>effects, such as increased Cytochrome P450 expression, may alter serum folate oxidation products and degradation rates, leading to changes in DNA methylation. (De la Rocha et al., 2016) Thus, age may play an inflammation-associated role in weight and methylation-related BC risk</w:t>
      </w:r>
    </w:p>
    <w:p w14:paraId="2E36591C" w14:textId="2426755A" w:rsidR="00184108" w:rsidRPr="005E6E14" w:rsidRDefault="00A9480E" w:rsidP="005E6E14">
      <w:pPr>
        <w:spacing w:line="480" w:lineRule="auto"/>
        <w:ind w:firstLine="720"/>
        <w:jc w:val="both"/>
        <w:rPr>
          <w:rFonts w:ascii="Times" w:hAnsi="Times" w:cs="Arial"/>
        </w:rPr>
      </w:pPr>
      <w:r w:rsidRPr="004F2B88">
        <w:rPr>
          <w:rFonts w:ascii="Times" w:hAnsi="Times" w:cs="Arial"/>
        </w:rPr>
        <w:t xml:space="preserve">Changes in epigenomic patterns are tissue-specific. </w:t>
      </w:r>
      <w:r w:rsidR="00FF73B9" w:rsidRPr="004F2B88">
        <w:rPr>
          <w:rFonts w:ascii="Times" w:hAnsi="Times" w:cs="Arial"/>
        </w:rPr>
        <w:t>Consequently</w:t>
      </w:r>
      <w:r w:rsidRPr="004F2B88">
        <w:rPr>
          <w:rFonts w:ascii="Times" w:hAnsi="Times" w:cs="Arial"/>
        </w:rPr>
        <w:t>, the method of folate assessment may also play a role in the varying results from the few investigations on BMI, folate, methylation, menopausal status and differences in BC risk. DNA methylation is highly associated with BMI when measured in adipose tissue, as opposed to blood, though the methylation patterns of women with a high BMI are more similar to patterns measured in</w:t>
      </w:r>
      <w:r w:rsidRPr="00A9480E">
        <w:rPr>
          <w:rFonts w:ascii="Times" w:hAnsi="Times" w:cs="Arial"/>
        </w:rPr>
        <w:t xml:space="preserve"> </w:t>
      </w:r>
      <w:r w:rsidRPr="004F2B88">
        <w:rPr>
          <w:rFonts w:ascii="Times" w:hAnsi="Times" w:cs="Arial"/>
        </w:rPr>
        <w:t xml:space="preserve">peripheral tissues such as blood. (T. Huang et al., 2016) Results from studies assessing folate status and DNA methylation by bodyweight may be affected by measurement assessments; serum, RBC or whole blood DNA methylation profiles may show lower correlation with bodyweight status versus tissue-specific measurements of folate and DNA methylation patterns.  </w:t>
      </w:r>
    </w:p>
    <w:p w14:paraId="065F66CD" w14:textId="77777777" w:rsidR="005E6E14" w:rsidRDefault="005E6E14" w:rsidP="00B30825">
      <w:pPr>
        <w:suppressAutoHyphens w:val="0"/>
      </w:pPr>
    </w:p>
    <w:p w14:paraId="32537406" w14:textId="697D48D1" w:rsidR="00B30825" w:rsidRPr="00B30825" w:rsidRDefault="00C259E6" w:rsidP="00B30825">
      <w:pPr>
        <w:suppressAutoHyphens w:val="0"/>
      </w:pPr>
      <w:r>
        <w:br w:type="page"/>
      </w:r>
    </w:p>
    <w:p w14:paraId="0A099134" w14:textId="77777777" w:rsidR="005E6E14" w:rsidRDefault="005E6E14" w:rsidP="00C01D9F">
      <w:pPr>
        <w:pStyle w:val="Heading1"/>
      </w:pPr>
    </w:p>
    <w:p w14:paraId="218FD613" w14:textId="084F71BD" w:rsidR="00C01D9F" w:rsidRDefault="00C01D9F" w:rsidP="00C01D9F">
      <w:pPr>
        <w:pStyle w:val="Heading1"/>
      </w:pPr>
      <w:bookmarkStart w:id="14" w:name="_Toc510174018"/>
      <w:r>
        <w:t xml:space="preserve">CHAPTER </w:t>
      </w:r>
      <w:r w:rsidR="00624F74">
        <w:t>3</w:t>
      </w:r>
      <w:r w:rsidR="006D39A0" w:rsidRPr="006D39A0">
        <w:t xml:space="preserve"> </w:t>
      </w:r>
    </w:p>
    <w:p w14:paraId="5B20E87C" w14:textId="386069E0" w:rsidR="00F32AE4" w:rsidRDefault="006D39A0" w:rsidP="00C01D9F">
      <w:pPr>
        <w:pStyle w:val="Heading1"/>
      </w:pPr>
      <w:r w:rsidRPr="006D39A0">
        <w:t>HYPOTHESIS AND SPECIFIC AIMS</w:t>
      </w:r>
      <w:bookmarkEnd w:id="14"/>
    </w:p>
    <w:p w14:paraId="05938A0A" w14:textId="1D5AA11E" w:rsidR="006D39A0" w:rsidRPr="006D39A0" w:rsidRDefault="006D39A0" w:rsidP="00C01D9F">
      <w:pPr>
        <w:pStyle w:val="Heading1"/>
      </w:pPr>
    </w:p>
    <w:p w14:paraId="0BE17CFE" w14:textId="003AEE37" w:rsidR="00777A38" w:rsidRDefault="00777A38" w:rsidP="00F32AE4">
      <w:pPr>
        <w:spacing w:line="480" w:lineRule="auto"/>
        <w:jc w:val="both"/>
      </w:pPr>
      <w:r w:rsidRPr="004F2B88">
        <w:rPr>
          <w:rFonts w:ascii="Times" w:eastAsia="Times" w:hAnsi="Times" w:cs="Arial"/>
        </w:rPr>
        <w:t xml:space="preserve">Obesity has increased with an alarming rate in the United States, and a further increase, from the current 1/3 of the US population to ~50% by 2030, is projected. Mounting epidemiological evidence suggests that overweight and obesity is a robust risk factor of many types of cancers. However, the </w:t>
      </w:r>
      <w:r w:rsidR="00121E1F">
        <w:rPr>
          <w:rFonts w:ascii="Times" w:eastAsia="Times" w:hAnsi="Times" w:cs="Arial"/>
        </w:rPr>
        <w:t xml:space="preserve">connection </w:t>
      </w:r>
      <w:r w:rsidRPr="004F2B88">
        <w:rPr>
          <w:rFonts w:ascii="Times" w:eastAsia="Times" w:hAnsi="Times" w:cs="Arial"/>
        </w:rPr>
        <w:t xml:space="preserve">between overweight and obesity and breast cancer is complex – a well-established positive association exists between obesity and </w:t>
      </w:r>
      <w:r w:rsidRPr="004F2B88">
        <w:rPr>
          <w:rFonts w:ascii="Times" w:hAnsi="Times" w:cs="Arial"/>
        </w:rPr>
        <w:t>postmenopausal BC, whereas a reverse association holds prior to menopause. A significant challenge for understanding the cellular and molecular mechanisms of action by body fatness is the apparent enhancement of risk for postmenopausal BC but a protective impact for premenopausal BC. A great number of studies have been conducted to understand the positive association between obesity and postmenopausal BC, and several mechanisms governing this association have been proposed and defined, including adipose tissue-driving circulating hormones (</w:t>
      </w:r>
      <w:r w:rsidRPr="004F2B88">
        <w:rPr>
          <w:rFonts w:ascii="Times" w:hAnsi="Times" w:cs="Arial"/>
          <w:i/>
        </w:rPr>
        <w:t>e.g.</w:t>
      </w:r>
      <w:r w:rsidRPr="004F2B88">
        <w:rPr>
          <w:rFonts w:ascii="Times" w:hAnsi="Times" w:cs="Arial"/>
        </w:rPr>
        <w:t xml:space="preserve"> IGF-1, estrogens) and obesity-associated chronic low-grade inflammatory state. On the contrast, mechanistic studies to understand the negative association between obesity and premenopausal BC is extremely limited, and the pathways that inform this inverse relationship remain entirely un-delineated</w:t>
      </w:r>
      <w:r>
        <w:rPr>
          <w:rFonts w:ascii="Times" w:hAnsi="Times" w:cs="Arial"/>
        </w:rPr>
        <w:t>.</w:t>
      </w:r>
    </w:p>
    <w:p w14:paraId="54667A97" w14:textId="2EF358ED" w:rsidR="005246C8" w:rsidRPr="005246C8" w:rsidRDefault="005246C8" w:rsidP="005246C8"/>
    <w:p w14:paraId="4F2B141C" w14:textId="77777777" w:rsidR="00956D7D" w:rsidRDefault="00956D7D" w:rsidP="00DF4749">
      <w:pPr>
        <w:widowControl w:val="0"/>
        <w:autoSpaceDE w:val="0"/>
        <w:autoSpaceDN w:val="0"/>
        <w:adjustRightInd w:val="0"/>
        <w:snapToGrid w:val="0"/>
        <w:spacing w:line="480" w:lineRule="auto"/>
        <w:ind w:firstLine="720"/>
        <w:jc w:val="both"/>
        <w:rPr>
          <w:rFonts w:ascii="Times" w:hAnsi="Times" w:cs="Arial"/>
        </w:rPr>
      </w:pPr>
      <w:r w:rsidRPr="004F2B88">
        <w:rPr>
          <w:rFonts w:ascii="Times" w:hAnsi="Times" w:cs="Arial"/>
        </w:rPr>
        <w:t xml:space="preserve">A recent publication from our laboratory using the National Health and Nutrition Examination Survey (NHANES) dataset demonstrated that despite lower dietary intake, overweight and obesity is associated with increased levels of RBC folate. This association particularly holds to be significant for premenopausal women. Based on this surprising </w:t>
      </w:r>
      <w:r w:rsidRPr="004F2B88">
        <w:rPr>
          <w:rFonts w:ascii="Times" w:hAnsi="Times" w:cs="Arial"/>
        </w:rPr>
        <w:lastRenderedPageBreak/>
        <w:t xml:space="preserve">observation, we conceived our </w:t>
      </w:r>
      <w:r w:rsidRPr="004F2B88">
        <w:rPr>
          <w:rFonts w:ascii="Times" w:hAnsi="Times" w:cs="Arial"/>
          <w:b/>
        </w:rPr>
        <w:t>hypothesis</w:t>
      </w:r>
      <w:r w:rsidRPr="004F2B88">
        <w:rPr>
          <w:rFonts w:ascii="Times" w:hAnsi="Times" w:cs="Arial"/>
        </w:rPr>
        <w:t>: obesity exerts its protective impact on premenopausal BC via altering folate metabolism and DNA methylation. To elucidate this potential mechanism, we propose the following specific aims:</w:t>
      </w:r>
    </w:p>
    <w:p w14:paraId="7C6117DB" w14:textId="0775D9A4" w:rsidR="00956D7D" w:rsidRPr="004F2B88" w:rsidRDefault="00956D7D" w:rsidP="00956D7D">
      <w:pPr>
        <w:widowControl w:val="0"/>
        <w:autoSpaceDE w:val="0"/>
        <w:autoSpaceDN w:val="0"/>
        <w:adjustRightInd w:val="0"/>
        <w:snapToGrid w:val="0"/>
        <w:spacing w:line="480" w:lineRule="auto"/>
        <w:jc w:val="both"/>
        <w:rPr>
          <w:rFonts w:ascii="Times" w:hAnsi="Times" w:cs="Arial"/>
        </w:rPr>
      </w:pPr>
      <w:r w:rsidRPr="00956D7D">
        <w:rPr>
          <w:rFonts w:ascii="Times" w:hAnsi="Times" w:cs="Arial"/>
          <w:b/>
          <w:i/>
        </w:rPr>
        <w:t xml:space="preserve"> </w:t>
      </w:r>
      <w:r w:rsidRPr="004F2B88">
        <w:rPr>
          <w:rFonts w:ascii="Times" w:hAnsi="Times" w:cs="Arial"/>
          <w:b/>
          <w:i/>
        </w:rPr>
        <w:t>Specific Aim #1:</w:t>
      </w:r>
      <w:r w:rsidRPr="004F2B88">
        <w:rPr>
          <w:rFonts w:ascii="Times" w:hAnsi="Times" w:cs="Arial"/>
        </w:rPr>
        <w:t xml:space="preserve"> to determine to what extent obesity affects folate status in mammary tissue from cancer-free premenopausal women. </w:t>
      </w:r>
    </w:p>
    <w:p w14:paraId="33DD1FCD" w14:textId="77777777" w:rsidR="00956D7D" w:rsidRPr="004F2B88" w:rsidRDefault="00956D7D" w:rsidP="00956D7D">
      <w:pPr>
        <w:widowControl w:val="0"/>
        <w:autoSpaceDE w:val="0"/>
        <w:autoSpaceDN w:val="0"/>
        <w:adjustRightInd w:val="0"/>
        <w:snapToGrid w:val="0"/>
        <w:spacing w:line="480" w:lineRule="auto"/>
        <w:jc w:val="both"/>
        <w:rPr>
          <w:rFonts w:ascii="Times" w:hAnsi="Times" w:cs="Arial"/>
        </w:rPr>
      </w:pPr>
      <w:r w:rsidRPr="004F2B88">
        <w:rPr>
          <w:rFonts w:ascii="Times" w:hAnsi="Times" w:cs="Arial"/>
          <w:b/>
          <w:i/>
        </w:rPr>
        <w:t>Specific Aim #2:</w:t>
      </w:r>
      <w:r w:rsidRPr="004F2B88">
        <w:rPr>
          <w:rFonts w:ascii="Times" w:hAnsi="Times" w:cs="Arial"/>
        </w:rPr>
        <w:t xml:space="preserve"> to determine how obesity, via altering folate metabolism, influences mammary genome-wide and gene-specific methylation. </w:t>
      </w:r>
    </w:p>
    <w:p w14:paraId="15D5643C" w14:textId="367301FA" w:rsidR="00C01D9F" w:rsidRDefault="00650315" w:rsidP="00C01D9F">
      <w:pPr>
        <w:suppressAutoHyphens w:val="0"/>
        <w:spacing w:line="480" w:lineRule="auto"/>
        <w:jc w:val="center"/>
      </w:pPr>
      <w:r>
        <w:br w:type="page"/>
      </w:r>
      <w:bookmarkStart w:id="15" w:name="_Toc510174019"/>
      <w:r w:rsidR="00C01D9F">
        <w:lastRenderedPageBreak/>
        <w:t>CHAPTER 4</w:t>
      </w:r>
    </w:p>
    <w:p w14:paraId="1DEA6EF1" w14:textId="48EF54E6" w:rsidR="008C547F" w:rsidRPr="008C547F" w:rsidRDefault="00E3717C" w:rsidP="00C01D9F">
      <w:pPr>
        <w:suppressAutoHyphens w:val="0"/>
        <w:spacing w:line="480" w:lineRule="auto"/>
        <w:jc w:val="center"/>
      </w:pPr>
      <w:r w:rsidRPr="00915DD9">
        <w:t>METHODS</w:t>
      </w:r>
      <w:bookmarkEnd w:id="15"/>
    </w:p>
    <w:p w14:paraId="782C0041" w14:textId="77777777" w:rsidR="004D74EE" w:rsidRPr="004D74EE" w:rsidRDefault="004D74EE" w:rsidP="004D74EE"/>
    <w:p w14:paraId="716AA74D" w14:textId="55CB71E4" w:rsidR="007B66EC" w:rsidRDefault="00DF4749" w:rsidP="00C01D9F">
      <w:pPr>
        <w:pStyle w:val="Heading2"/>
      </w:pPr>
      <w:bookmarkStart w:id="16" w:name="_Toc510174020"/>
      <w:r>
        <w:t xml:space="preserve">4.1 </w:t>
      </w:r>
      <w:r w:rsidR="007B66EC">
        <w:t>Participants</w:t>
      </w:r>
      <w:bookmarkEnd w:id="16"/>
    </w:p>
    <w:p w14:paraId="192BEFC3" w14:textId="5BE12311" w:rsidR="00EC7258" w:rsidRDefault="00956D7D" w:rsidP="00EC7258">
      <w:pPr>
        <w:spacing w:line="480" w:lineRule="auto"/>
        <w:jc w:val="both"/>
        <w:rPr>
          <w:rFonts w:ascii="Times" w:hAnsi="Times" w:cs="Arial"/>
        </w:rPr>
      </w:pPr>
      <w:r w:rsidRPr="004F2B88">
        <w:rPr>
          <w:rFonts w:ascii="Times" w:hAnsi="Times" w:cs="Arial"/>
        </w:rPr>
        <w:t>Histologically normal breast biopsy samples were collected from 51 premenopausal women who underwent elective mastectomies at Baystate Medical Center in Springfield, Massachusetts. Data on parity, age and BMI status was included. Participants signed an authorization for release of medical information upon donation of tissue samples. Samples were stored in -80</w:t>
      </w:r>
      <w:r w:rsidRPr="004F2B88">
        <w:rPr>
          <w:rFonts w:ascii="Times" w:hAnsi="Times" w:cs="Arial"/>
        </w:rPr>
        <w:sym w:font="Symbol" w:char="F0B0"/>
      </w:r>
      <w:r w:rsidRPr="004F2B88">
        <w:rPr>
          <w:rFonts w:ascii="Times" w:hAnsi="Times" w:cs="Arial"/>
        </w:rPr>
        <w:t xml:space="preserve">C until </w:t>
      </w:r>
      <w:r w:rsidR="001C3AE4">
        <w:rPr>
          <w:rFonts w:ascii="Times" w:hAnsi="Times" w:cs="Arial"/>
        </w:rPr>
        <w:t>use.</w:t>
      </w:r>
    </w:p>
    <w:p w14:paraId="670B319E" w14:textId="6E86A0FA" w:rsidR="00EC7258" w:rsidRDefault="00EC7258" w:rsidP="00EC7258">
      <w:pPr>
        <w:spacing w:line="480" w:lineRule="auto"/>
        <w:jc w:val="both"/>
        <w:rPr>
          <w:rFonts w:ascii="Times" w:hAnsi="Times" w:cs="Arial"/>
        </w:rPr>
      </w:pPr>
    </w:p>
    <w:p w14:paraId="37448CFA" w14:textId="3A3BDCA0" w:rsidR="00EC7258" w:rsidRDefault="00DF4749" w:rsidP="00C01D9F">
      <w:pPr>
        <w:pStyle w:val="Heading2"/>
      </w:pPr>
      <w:bookmarkStart w:id="17" w:name="_Toc510174021"/>
      <w:r>
        <w:t xml:space="preserve">4.2 </w:t>
      </w:r>
      <w:r w:rsidR="00EC7258">
        <w:t>Assays</w:t>
      </w:r>
      <w:bookmarkEnd w:id="17"/>
    </w:p>
    <w:p w14:paraId="258BC6DC" w14:textId="77777777" w:rsidR="003E406A" w:rsidRPr="003E406A" w:rsidRDefault="003E406A" w:rsidP="00C01D9F">
      <w:pPr>
        <w:pStyle w:val="Heading1"/>
      </w:pPr>
    </w:p>
    <w:p w14:paraId="3C1764A6" w14:textId="23CF0776" w:rsidR="007B66EC" w:rsidRDefault="00DF4749" w:rsidP="00C01D9F">
      <w:pPr>
        <w:pStyle w:val="Heading3"/>
      </w:pPr>
      <w:bookmarkStart w:id="18" w:name="_Toc510174022"/>
      <w:r w:rsidRPr="00C01D9F">
        <w:t>4.2.1</w:t>
      </w:r>
      <w:r>
        <w:rPr>
          <w:i/>
        </w:rPr>
        <w:t xml:space="preserve"> </w:t>
      </w:r>
      <w:r w:rsidR="00AA368E" w:rsidRPr="00F044E6">
        <w:rPr>
          <w:i/>
        </w:rPr>
        <w:t>Lactobacillus casei</w:t>
      </w:r>
      <w:r w:rsidR="00F044E6">
        <w:t xml:space="preserve"> Microbiological Folate A</w:t>
      </w:r>
      <w:r w:rsidR="00AA368E">
        <w:t>ssay</w:t>
      </w:r>
      <w:bookmarkEnd w:id="18"/>
    </w:p>
    <w:p w14:paraId="101F6A01" w14:textId="1452698E" w:rsidR="001C3AE4" w:rsidRDefault="001C3AE4" w:rsidP="001C3AE4">
      <w:pPr>
        <w:spacing w:line="480" w:lineRule="auto"/>
        <w:ind w:firstLine="720"/>
        <w:jc w:val="both"/>
        <w:rPr>
          <w:rFonts w:ascii="Times" w:hAnsi="Times" w:cs="Arial"/>
        </w:rPr>
      </w:pPr>
      <w:r w:rsidRPr="004F2B88">
        <w:rPr>
          <w:rFonts w:ascii="Times" w:hAnsi="Times" w:cs="Arial"/>
        </w:rPr>
        <w:t xml:space="preserve">The </w:t>
      </w:r>
      <w:r w:rsidRPr="004F2B88">
        <w:rPr>
          <w:rFonts w:ascii="Times" w:hAnsi="Times" w:cs="Arial"/>
          <w:i/>
        </w:rPr>
        <w:t xml:space="preserve">Lactobacillus casei </w:t>
      </w:r>
      <w:r w:rsidRPr="004F2B88">
        <w:rPr>
          <w:rFonts w:ascii="Times" w:hAnsi="Times" w:cs="Arial"/>
        </w:rPr>
        <w:t xml:space="preserve">microbiological assay is considered the gold standard of folate assessment today due to its affordability, sensitivity and ability to detect various conjugate forms of folate that are representative of folates naturally occurring in biological samples. Folate is essential for growth in </w:t>
      </w:r>
      <w:r w:rsidRPr="00F044E6">
        <w:rPr>
          <w:rFonts w:ascii="Times" w:hAnsi="Times" w:cs="Arial"/>
          <w:i/>
        </w:rPr>
        <w:t>L.</w:t>
      </w:r>
      <w:r w:rsidRPr="004F2B88">
        <w:rPr>
          <w:rFonts w:ascii="Times" w:hAnsi="Times" w:cs="Arial"/>
        </w:rPr>
        <w:t xml:space="preserve"> </w:t>
      </w:r>
      <w:r w:rsidR="00B1457A">
        <w:rPr>
          <w:rFonts w:ascii="Times" w:hAnsi="Times" w:cs="Arial"/>
          <w:i/>
        </w:rPr>
        <w:t xml:space="preserve">casei (formally known as L. </w:t>
      </w:r>
      <w:proofErr w:type="spellStart"/>
      <w:r w:rsidR="00B1457A">
        <w:rPr>
          <w:rFonts w:ascii="Times" w:hAnsi="Times" w:cs="Arial"/>
          <w:i/>
        </w:rPr>
        <w:t>rhamnosus</w:t>
      </w:r>
      <w:proofErr w:type="spellEnd"/>
      <w:r w:rsidR="00B1457A">
        <w:rPr>
          <w:rFonts w:ascii="Times" w:hAnsi="Times" w:cs="Arial"/>
          <w:i/>
        </w:rPr>
        <w:t>.</w:t>
      </w:r>
      <w:r w:rsidRPr="004F2B88">
        <w:rPr>
          <w:rFonts w:ascii="Times" w:hAnsi="Times" w:cs="Arial"/>
          <w:i/>
        </w:rPr>
        <w:t xml:space="preserve"> </w:t>
      </w:r>
      <w:proofErr w:type="gramStart"/>
      <w:r w:rsidR="00B117FA">
        <w:rPr>
          <w:rFonts w:ascii="Times" w:hAnsi="Times" w:cs="Arial"/>
        </w:rPr>
        <w:t>so</w:t>
      </w:r>
      <w:proofErr w:type="gramEnd"/>
      <w:r w:rsidRPr="004F2B88">
        <w:rPr>
          <w:rFonts w:ascii="Times" w:hAnsi="Times" w:cs="Arial"/>
        </w:rPr>
        <w:t xml:space="preserve"> </w:t>
      </w:r>
      <w:r w:rsidR="00B1457A">
        <w:rPr>
          <w:rFonts w:ascii="Times" w:hAnsi="Times" w:cs="Arial"/>
        </w:rPr>
        <w:t xml:space="preserve">as such, </w:t>
      </w:r>
      <w:r w:rsidRPr="004F2B88">
        <w:rPr>
          <w:rFonts w:ascii="Times" w:hAnsi="Times" w:cs="Arial"/>
        </w:rPr>
        <w:t xml:space="preserve">relative concentrations of folate from tissue or serum samples available for microbial uptake can be estimated by comparison to the amount uptake of a known concentration of folic acid. The limit of detection (LOD) for folate forms using the </w:t>
      </w:r>
      <w:r w:rsidRPr="00F044E6">
        <w:rPr>
          <w:rFonts w:ascii="Times" w:hAnsi="Times" w:cs="Arial"/>
          <w:i/>
        </w:rPr>
        <w:t>L.</w:t>
      </w:r>
      <w:r w:rsidRPr="004F2B88">
        <w:rPr>
          <w:rFonts w:ascii="Times" w:hAnsi="Times" w:cs="Arial"/>
        </w:rPr>
        <w:t xml:space="preserve"> </w:t>
      </w:r>
      <w:r w:rsidRPr="004F2B88">
        <w:rPr>
          <w:rFonts w:ascii="Times" w:hAnsi="Times" w:cs="Arial"/>
          <w:i/>
        </w:rPr>
        <w:t>casei</w:t>
      </w:r>
      <w:r w:rsidRPr="004F2B88">
        <w:rPr>
          <w:rFonts w:ascii="Times" w:hAnsi="Times" w:cs="Arial"/>
        </w:rPr>
        <w:t xml:space="preserve"> assay is very low (&gt;50 picomoles), making it suitable to detect relatively small concentrations of total folate, such as concentrations from breast tissue biopsy samples. </w:t>
      </w:r>
    </w:p>
    <w:p w14:paraId="28B86FDE" w14:textId="46A85A56" w:rsidR="00AA368E" w:rsidRDefault="00AA368E" w:rsidP="00AA368E">
      <w:pPr>
        <w:pStyle w:val="NormalIndent"/>
      </w:pPr>
    </w:p>
    <w:p w14:paraId="439E620B" w14:textId="78B24BEC" w:rsidR="00AA368E" w:rsidRDefault="00DF4749" w:rsidP="00C01D9F">
      <w:pPr>
        <w:pStyle w:val="Heading3"/>
      </w:pPr>
      <w:bookmarkStart w:id="19" w:name="_Toc510174023"/>
      <w:r>
        <w:lastRenderedPageBreak/>
        <w:t xml:space="preserve">4.2.2 </w:t>
      </w:r>
      <w:r w:rsidR="00AA368E">
        <w:t>Generation of the Folic Acid Standard and Standard Curve</w:t>
      </w:r>
      <w:bookmarkEnd w:id="19"/>
    </w:p>
    <w:p w14:paraId="3B2716A3" w14:textId="34F75433" w:rsidR="001C3AE4" w:rsidRPr="004F2B88" w:rsidRDefault="001C3AE4" w:rsidP="001C3AE4">
      <w:pPr>
        <w:spacing w:line="480" w:lineRule="auto"/>
        <w:ind w:firstLine="720"/>
        <w:jc w:val="both"/>
        <w:rPr>
          <w:rFonts w:ascii="Times" w:hAnsi="Times" w:cs="Arial"/>
        </w:rPr>
      </w:pPr>
      <w:r w:rsidRPr="004F2B88">
        <w:rPr>
          <w:rFonts w:ascii="Times" w:hAnsi="Times" w:cs="Arial"/>
        </w:rPr>
        <w:t>A known concentration of folic acid (10 mg/mL; Sigma F-7876) is dissolved into doubly-distilled H</w:t>
      </w:r>
      <w:r w:rsidRPr="00F044E6">
        <w:rPr>
          <w:rFonts w:ascii="Times" w:hAnsi="Times" w:cs="Arial"/>
          <w:vertAlign w:val="subscript"/>
        </w:rPr>
        <w:t>2</w:t>
      </w:r>
      <w:r w:rsidRPr="004F2B88">
        <w:rPr>
          <w:rFonts w:ascii="Times" w:hAnsi="Times" w:cs="Arial"/>
        </w:rPr>
        <w:t>0 and titrated with 0.1M NaOH until visibly clear. Folic assay standard stock is stored in a dilution of 1:20 of methanol, aliquoted in microcentrifuge tubes and wrapped in foil to prevent light degradation. Standard stock is prepared once, stored in -80</w:t>
      </w:r>
      <w:r w:rsidRPr="004F2B88">
        <w:rPr>
          <w:rFonts w:ascii="Times" w:hAnsi="Times" w:cs="Arial"/>
        </w:rPr>
        <w:sym w:font="Symbol" w:char="F0B0"/>
      </w:r>
      <w:r w:rsidRPr="004F2B88">
        <w:rPr>
          <w:rFonts w:ascii="Times" w:hAnsi="Times" w:cs="Arial"/>
        </w:rPr>
        <w:t xml:space="preserve">C and used within one month. </w:t>
      </w:r>
    </w:p>
    <w:p w14:paraId="659C4C18" w14:textId="77777777" w:rsidR="001C3AE4" w:rsidRPr="004F2B88" w:rsidRDefault="001C3AE4" w:rsidP="001C3AE4">
      <w:pPr>
        <w:spacing w:line="480" w:lineRule="auto"/>
        <w:ind w:firstLine="720"/>
        <w:jc w:val="both"/>
        <w:rPr>
          <w:rFonts w:ascii="Times" w:hAnsi="Times" w:cs="Arial"/>
        </w:rPr>
      </w:pPr>
      <w:r w:rsidRPr="004F2B88">
        <w:rPr>
          <w:rFonts w:ascii="Times" w:hAnsi="Times" w:cs="Arial"/>
        </w:rPr>
        <w:t xml:space="preserve">L. </w:t>
      </w:r>
      <w:r w:rsidRPr="004F2B88">
        <w:rPr>
          <w:rFonts w:ascii="Times" w:hAnsi="Times" w:cs="Arial"/>
          <w:i/>
        </w:rPr>
        <w:t>casei</w:t>
      </w:r>
      <w:r w:rsidRPr="004F2B88">
        <w:rPr>
          <w:rFonts w:ascii="Times" w:hAnsi="Times" w:cs="Arial"/>
        </w:rPr>
        <w:t xml:space="preserve"> suspension consists of 10 </w:t>
      </w:r>
      <w:r w:rsidRPr="004F2B88">
        <w:rPr>
          <w:rFonts w:ascii="Times" w:hAnsi="Times" w:cs="Arial"/>
        </w:rPr>
        <w:sym w:font="Symbol" w:char="F06D"/>
      </w:r>
      <w:r w:rsidRPr="004F2B88">
        <w:rPr>
          <w:rFonts w:ascii="Times" w:hAnsi="Times" w:cs="Arial"/>
        </w:rPr>
        <w:t xml:space="preserve">L of cryoprotected L. </w:t>
      </w:r>
      <w:r w:rsidRPr="004F2B88">
        <w:rPr>
          <w:rFonts w:ascii="Times" w:hAnsi="Times" w:cs="Arial"/>
          <w:i/>
        </w:rPr>
        <w:t xml:space="preserve">casei </w:t>
      </w:r>
      <w:r w:rsidRPr="004F2B88">
        <w:rPr>
          <w:rFonts w:ascii="Times" w:hAnsi="Times" w:cs="Arial"/>
        </w:rPr>
        <w:t>(</w:t>
      </w:r>
      <w:proofErr w:type="spellStart"/>
      <w:r w:rsidRPr="004F2B88">
        <w:rPr>
          <w:rFonts w:ascii="Times" w:hAnsi="Times" w:cs="Arial"/>
        </w:rPr>
        <w:t>Difco</w:t>
      </w:r>
      <w:proofErr w:type="spellEnd"/>
      <w:r w:rsidRPr="004F2B88">
        <w:rPr>
          <w:rFonts w:ascii="Times" w:hAnsi="Times" w:cs="Arial"/>
        </w:rPr>
        <w:t xml:space="preserve"> Lactobacilli Broth AOCA, Cat. 290100) and 150 </w:t>
      </w:r>
      <w:r w:rsidRPr="004F2B88">
        <w:rPr>
          <w:rFonts w:ascii="Times" w:hAnsi="Times" w:cs="Arial"/>
        </w:rPr>
        <w:sym w:font="Symbol" w:char="F06D"/>
      </w:r>
      <w:r w:rsidRPr="004F2B88">
        <w:rPr>
          <w:rFonts w:ascii="Times" w:hAnsi="Times" w:cs="Arial"/>
        </w:rPr>
        <w:t xml:space="preserve">L of growth medium. 150 </w:t>
      </w:r>
      <w:r w:rsidRPr="004F2B88">
        <w:rPr>
          <w:rFonts w:ascii="Times" w:hAnsi="Times" w:cs="Arial"/>
        </w:rPr>
        <w:sym w:font="Symbol" w:char="F06D"/>
      </w:r>
      <w:r w:rsidRPr="004F2B88">
        <w:rPr>
          <w:rFonts w:ascii="Times" w:hAnsi="Times" w:cs="Arial"/>
        </w:rPr>
        <w:t xml:space="preserve">L of L. </w:t>
      </w:r>
      <w:r w:rsidRPr="004F2B88">
        <w:rPr>
          <w:rFonts w:ascii="Times" w:hAnsi="Times" w:cs="Arial"/>
          <w:i/>
        </w:rPr>
        <w:t>casei</w:t>
      </w:r>
      <w:r w:rsidRPr="004F2B88">
        <w:rPr>
          <w:rFonts w:ascii="Times" w:hAnsi="Times" w:cs="Arial"/>
        </w:rPr>
        <w:t xml:space="preserve"> suspension and 150 </w:t>
      </w:r>
      <w:r w:rsidRPr="004F2B88">
        <w:rPr>
          <w:rFonts w:ascii="Times" w:hAnsi="Times" w:cs="Arial"/>
        </w:rPr>
        <w:sym w:font="Symbol" w:char="F06D"/>
      </w:r>
      <w:r w:rsidRPr="004F2B88">
        <w:rPr>
          <w:rFonts w:ascii="Times" w:hAnsi="Times" w:cs="Arial"/>
        </w:rPr>
        <w:t xml:space="preserve">L of potassium phosphate buffer (KPO4) are added to all wells of a 96-plate. A concentration of 6 ng/mL folic acid is added to the bottommost row and serially diluted up the columns, leaving the topmost row blank (concentrations of folic acid: 6 ng/mL to 0 ng/mL). Folic acid standard suspensions are run in multiple replicates (octuplet) on a 96-well plate to control for intra-assay variation with three wells of 300 </w:t>
      </w:r>
      <w:r w:rsidRPr="004F2B88">
        <w:rPr>
          <w:rFonts w:ascii="Times" w:hAnsi="Times" w:cs="Arial"/>
        </w:rPr>
        <w:sym w:font="Symbol" w:char="F06D"/>
      </w:r>
      <w:r w:rsidRPr="004F2B88">
        <w:rPr>
          <w:rFonts w:ascii="Times" w:hAnsi="Times" w:cs="Arial"/>
        </w:rPr>
        <w:t xml:space="preserve">L KPO4 buffer serving as internal control for inter-assay variation. All plates for the folic acid standard will be run on the same day. </w:t>
      </w:r>
    </w:p>
    <w:p w14:paraId="54C9DE94" w14:textId="196C2DB1" w:rsidR="00AA368E" w:rsidRPr="001C3AE4" w:rsidRDefault="001C3AE4" w:rsidP="001C3AE4">
      <w:pPr>
        <w:spacing w:line="480" w:lineRule="auto"/>
        <w:ind w:firstLine="720"/>
        <w:jc w:val="both"/>
        <w:rPr>
          <w:rFonts w:ascii="Times" w:hAnsi="Times" w:cs="Arial"/>
        </w:rPr>
      </w:pPr>
      <w:r w:rsidRPr="004F2B88">
        <w:rPr>
          <w:rFonts w:ascii="Times" w:hAnsi="Times" w:cs="Arial"/>
        </w:rPr>
        <w:t xml:space="preserve">The relative turbidity of each well is caused by the extent of microbial growth, and </w:t>
      </w:r>
      <w:r w:rsidR="00FF73B9">
        <w:rPr>
          <w:rFonts w:ascii="Times" w:hAnsi="Times" w:cs="Arial"/>
        </w:rPr>
        <w:t>consequently,</w:t>
      </w:r>
      <w:r w:rsidRPr="004F2B88">
        <w:rPr>
          <w:rFonts w:ascii="Times" w:hAnsi="Times" w:cs="Arial"/>
        </w:rPr>
        <w:t xml:space="preserve"> indicative of available folates. Turbidity of samples can be measured by optical density (absorbance) on a spectrophotometer at the wavelength of 630 nanometers (nm). Concentration (g/l) of folic acid is then calculated with the following formula</w:t>
      </w:r>
      <w:r w:rsidRPr="004F2B88">
        <w:rPr>
          <w:rFonts w:ascii="Times" w:hAnsi="Times" w:cs="Arial"/>
          <w:i/>
        </w:rPr>
        <w:t xml:space="preserve">: </w:t>
      </w:r>
      <w:r w:rsidRPr="004F2B88">
        <w:rPr>
          <w:rFonts w:ascii="Times" w:hAnsi="Times" w:cs="Arial"/>
        </w:rPr>
        <w:t>molarity determined by optical density divided by molecular extinction coefficient for folic acid (</w:t>
      </w:r>
      <w:r w:rsidRPr="004F2B88">
        <w:rPr>
          <w:rFonts w:ascii="Times" w:hAnsi="Times" w:cs="Arial"/>
        </w:rPr>
        <w:sym w:font="Symbol" w:char="F065"/>
      </w:r>
      <w:r w:rsidRPr="004F2B88">
        <w:rPr>
          <w:rFonts w:ascii="Times" w:hAnsi="Times" w:cs="Arial"/>
        </w:rPr>
        <w:t>=9260). Molarity is then multiplied by molecular weight for folate (441.4 g/</w:t>
      </w:r>
      <w:proofErr w:type="spellStart"/>
      <w:r w:rsidRPr="004F2B88">
        <w:rPr>
          <w:rFonts w:ascii="Times" w:hAnsi="Times" w:cs="Arial"/>
        </w:rPr>
        <w:t>mol</w:t>
      </w:r>
      <w:proofErr w:type="spellEnd"/>
      <w:r w:rsidRPr="004F2B88">
        <w:rPr>
          <w:rFonts w:ascii="Times" w:hAnsi="Times" w:cs="Arial"/>
        </w:rPr>
        <w:t xml:space="preserve">) to determine concentration (g/l). As L. </w:t>
      </w:r>
      <w:r w:rsidRPr="004F2B88">
        <w:rPr>
          <w:rFonts w:ascii="Times" w:hAnsi="Times" w:cs="Arial"/>
          <w:i/>
        </w:rPr>
        <w:t>casei</w:t>
      </w:r>
      <w:r w:rsidRPr="004F2B88">
        <w:rPr>
          <w:rFonts w:ascii="Times" w:hAnsi="Times" w:cs="Arial"/>
        </w:rPr>
        <w:t xml:space="preserve"> growth exhibits saturation kinetics and is repressed by excess folate, the standard curve is generated by log-transforming the growth </w:t>
      </w:r>
      <w:r w:rsidRPr="004F2B88">
        <w:rPr>
          <w:rFonts w:ascii="Times" w:hAnsi="Times" w:cs="Arial"/>
        </w:rPr>
        <w:lastRenderedPageBreak/>
        <w:t xml:space="preserve">response rates of folic acid to L. </w:t>
      </w:r>
      <w:r w:rsidRPr="004F2B88">
        <w:rPr>
          <w:rFonts w:ascii="Times" w:hAnsi="Times" w:cs="Arial"/>
          <w:i/>
        </w:rPr>
        <w:t xml:space="preserve">casei. </w:t>
      </w:r>
      <w:r w:rsidRPr="004F2B88">
        <w:rPr>
          <w:rFonts w:ascii="Times" w:hAnsi="Times" w:cs="Arial"/>
        </w:rPr>
        <w:t>The generated standard folate growth curve must be log-transformed to accurately compare the unknown relative folate concentrations in the breast tissue samples to the known concentrations.</w:t>
      </w:r>
    </w:p>
    <w:p w14:paraId="354B84A0" w14:textId="45B84689" w:rsidR="00AA368E" w:rsidRDefault="00AA368E" w:rsidP="00AA368E">
      <w:pPr>
        <w:pStyle w:val="NormalIndent"/>
      </w:pPr>
    </w:p>
    <w:p w14:paraId="4976C2DF" w14:textId="77777777" w:rsidR="00D030EF" w:rsidRDefault="00D030EF" w:rsidP="00AA368E">
      <w:pPr>
        <w:pStyle w:val="NormalIndent"/>
      </w:pPr>
    </w:p>
    <w:p w14:paraId="4D0BB783" w14:textId="7329F578" w:rsidR="00AA368E" w:rsidRDefault="00DF4749" w:rsidP="00C01D9F">
      <w:pPr>
        <w:pStyle w:val="Heading3"/>
      </w:pPr>
      <w:bookmarkStart w:id="20" w:name="_Toc510174024"/>
      <w:r>
        <w:t xml:space="preserve">4.2.3 </w:t>
      </w:r>
      <w:r w:rsidR="00AA368E">
        <w:t>Breast Tissue Extraction and Folate Assay</w:t>
      </w:r>
      <w:bookmarkEnd w:id="20"/>
    </w:p>
    <w:p w14:paraId="61C4B01F" w14:textId="185D44A6" w:rsidR="001C3AE4" w:rsidRPr="004F2B88" w:rsidRDefault="001C3AE4" w:rsidP="001C3AE4">
      <w:pPr>
        <w:spacing w:line="480" w:lineRule="auto"/>
        <w:ind w:firstLine="720"/>
        <w:jc w:val="both"/>
        <w:rPr>
          <w:rFonts w:ascii="Times" w:hAnsi="Times" w:cs="Arial"/>
        </w:rPr>
      </w:pPr>
      <w:r w:rsidRPr="004F2B88">
        <w:rPr>
          <w:rFonts w:ascii="Times" w:hAnsi="Times" w:cs="Arial"/>
        </w:rPr>
        <w:t>Breast tissue samples are quickly weighed while still frozen, added to extraction buffer and homogenized. Samples are then boiled for 20 minutes, treated with rat plasma conjugase and incubated for 2 hours. After folate extraction, breast tissue samples are stored at -80</w:t>
      </w:r>
      <w:r w:rsidRPr="004F2B88">
        <w:rPr>
          <w:rFonts w:ascii="Times" w:hAnsi="Times" w:cs="Arial"/>
        </w:rPr>
        <w:sym w:font="Symbol" w:char="F0B0"/>
      </w:r>
      <w:r w:rsidRPr="004F2B88">
        <w:rPr>
          <w:rFonts w:ascii="Times" w:hAnsi="Times" w:cs="Arial"/>
        </w:rPr>
        <w:t xml:space="preserve">C until L. </w:t>
      </w:r>
      <w:r w:rsidRPr="004F2B88">
        <w:rPr>
          <w:rFonts w:ascii="Times" w:hAnsi="Times" w:cs="Arial"/>
          <w:i/>
        </w:rPr>
        <w:t xml:space="preserve">casei </w:t>
      </w:r>
      <w:r w:rsidRPr="004F2B88">
        <w:rPr>
          <w:rFonts w:ascii="Times" w:hAnsi="Times" w:cs="Arial"/>
        </w:rPr>
        <w:t>microbial assay is performed.</w:t>
      </w:r>
    </w:p>
    <w:p w14:paraId="51A58833" w14:textId="77777777" w:rsidR="001C3AE4" w:rsidRPr="004F2B88" w:rsidRDefault="001C3AE4" w:rsidP="001C3AE4">
      <w:pPr>
        <w:spacing w:line="480" w:lineRule="auto"/>
        <w:ind w:firstLine="720"/>
        <w:jc w:val="both"/>
        <w:rPr>
          <w:rFonts w:ascii="Times" w:hAnsi="Times" w:cs="Arial"/>
        </w:rPr>
      </w:pPr>
      <w:r w:rsidRPr="004F2B88">
        <w:rPr>
          <w:rFonts w:ascii="Times" w:hAnsi="Times" w:cs="Arial"/>
        </w:rPr>
        <w:t>All microbiological folic assay reagents are prepared fresh on the day of assessment with ascorbic acid added to further prevent oxidation and degradation due to storage and light exposure. On the day of microbial folate assay with breast tissue samples, one aliquot of folic acid standard stock is diluted for use in KPO4. A serial dilution of the folic acid standard at a concentration is then performed in the first 2 columns of a 96-well plate.</w:t>
      </w:r>
    </w:p>
    <w:p w14:paraId="5666FECB" w14:textId="77777777" w:rsidR="001C3AE4" w:rsidRPr="004F2B88" w:rsidRDefault="001C3AE4" w:rsidP="001C3AE4">
      <w:pPr>
        <w:spacing w:line="480" w:lineRule="auto"/>
        <w:jc w:val="both"/>
        <w:rPr>
          <w:rFonts w:ascii="Times" w:hAnsi="Times" w:cs="Arial"/>
        </w:rPr>
      </w:pPr>
      <w:r w:rsidRPr="004F2B88">
        <w:rPr>
          <w:rFonts w:ascii="Times" w:hAnsi="Times" w:cs="Arial"/>
        </w:rPr>
        <w:t xml:space="preserve">10 </w:t>
      </w:r>
      <w:r w:rsidRPr="004F2B88">
        <w:rPr>
          <w:rFonts w:ascii="Times" w:hAnsi="Times" w:cs="Arial"/>
        </w:rPr>
        <w:sym w:font="Symbol" w:char="F06D"/>
      </w:r>
      <w:r w:rsidRPr="004F2B88">
        <w:rPr>
          <w:rFonts w:ascii="Times" w:hAnsi="Times" w:cs="Arial"/>
        </w:rPr>
        <w:t xml:space="preserve">L of cryoprotected L. </w:t>
      </w:r>
      <w:r w:rsidRPr="004F2B88">
        <w:rPr>
          <w:rFonts w:ascii="Times" w:hAnsi="Times" w:cs="Arial"/>
          <w:i/>
        </w:rPr>
        <w:t>casei</w:t>
      </w:r>
      <w:r w:rsidRPr="004F2B88">
        <w:rPr>
          <w:rFonts w:ascii="Times" w:hAnsi="Times" w:cs="Arial"/>
        </w:rPr>
        <w:t xml:space="preserve"> (</w:t>
      </w:r>
      <w:proofErr w:type="spellStart"/>
      <w:r w:rsidRPr="004F2B88">
        <w:rPr>
          <w:rFonts w:ascii="Times" w:hAnsi="Times" w:cs="Arial"/>
        </w:rPr>
        <w:t>Difco</w:t>
      </w:r>
      <w:proofErr w:type="spellEnd"/>
      <w:r w:rsidRPr="004F2B88">
        <w:rPr>
          <w:rFonts w:ascii="Times" w:hAnsi="Times" w:cs="Arial"/>
        </w:rPr>
        <w:t xml:space="preserve"> Lactobacilli Broth AOCA, Cat. 290100) is suspended in freshly prepared L. </w:t>
      </w:r>
      <w:r w:rsidRPr="004F2B88">
        <w:rPr>
          <w:rFonts w:ascii="Times" w:hAnsi="Times" w:cs="Arial"/>
          <w:i/>
        </w:rPr>
        <w:t>casei</w:t>
      </w:r>
      <w:r w:rsidRPr="004F2B88">
        <w:rPr>
          <w:rFonts w:ascii="Times" w:hAnsi="Times" w:cs="Arial"/>
        </w:rPr>
        <w:t xml:space="preserve"> media and added to each remaining well of a 96-well plate (L. </w:t>
      </w:r>
      <w:r w:rsidRPr="004F2B88">
        <w:rPr>
          <w:rFonts w:ascii="Times" w:hAnsi="Times" w:cs="Arial"/>
          <w:i/>
        </w:rPr>
        <w:t>casei</w:t>
      </w:r>
      <w:r w:rsidRPr="004F2B88">
        <w:rPr>
          <w:rFonts w:ascii="Times" w:hAnsi="Times" w:cs="Arial"/>
        </w:rPr>
        <w:t xml:space="preserve"> suspension total volume, 150 </w:t>
      </w:r>
      <w:r w:rsidRPr="004F2B88">
        <w:rPr>
          <w:rFonts w:ascii="Times" w:hAnsi="Times" w:cs="Arial"/>
        </w:rPr>
        <w:sym w:font="Symbol" w:char="F06D"/>
      </w:r>
      <w:r w:rsidRPr="004F2B88">
        <w:rPr>
          <w:rFonts w:ascii="Times" w:hAnsi="Times" w:cs="Arial"/>
        </w:rPr>
        <w:t xml:space="preserve">L). Each breast tissue folate extraction sample is run in triplicate to reduce intra-assay variation. All plates are </w:t>
      </w:r>
      <w:proofErr w:type="gramStart"/>
      <w:r w:rsidRPr="004F2B88">
        <w:rPr>
          <w:rFonts w:ascii="Times" w:hAnsi="Times" w:cs="Arial"/>
        </w:rPr>
        <w:t>ran</w:t>
      </w:r>
      <w:proofErr w:type="gramEnd"/>
      <w:r w:rsidRPr="004F2B88">
        <w:rPr>
          <w:rFonts w:ascii="Times" w:hAnsi="Times" w:cs="Arial"/>
        </w:rPr>
        <w:t xml:space="preserve"> within one week, with 3 wells of L. </w:t>
      </w:r>
      <w:r w:rsidRPr="004F2B88">
        <w:rPr>
          <w:rFonts w:ascii="Times" w:hAnsi="Times" w:cs="Arial"/>
          <w:i/>
        </w:rPr>
        <w:t>casei</w:t>
      </w:r>
      <w:r w:rsidRPr="004F2B88">
        <w:rPr>
          <w:rFonts w:ascii="Times" w:hAnsi="Times" w:cs="Arial"/>
        </w:rPr>
        <w:t xml:space="preserve"> suspension, human plasma and KPO4 buffer serving as the internal control. The prepared 96-well plates are mylar sealed and incubated overnight in a dry incubator at 37</w:t>
      </w:r>
      <w:r w:rsidRPr="004F2B88">
        <w:rPr>
          <w:rFonts w:ascii="Times" w:hAnsi="Times" w:cs="Arial"/>
        </w:rPr>
        <w:sym w:font="Symbol" w:char="F0B0"/>
      </w:r>
      <w:r w:rsidRPr="004F2B88">
        <w:rPr>
          <w:rFonts w:ascii="Times" w:hAnsi="Times" w:cs="Arial"/>
        </w:rPr>
        <w:t>C (18h) to be read on the spectrometer on the following day.</w:t>
      </w:r>
    </w:p>
    <w:p w14:paraId="7BD93251" w14:textId="2D250764" w:rsidR="00D030EF" w:rsidRDefault="001C3AE4" w:rsidP="00D030EF">
      <w:pPr>
        <w:spacing w:line="480" w:lineRule="auto"/>
        <w:ind w:firstLine="720"/>
        <w:jc w:val="both"/>
        <w:rPr>
          <w:rFonts w:ascii="Times" w:hAnsi="Times" w:cs="Arial"/>
        </w:rPr>
      </w:pPr>
      <w:r w:rsidRPr="004F2B88">
        <w:rPr>
          <w:rFonts w:ascii="Times" w:hAnsi="Times" w:cs="Arial"/>
        </w:rPr>
        <w:t xml:space="preserve">Total folate concentration is determined for each sample by photospectometry at 630 nm. Mean tissue folate concentrations for each sample will be calculated as the </w:t>
      </w:r>
      <w:r w:rsidRPr="004F2B88">
        <w:rPr>
          <w:rFonts w:ascii="Times" w:hAnsi="Times" w:cs="Arial"/>
        </w:rPr>
        <w:lastRenderedPageBreak/>
        <w:t>weighted average of measurements ran in triplicate using the coefficient of variation between triplicates. Mean tissue folate concentration is determined by comparison to the known concentration of serially diluted folic acid standard</w:t>
      </w:r>
      <w:r>
        <w:rPr>
          <w:rFonts w:ascii="Times" w:hAnsi="Times" w:cs="Arial"/>
        </w:rPr>
        <w:t>.</w:t>
      </w:r>
      <w:r w:rsidR="00D030EF">
        <w:rPr>
          <w:rFonts w:ascii="Times" w:hAnsi="Times" w:cs="Arial"/>
        </w:rPr>
        <w:t xml:space="preserve"> </w:t>
      </w:r>
    </w:p>
    <w:p w14:paraId="009955B5" w14:textId="77777777" w:rsidR="003E406A" w:rsidRDefault="003E406A" w:rsidP="00D030EF">
      <w:pPr>
        <w:spacing w:line="480" w:lineRule="auto"/>
        <w:ind w:firstLine="720"/>
        <w:jc w:val="both"/>
        <w:rPr>
          <w:rFonts w:ascii="Times" w:hAnsi="Times" w:cs="Arial"/>
        </w:rPr>
      </w:pPr>
    </w:p>
    <w:p w14:paraId="12E27723" w14:textId="695C53C5" w:rsidR="00D030EF" w:rsidRDefault="003E406A" w:rsidP="00C01D9F">
      <w:pPr>
        <w:pStyle w:val="Heading2"/>
        <w:rPr>
          <w:rFonts w:ascii="Times" w:hAnsi="Times" w:cs="Arial"/>
        </w:rPr>
      </w:pPr>
      <w:bookmarkStart w:id="21" w:name="_Toc510174025"/>
      <w:r>
        <w:t xml:space="preserve">4.3 </w:t>
      </w:r>
      <w:r w:rsidR="00AA368E">
        <w:t>DNA Extraction</w:t>
      </w:r>
      <w:r w:rsidR="00D030EF">
        <w:t xml:space="preserve"> and Gene Expression</w:t>
      </w:r>
      <w:bookmarkEnd w:id="21"/>
      <w:r w:rsidR="00D030EF">
        <w:rPr>
          <w:rFonts w:ascii="Times" w:hAnsi="Times" w:cs="Arial"/>
        </w:rPr>
        <w:t xml:space="preserve"> </w:t>
      </w:r>
    </w:p>
    <w:p w14:paraId="11E0529F" w14:textId="1579B415" w:rsidR="00D030EF" w:rsidRDefault="001C3AE4" w:rsidP="00D030EF">
      <w:pPr>
        <w:spacing w:line="480" w:lineRule="auto"/>
        <w:ind w:firstLine="720"/>
        <w:jc w:val="both"/>
        <w:rPr>
          <w:rFonts w:ascii="Times" w:hAnsi="Times" w:cs="Arial"/>
        </w:rPr>
      </w:pPr>
      <w:r w:rsidRPr="004F2B88">
        <w:rPr>
          <w:rFonts w:ascii="Times" w:hAnsi="Times" w:cs="Arial"/>
        </w:rPr>
        <w:t xml:space="preserve">DNA is extracted from </w:t>
      </w:r>
      <w:proofErr w:type="spellStart"/>
      <w:r w:rsidRPr="004F2B88">
        <w:rPr>
          <w:rFonts w:ascii="Times" w:hAnsi="Times" w:cs="Arial"/>
        </w:rPr>
        <w:t>DNEasy</w:t>
      </w:r>
      <w:proofErr w:type="spellEnd"/>
      <w:r w:rsidRPr="004F2B88">
        <w:rPr>
          <w:rFonts w:ascii="Times" w:hAnsi="Times" w:cs="Arial"/>
        </w:rPr>
        <w:t xml:space="preserve"> kit (Qiagen). DNA concentrations and absorbance (260/280nm ratio) is quantified by Nanodrop spectrophotometer. </w:t>
      </w:r>
      <w:r>
        <w:rPr>
          <w:rFonts w:ascii="Times" w:hAnsi="Times" w:cs="Arial"/>
        </w:rPr>
        <w:t xml:space="preserve">Nineteen </w:t>
      </w:r>
      <w:r w:rsidRPr="004F2B88">
        <w:rPr>
          <w:rFonts w:ascii="Times" w:hAnsi="Times" w:cs="Arial"/>
        </w:rPr>
        <w:t>BC-related genes with aberrant epigenetic modifications were identified in existing literature. RT-PCR amplification will be performed to compare relative gene expression between BMI groups. Validated PCR primers for each gene were selected by a scan of the existing literature.</w:t>
      </w:r>
      <w:r w:rsidRPr="004F2B88">
        <w:rPr>
          <w:rFonts w:ascii="Times" w:hAnsi="Times" w:cs="Arial"/>
          <w:i/>
        </w:rPr>
        <w:t xml:space="preserve"> </w:t>
      </w:r>
      <w:r w:rsidRPr="004F2B88">
        <w:rPr>
          <w:rFonts w:ascii="Times" w:hAnsi="Times" w:cs="Arial"/>
        </w:rPr>
        <w:t>RT-PCR</w:t>
      </w:r>
      <w:r w:rsidRPr="004F2B88">
        <w:rPr>
          <w:rFonts w:ascii="Times" w:hAnsi="Times" w:cs="Arial"/>
          <w:i/>
        </w:rPr>
        <w:t xml:space="preserve"> </w:t>
      </w:r>
      <w:r w:rsidRPr="004F2B88">
        <w:rPr>
          <w:rFonts w:ascii="Times" w:hAnsi="Times" w:cs="Arial"/>
        </w:rPr>
        <w:t xml:space="preserve">will be performed on 96-well plates with the </w:t>
      </w:r>
      <w:proofErr w:type="spellStart"/>
      <w:r w:rsidRPr="004F2B88">
        <w:rPr>
          <w:rFonts w:ascii="Times" w:hAnsi="Times" w:cs="Arial"/>
        </w:rPr>
        <w:t>ViiA</w:t>
      </w:r>
      <w:proofErr w:type="spellEnd"/>
      <w:r w:rsidRPr="004F2B88">
        <w:rPr>
          <w:rFonts w:ascii="Times" w:hAnsi="Times" w:cs="Arial"/>
        </w:rPr>
        <w:t xml:space="preserve"> 7</w:t>
      </w:r>
      <w:r w:rsidRPr="004F2B88">
        <w:rPr>
          <w:rFonts w:ascii="Times" w:hAnsi="Times" w:cs="Arial"/>
          <w:vertAlign w:val="superscript"/>
        </w:rPr>
        <w:t>TM</w:t>
      </w:r>
      <w:r w:rsidRPr="004F2B88">
        <w:rPr>
          <w:rFonts w:ascii="Times" w:hAnsi="Times" w:cs="Arial"/>
        </w:rPr>
        <w:t xml:space="preserve"> Real-Time PCR (Life Technologies) and analyzed with accompanying software (Expression Suite).</w:t>
      </w:r>
      <w:r w:rsidR="00D030EF">
        <w:rPr>
          <w:rFonts w:ascii="Times" w:hAnsi="Times" w:cs="Arial"/>
        </w:rPr>
        <w:t xml:space="preserve"> </w:t>
      </w:r>
    </w:p>
    <w:p w14:paraId="78FE4D5D" w14:textId="77777777" w:rsidR="003E406A" w:rsidRDefault="003E406A" w:rsidP="00D030EF">
      <w:pPr>
        <w:spacing w:line="480" w:lineRule="auto"/>
        <w:ind w:firstLine="720"/>
        <w:jc w:val="both"/>
        <w:rPr>
          <w:rFonts w:ascii="Times" w:hAnsi="Times" w:cs="Arial"/>
        </w:rPr>
      </w:pPr>
    </w:p>
    <w:p w14:paraId="3703E35A" w14:textId="2E251477" w:rsidR="00D030EF" w:rsidRDefault="003E406A" w:rsidP="00C01D9F">
      <w:pPr>
        <w:pStyle w:val="Heading2"/>
      </w:pPr>
      <w:bookmarkStart w:id="22" w:name="_Toc510174026"/>
      <w:r>
        <w:t xml:space="preserve">4.4 </w:t>
      </w:r>
      <w:r w:rsidR="00D030EF">
        <w:t>Pyrosequencing for DNA Methylation</w:t>
      </w:r>
      <w:bookmarkEnd w:id="22"/>
      <w:r w:rsidR="00D030EF">
        <w:t xml:space="preserve"> </w:t>
      </w:r>
    </w:p>
    <w:p w14:paraId="6560C6ED" w14:textId="77777777" w:rsidR="00D030EF" w:rsidRDefault="001C3AE4" w:rsidP="00D030EF">
      <w:pPr>
        <w:spacing w:line="480" w:lineRule="auto"/>
        <w:ind w:firstLine="720"/>
        <w:jc w:val="both"/>
        <w:rPr>
          <w:rFonts w:ascii="Times" w:hAnsi="Times" w:cs="Arial"/>
        </w:rPr>
      </w:pPr>
      <w:r w:rsidRPr="004F2B88">
        <w:rPr>
          <w:rFonts w:ascii="Times" w:hAnsi="Times" w:cs="Arial"/>
        </w:rPr>
        <w:t xml:space="preserve">The average amount of both loci-specific and global DNA methylation analysis is conducted via targeted Next Generation Bisulfite Sequencing (pyrosequencing) by </w:t>
      </w:r>
      <w:proofErr w:type="spellStart"/>
      <w:r w:rsidRPr="004F2B88">
        <w:rPr>
          <w:rFonts w:ascii="Times" w:hAnsi="Times" w:cs="Arial"/>
        </w:rPr>
        <w:t>EpigenDX</w:t>
      </w:r>
      <w:proofErr w:type="spellEnd"/>
      <w:r w:rsidRPr="004F2B88">
        <w:rPr>
          <w:rFonts w:ascii="Times" w:hAnsi="Times" w:cs="Arial"/>
        </w:rPr>
        <w:t xml:space="preserve"> (Hopkinton, MA); where LINE-1 and </w:t>
      </w:r>
      <w:proofErr w:type="spellStart"/>
      <w:r w:rsidRPr="004F2B88">
        <w:rPr>
          <w:rFonts w:ascii="Times" w:hAnsi="Times" w:cs="Arial"/>
        </w:rPr>
        <w:t>Alu</w:t>
      </w:r>
      <w:proofErr w:type="spellEnd"/>
      <w:r w:rsidRPr="004F2B88">
        <w:rPr>
          <w:rFonts w:ascii="Times" w:hAnsi="Times" w:cs="Arial"/>
        </w:rPr>
        <w:t xml:space="preserve"> elements serve as the surrogates for global DNA methylation. </w:t>
      </w:r>
      <w:proofErr w:type="spellStart"/>
      <w:r w:rsidRPr="004F2B88">
        <w:rPr>
          <w:rFonts w:ascii="Times" w:hAnsi="Times" w:cs="Arial"/>
        </w:rPr>
        <w:t>EpigenDX’s</w:t>
      </w:r>
      <w:proofErr w:type="spellEnd"/>
      <w:r w:rsidRPr="004F2B88">
        <w:rPr>
          <w:rFonts w:ascii="Times" w:hAnsi="Times" w:cs="Arial"/>
        </w:rPr>
        <w:t xml:space="preserve"> pyrosequencing methods include multiple quality control checkpoints, including bias testing for PCR conditions such as annealing temperature (ensuring nonbiased selection between methylated vs. unmethylated CpG sites) and sensitivity analysis. After Pyrosequencing analysis and data compilation, delivered results include both quantitative Pyrosequencing values (percentage methylation </w:t>
      </w:r>
      <w:r w:rsidRPr="004F2B88">
        <w:rPr>
          <w:rFonts w:ascii="Times" w:hAnsi="Times" w:cs="Arial"/>
        </w:rPr>
        <w:lastRenderedPageBreak/>
        <w:t xml:space="preserve">values of each CpG site, provided in Excel) and raw Pyrogram data (provided in Microsoft </w:t>
      </w:r>
      <w:r>
        <w:rPr>
          <w:rFonts w:ascii="Times" w:hAnsi="Times" w:cs="Arial"/>
        </w:rPr>
        <w:t>Word).</w:t>
      </w:r>
    </w:p>
    <w:p w14:paraId="754558FB" w14:textId="21E7D563" w:rsidR="00D030EF" w:rsidRDefault="003E406A" w:rsidP="00C01D9F">
      <w:pPr>
        <w:pStyle w:val="Heading2"/>
      </w:pPr>
      <w:bookmarkStart w:id="23" w:name="_Toc510174027"/>
      <w:r>
        <w:t xml:space="preserve">4.5 </w:t>
      </w:r>
      <w:r w:rsidR="00D030EF">
        <w:t>Statistical analysis</w:t>
      </w:r>
      <w:bookmarkEnd w:id="23"/>
      <w:r w:rsidR="00D030EF">
        <w:t xml:space="preserve"> </w:t>
      </w:r>
    </w:p>
    <w:p w14:paraId="469FC781" w14:textId="61F453F2" w:rsidR="001C3AE4" w:rsidRDefault="001C3AE4" w:rsidP="00D030EF">
      <w:pPr>
        <w:spacing w:line="480" w:lineRule="auto"/>
        <w:ind w:firstLine="720"/>
        <w:jc w:val="both"/>
        <w:rPr>
          <w:rFonts w:ascii="Times" w:hAnsi="Times" w:cs="Arial"/>
        </w:rPr>
      </w:pPr>
      <w:r w:rsidRPr="004F2B88">
        <w:rPr>
          <w:rFonts w:ascii="Times" w:hAnsi="Times" w:cs="Arial"/>
        </w:rPr>
        <w:t>Data are expressed as means ± SEM, and statistical analysis was performed using SAS (Version 9.4, SAS Institute, Cary, NC). Because the population of women undergoing reduction mammoplasty typically had high BMIs, we combined the normal (BMIs between 18-24.9 kg/m</w:t>
      </w:r>
      <w:r w:rsidRPr="004F2B88">
        <w:rPr>
          <w:rFonts w:ascii="Times" w:hAnsi="Times" w:cs="Arial"/>
          <w:vertAlign w:val="superscript"/>
        </w:rPr>
        <w:t>2</w:t>
      </w:r>
      <w:r w:rsidRPr="004F2B88">
        <w:rPr>
          <w:rFonts w:ascii="Times" w:hAnsi="Times" w:cs="Arial"/>
        </w:rPr>
        <w:t>) and the overweight (BMIs between 25-29.9 kg/m</w:t>
      </w:r>
      <w:r w:rsidRPr="004F2B88">
        <w:rPr>
          <w:rFonts w:ascii="Times" w:hAnsi="Times" w:cs="Arial"/>
          <w:vertAlign w:val="superscript"/>
        </w:rPr>
        <w:t>2</w:t>
      </w:r>
      <w:r w:rsidRPr="004F2B88">
        <w:rPr>
          <w:rFonts w:ascii="Times" w:hAnsi="Times" w:cs="Arial"/>
        </w:rPr>
        <w:t>) women together and grouped subjects into two categories; non-obese group with a BMI &lt; 30 kg/m</w:t>
      </w:r>
      <w:r w:rsidRPr="004F2B88">
        <w:rPr>
          <w:rFonts w:ascii="Times" w:hAnsi="Times" w:cs="Arial"/>
          <w:vertAlign w:val="superscript"/>
        </w:rPr>
        <w:t>2</w:t>
      </w:r>
      <w:r w:rsidRPr="004F2B88">
        <w:rPr>
          <w:rFonts w:ascii="Times" w:hAnsi="Times" w:cs="Arial"/>
        </w:rPr>
        <w:t xml:space="preserve"> and obese group with BMI ≥ 30 kg/m</w:t>
      </w:r>
      <w:r w:rsidRPr="004F2B88">
        <w:rPr>
          <w:rFonts w:ascii="Times" w:hAnsi="Times" w:cs="Arial"/>
          <w:vertAlign w:val="superscript"/>
        </w:rPr>
        <w:t>2</w:t>
      </w:r>
      <w:r w:rsidRPr="004F2B88">
        <w:rPr>
          <w:rFonts w:ascii="Times" w:hAnsi="Times" w:cs="Arial"/>
        </w:rPr>
        <w:t>. To compare differences between these 2 groups, a T-test was used, and also when a multiple comparison was performed, significance was accepted with p &lt; 0.05 and a FDR cutoff of q &lt; 0.25.  For the association analysis, Pearson correlation analysis was performed for the association between BMI and mammary tissue folate, BC related gene expression and genome-wide DNA methylation and gene-specific methylation.</w:t>
      </w:r>
    </w:p>
    <w:p w14:paraId="759953ED" w14:textId="69868FF3" w:rsidR="007B66EC" w:rsidRDefault="001C3AE4" w:rsidP="00DF4749">
      <w:pPr>
        <w:spacing w:line="480" w:lineRule="auto"/>
        <w:ind w:firstLine="720"/>
        <w:jc w:val="both"/>
        <w:rPr>
          <w:rFonts w:ascii="Times" w:hAnsi="Times" w:cs="Arial"/>
        </w:rPr>
      </w:pPr>
      <w:r w:rsidRPr="004F2B88">
        <w:rPr>
          <w:rFonts w:ascii="Times" w:hAnsi="Times" w:cs="Arial"/>
        </w:rPr>
        <w:t xml:space="preserve">For gene expression, each gene was normalized to the housekeeping gene </w:t>
      </w:r>
      <w:r w:rsidRPr="004F2B88">
        <w:rPr>
          <w:rFonts w:ascii="Times" w:hAnsi="Times" w:cs="Arial"/>
          <w:i/>
        </w:rPr>
        <w:t>GAPDH</w:t>
      </w:r>
      <w:r w:rsidRPr="004F2B88">
        <w:rPr>
          <w:rFonts w:ascii="Times" w:hAnsi="Times" w:cs="Arial"/>
        </w:rPr>
        <w:t xml:space="preserve"> (</w:t>
      </w:r>
      <w:r w:rsidRPr="004F2B88">
        <w:rPr>
          <w:rFonts w:ascii="Times" w:hAnsi="Times" w:cs="Arial"/>
        </w:rPr>
        <w:sym w:font="Symbol" w:char="F044"/>
      </w:r>
      <w:r w:rsidRPr="004F2B88">
        <w:rPr>
          <w:rFonts w:ascii="Times" w:hAnsi="Times" w:cs="Arial"/>
        </w:rPr>
        <w:t xml:space="preserve">Ct = </w:t>
      </w:r>
      <w:proofErr w:type="spellStart"/>
      <w:r w:rsidRPr="004F2B88">
        <w:rPr>
          <w:rFonts w:ascii="Times" w:hAnsi="Times" w:cs="Arial"/>
        </w:rPr>
        <w:t>Ct</w:t>
      </w:r>
      <w:r w:rsidRPr="004F2B88">
        <w:rPr>
          <w:rFonts w:ascii="Times" w:hAnsi="Times" w:cs="Arial"/>
          <w:vertAlign w:val="subscript"/>
        </w:rPr>
        <w:t>target</w:t>
      </w:r>
      <w:proofErr w:type="spellEnd"/>
      <w:r w:rsidRPr="004F2B88">
        <w:rPr>
          <w:rFonts w:ascii="Times" w:hAnsi="Times" w:cs="Arial"/>
          <w:vertAlign w:val="subscript"/>
        </w:rPr>
        <w:t xml:space="preserve"> gene</w:t>
      </w:r>
      <w:r w:rsidRPr="004F2B88">
        <w:rPr>
          <w:rFonts w:ascii="Times" w:hAnsi="Times" w:cs="Arial"/>
        </w:rPr>
        <w:t>-</w:t>
      </w:r>
      <w:proofErr w:type="spellStart"/>
      <w:r w:rsidRPr="004F2B88">
        <w:rPr>
          <w:rFonts w:ascii="Times" w:hAnsi="Times" w:cs="Arial"/>
        </w:rPr>
        <w:t>Ct</w:t>
      </w:r>
      <w:r w:rsidRPr="004F2B88">
        <w:rPr>
          <w:rFonts w:ascii="Times" w:hAnsi="Times" w:cs="Arial"/>
          <w:i/>
          <w:vertAlign w:val="subscript"/>
        </w:rPr>
        <w:t>GAPDH</w:t>
      </w:r>
      <w:proofErr w:type="spellEnd"/>
      <w:r w:rsidRPr="004F2B88">
        <w:rPr>
          <w:rFonts w:ascii="Times" w:hAnsi="Times" w:cs="Arial"/>
        </w:rPr>
        <w:t xml:space="preserve">). Statistical analyses were performed based on differences in </w:t>
      </w:r>
      <w:proofErr w:type="spellStart"/>
      <w:r w:rsidRPr="004F2B88">
        <w:rPr>
          <w:rFonts w:ascii="Times" w:hAnsi="Times" w:cs="Arial"/>
        </w:rPr>
        <w:t>ΔCt</w:t>
      </w:r>
      <w:proofErr w:type="spellEnd"/>
      <w:r w:rsidRPr="004F2B88">
        <w:rPr>
          <w:rFonts w:ascii="Times" w:hAnsi="Times" w:cs="Arial"/>
        </w:rPr>
        <w:t xml:space="preserve"> between non-obese individuals with BMI &lt; 30kg/m</w:t>
      </w:r>
      <w:r w:rsidRPr="004F2B88">
        <w:rPr>
          <w:rFonts w:ascii="Times" w:hAnsi="Times" w:cs="Arial"/>
          <w:vertAlign w:val="superscript"/>
        </w:rPr>
        <w:t>2</w:t>
      </w:r>
      <w:r w:rsidRPr="004F2B88">
        <w:rPr>
          <w:rFonts w:ascii="Times" w:hAnsi="Times" w:cs="Arial"/>
        </w:rPr>
        <w:t xml:space="preserve"> and obese individuals with BMI ≥ 30 kg/m</w:t>
      </w:r>
      <w:r w:rsidRPr="004F2B88">
        <w:rPr>
          <w:rFonts w:ascii="Times" w:hAnsi="Times" w:cs="Arial"/>
          <w:vertAlign w:val="superscript"/>
        </w:rPr>
        <w:t>2</w:t>
      </w:r>
      <w:r w:rsidRPr="004F2B88">
        <w:rPr>
          <w:rFonts w:ascii="Times" w:hAnsi="Times" w:cs="Arial"/>
        </w:rPr>
        <w:t xml:space="preserve"> and relative expression is reported as 2</w:t>
      </w:r>
      <w:r w:rsidRPr="004F2B88">
        <w:rPr>
          <w:rFonts w:ascii="Times" w:hAnsi="Times" w:cs="Arial"/>
          <w:vertAlign w:val="superscript"/>
        </w:rPr>
        <w:t>−ΔΔCt</w:t>
      </w:r>
      <w:r w:rsidRPr="004F2B88">
        <w:rPr>
          <w:rFonts w:ascii="Times" w:hAnsi="Times" w:cs="Arial"/>
        </w:rPr>
        <w:t xml:space="preserve">, where </w:t>
      </w:r>
      <w:proofErr w:type="spellStart"/>
      <w:r w:rsidRPr="004F2B88">
        <w:rPr>
          <w:rFonts w:ascii="Times" w:hAnsi="Times" w:cs="Arial"/>
        </w:rPr>
        <w:t>ΔΔCt</w:t>
      </w:r>
      <w:proofErr w:type="spellEnd"/>
      <w:r w:rsidRPr="004F2B88">
        <w:rPr>
          <w:rFonts w:ascii="Times" w:hAnsi="Times" w:cs="Arial"/>
        </w:rPr>
        <w:t>=</w:t>
      </w:r>
      <w:r w:rsidRPr="004F2B88">
        <w:rPr>
          <w:rFonts w:ascii="Times" w:hAnsi="Times" w:cs="Arial"/>
        </w:rPr>
        <w:sym w:font="Symbol" w:char="F044"/>
      </w:r>
      <w:r w:rsidRPr="004F2B88">
        <w:rPr>
          <w:rFonts w:ascii="Times" w:hAnsi="Times" w:cs="Arial"/>
        </w:rPr>
        <w:t>Ct</w:t>
      </w:r>
      <w:r w:rsidRPr="004F2B88">
        <w:rPr>
          <w:rFonts w:ascii="Times" w:hAnsi="Times" w:cs="Arial"/>
          <w:vertAlign w:val="subscript"/>
        </w:rPr>
        <w:t>BMI≥30-</w:t>
      </w:r>
      <w:r w:rsidRPr="004F2B88">
        <w:rPr>
          <w:rFonts w:ascii="Times" w:hAnsi="Times" w:cs="Arial"/>
        </w:rPr>
        <w:sym w:font="Symbol" w:char="F044"/>
      </w:r>
      <w:proofErr w:type="spellStart"/>
      <w:r w:rsidRPr="004F2B88">
        <w:rPr>
          <w:rFonts w:ascii="Times" w:hAnsi="Times" w:cs="Arial"/>
        </w:rPr>
        <w:t>Ct</w:t>
      </w:r>
      <w:r w:rsidRPr="004F2B88">
        <w:rPr>
          <w:rFonts w:ascii="Times" w:hAnsi="Times" w:cs="Arial"/>
          <w:vertAlign w:val="subscript"/>
        </w:rPr>
        <w:t>BMI</w:t>
      </w:r>
      <w:proofErr w:type="spellEnd"/>
      <w:r w:rsidRPr="004F2B88">
        <w:rPr>
          <w:rFonts w:ascii="Times" w:hAnsi="Times" w:cs="Arial"/>
          <w:vertAlign w:val="subscript"/>
        </w:rPr>
        <w:t>&lt;30</w:t>
      </w:r>
      <w:r w:rsidRPr="004F2B88">
        <w:rPr>
          <w:rFonts w:ascii="Times" w:hAnsi="Times" w:cs="Arial"/>
        </w:rPr>
        <w:t xml:space="preserve">.  </w:t>
      </w:r>
    </w:p>
    <w:p w14:paraId="6A4D57B5" w14:textId="342AB351" w:rsidR="003E406A" w:rsidRDefault="003E406A" w:rsidP="00DF4749">
      <w:pPr>
        <w:spacing w:line="480" w:lineRule="auto"/>
        <w:ind w:firstLine="720"/>
        <w:jc w:val="both"/>
        <w:rPr>
          <w:rFonts w:ascii="Times" w:hAnsi="Times" w:cs="Arial"/>
        </w:rPr>
      </w:pPr>
    </w:p>
    <w:p w14:paraId="652DE7DD" w14:textId="77777777" w:rsidR="003E406A" w:rsidRPr="00DF4749" w:rsidRDefault="003E406A" w:rsidP="00DF4749">
      <w:pPr>
        <w:spacing w:line="480" w:lineRule="auto"/>
        <w:ind w:firstLine="720"/>
        <w:jc w:val="both"/>
        <w:rPr>
          <w:rFonts w:ascii="Times" w:hAnsi="Times" w:cs="Arial"/>
        </w:rPr>
      </w:pPr>
    </w:p>
    <w:p w14:paraId="07D955AF" w14:textId="37B8CBE1" w:rsidR="00477ACD" w:rsidRDefault="00477ACD">
      <w:pPr>
        <w:suppressAutoHyphens w:val="0"/>
        <w:rPr>
          <w:b/>
          <w:caps/>
        </w:rPr>
      </w:pPr>
      <w:r>
        <w:br w:type="page"/>
      </w:r>
    </w:p>
    <w:p w14:paraId="3EDDEA27" w14:textId="4D185E11" w:rsidR="003E406A" w:rsidRPr="003E406A" w:rsidRDefault="00B34889" w:rsidP="00B34889">
      <w:pPr>
        <w:pStyle w:val="Heading1"/>
      </w:pPr>
      <w:r>
        <w:lastRenderedPageBreak/>
        <w:t>CHAPTER 5</w:t>
      </w:r>
    </w:p>
    <w:p w14:paraId="71608DA1" w14:textId="7DD1D215" w:rsidR="003E406A" w:rsidRDefault="003E406A" w:rsidP="00B34889">
      <w:pPr>
        <w:pStyle w:val="Heading1"/>
      </w:pPr>
      <w:bookmarkStart w:id="24" w:name="_Toc510174028"/>
      <w:r>
        <w:t>RESULTS</w:t>
      </w:r>
      <w:bookmarkEnd w:id="24"/>
    </w:p>
    <w:p w14:paraId="7575772C" w14:textId="77777777" w:rsidR="00B34889" w:rsidRPr="00B34889" w:rsidRDefault="00B34889" w:rsidP="00B34889"/>
    <w:p w14:paraId="3315CC54" w14:textId="15DE8697" w:rsidR="003E406A" w:rsidRDefault="003E406A" w:rsidP="00C01D9F">
      <w:pPr>
        <w:pStyle w:val="Heading2"/>
      </w:pPr>
      <w:bookmarkStart w:id="25" w:name="_Toc510174029"/>
      <w:r>
        <w:t>5.1 Participants</w:t>
      </w:r>
      <w:bookmarkEnd w:id="25"/>
    </w:p>
    <w:p w14:paraId="7123D762" w14:textId="63D6660C" w:rsidR="003E406A" w:rsidRPr="00AF22C4" w:rsidRDefault="003E406A" w:rsidP="003E406A">
      <w:pPr>
        <w:spacing w:line="480" w:lineRule="auto"/>
        <w:ind w:firstLine="720"/>
        <w:jc w:val="both"/>
        <w:rPr>
          <w:rFonts w:ascii="Times" w:hAnsi="Times" w:cs="Arial"/>
        </w:rPr>
      </w:pPr>
      <w:r w:rsidRPr="00AF22C4">
        <w:rPr>
          <w:rFonts w:ascii="Times" w:hAnsi="Times" w:cs="Arial"/>
        </w:rPr>
        <w:t>Anthropometric characteristics of study participants are shown in Table 3. Participants were characterized into BMI classes, Normal Weight, Overweight and Obesity based on the principal cut-off points established by the World Health Organization standards for BMI categorization (WHO).  Mean BMI for the &lt;30 kg/m</w:t>
      </w:r>
      <w:r w:rsidRPr="00AF22C4">
        <w:rPr>
          <w:rFonts w:ascii="Times" w:hAnsi="Times" w:cs="Arial"/>
          <w:vertAlign w:val="superscript"/>
        </w:rPr>
        <w:t>2</w:t>
      </w:r>
      <w:r w:rsidRPr="00AF22C4">
        <w:rPr>
          <w:rFonts w:ascii="Times" w:hAnsi="Times" w:cs="Arial"/>
        </w:rPr>
        <w:t xml:space="preserve"> group was 26 kg/m</w:t>
      </w:r>
      <w:r w:rsidRPr="00AF22C4">
        <w:rPr>
          <w:rFonts w:ascii="Times" w:hAnsi="Times" w:cs="Arial"/>
          <w:vertAlign w:val="superscript"/>
        </w:rPr>
        <w:t>2</w:t>
      </w:r>
      <w:r w:rsidRPr="00AF22C4">
        <w:rPr>
          <w:rFonts w:ascii="Times" w:hAnsi="Times" w:cs="Arial"/>
        </w:rPr>
        <w:t xml:space="preserve"> (n=27). Mean BMI for the &gt;30 kg/m</w:t>
      </w:r>
      <w:r w:rsidRPr="00AF22C4">
        <w:rPr>
          <w:rFonts w:ascii="Times" w:hAnsi="Times" w:cs="Arial"/>
          <w:vertAlign w:val="superscript"/>
        </w:rPr>
        <w:t>2</w:t>
      </w:r>
      <w:r w:rsidRPr="00AF22C4">
        <w:rPr>
          <w:rFonts w:ascii="Times" w:hAnsi="Times" w:cs="Arial"/>
        </w:rPr>
        <w:t xml:space="preserve"> group was 35 kg/m2 (n=23). There were no significant differences among the different BMI categories with regard to parity or age (p &gt; 0.05). When compared to the Normal Weight group, age was marginally higher (p = 0.092).  No others significant differences were measured. </w:t>
      </w:r>
    </w:p>
    <w:p w14:paraId="0320AF79" w14:textId="77777777" w:rsidR="00D030EF" w:rsidRPr="002A76C1" w:rsidRDefault="00D030EF" w:rsidP="00005E2D">
      <w:pPr>
        <w:spacing w:line="480" w:lineRule="auto"/>
        <w:ind w:firstLine="720"/>
        <w:jc w:val="both"/>
        <w:rPr>
          <w:rFonts w:ascii="Times" w:hAnsi="Times" w:cs="Arial"/>
          <w:color w:val="000000"/>
        </w:rPr>
      </w:pPr>
    </w:p>
    <w:p w14:paraId="23C70F2C" w14:textId="2DD7EBDE" w:rsidR="007B66EC" w:rsidRDefault="006D762A" w:rsidP="0080406C">
      <w:pPr>
        <w:pStyle w:val="Caption"/>
      </w:pPr>
      <w:r w:rsidRPr="006D762A">
        <w:t>Table 3.</w:t>
      </w:r>
      <w:r>
        <w:t xml:space="preserve"> Anthropometric Characteristics of subjects.</w:t>
      </w:r>
    </w:p>
    <w:p w14:paraId="47FEAE5E" w14:textId="129827CF" w:rsidR="00AA368E" w:rsidRDefault="0080406C" w:rsidP="009F3C87">
      <w:pPr>
        <w:jc w:val="center"/>
      </w:pPr>
      <w:r w:rsidRPr="006D762A">
        <w:rPr>
          <w:b/>
          <w:noProof/>
        </w:rPr>
        <w:drawing>
          <wp:inline distT="0" distB="0" distL="0" distR="0" wp14:anchorId="70A79619" wp14:editId="1BE59B16">
            <wp:extent cx="5161548" cy="1651000"/>
            <wp:effectExtent l="12700" t="12700" r="7620" b="12700"/>
            <wp:docPr id="26" name="table">
              <a:extLst xmlns:a="http://schemas.openxmlformats.org/drawingml/2006/main">
                <a:ext uri="{FF2B5EF4-FFF2-40B4-BE49-F238E27FC236}">
                  <a16:creationId xmlns:a16="http://schemas.microsoft.com/office/drawing/2014/main" id="{372E7690-7C07-FE4F-B399-E29557C3B6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a:extLst>
                        <a:ext uri="{FF2B5EF4-FFF2-40B4-BE49-F238E27FC236}">
                          <a16:creationId xmlns:a16="http://schemas.microsoft.com/office/drawing/2014/main" id="{372E7690-7C07-FE4F-B399-E29557C3B651}"/>
                        </a:ext>
                      </a:extLst>
                    </pic:cNvPr>
                    <pic:cNvPicPr>
                      <a:picLocks noChangeAspect="1"/>
                    </pic:cNvPicPr>
                  </pic:nvPicPr>
                  <pic:blipFill>
                    <a:blip r:embed="rId12"/>
                    <a:stretch>
                      <a:fillRect/>
                    </a:stretch>
                  </pic:blipFill>
                  <pic:spPr>
                    <a:xfrm>
                      <a:off x="0" y="0"/>
                      <a:ext cx="5167108" cy="1652779"/>
                    </a:xfrm>
                    <a:prstGeom prst="rect">
                      <a:avLst/>
                    </a:prstGeom>
                    <a:ln>
                      <a:solidFill>
                        <a:schemeClr val="tx1"/>
                      </a:solidFill>
                    </a:ln>
                  </pic:spPr>
                </pic:pic>
              </a:graphicData>
            </a:graphic>
          </wp:inline>
        </w:drawing>
      </w:r>
    </w:p>
    <w:p w14:paraId="56C32279" w14:textId="466D5990" w:rsidR="00D030EF" w:rsidRDefault="00D030EF" w:rsidP="00D030EF">
      <w:pPr>
        <w:jc w:val="both"/>
      </w:pPr>
      <w:r>
        <w:t xml:space="preserve">*Different letters denote significant differences among the BMI categories </w:t>
      </w:r>
      <w:proofErr w:type="gramStart"/>
      <w:r>
        <w:t>( p</w:t>
      </w:r>
      <w:proofErr w:type="gramEnd"/>
      <w:r>
        <w:t xml:space="preserve"> &lt; 0.001). There are no significant differences of numbers of parous women and age among the different BMI categories </w:t>
      </w:r>
      <w:proofErr w:type="gramStart"/>
      <w:r>
        <w:t>( p</w:t>
      </w:r>
      <w:proofErr w:type="gramEnd"/>
      <w:r>
        <w:t xml:space="preserve"> &gt; 0.05), with a marginal higher age for the Obesity group when compared to the Normal Weight group (p = 0.092). </w:t>
      </w:r>
    </w:p>
    <w:p w14:paraId="6C11B6C9" w14:textId="7E9E362D" w:rsidR="00D030EF" w:rsidRDefault="00D030EF" w:rsidP="00D030EF">
      <w:pPr>
        <w:jc w:val="both"/>
      </w:pPr>
    </w:p>
    <w:p w14:paraId="1691519D" w14:textId="77777777" w:rsidR="00D030EF" w:rsidRDefault="00D030EF" w:rsidP="00D030EF">
      <w:pPr>
        <w:jc w:val="both"/>
      </w:pPr>
    </w:p>
    <w:p w14:paraId="6B95C886" w14:textId="12002594" w:rsidR="00D030EF" w:rsidRDefault="00475CA3" w:rsidP="00C01D9F">
      <w:pPr>
        <w:pStyle w:val="Heading2"/>
      </w:pPr>
      <w:bookmarkStart w:id="26" w:name="_Toc510174030"/>
      <w:r>
        <w:t xml:space="preserve">5.2 </w:t>
      </w:r>
      <w:r w:rsidR="00D030EF">
        <w:t>Obesity and Mammary Tissue Folate Status</w:t>
      </w:r>
      <w:bookmarkEnd w:id="26"/>
      <w:r w:rsidR="00D030EF">
        <w:t xml:space="preserve"> </w:t>
      </w:r>
    </w:p>
    <w:p w14:paraId="60663049" w14:textId="7B0F3884" w:rsidR="0080406C" w:rsidRDefault="00F311BF" w:rsidP="00F311BF">
      <w:pPr>
        <w:spacing w:line="480" w:lineRule="auto"/>
        <w:jc w:val="both"/>
        <w:rPr>
          <w:rFonts w:ascii="Times" w:hAnsi="Times" w:cs="Arial"/>
        </w:rPr>
      </w:pPr>
      <w:r w:rsidRPr="002A76C1">
        <w:rPr>
          <w:rFonts w:ascii="Times" w:hAnsi="Times" w:cs="Arial"/>
          <w:color w:val="000000"/>
        </w:rPr>
        <w:t>The folic acid concentration standard curve was generated using a known concentration of folic acid</w:t>
      </w:r>
      <w:r w:rsidR="008D3BB8">
        <w:rPr>
          <w:rFonts w:ascii="Times" w:hAnsi="Times" w:cs="Arial"/>
          <w:color w:val="000000"/>
        </w:rPr>
        <w:t xml:space="preserve">. </w:t>
      </w:r>
      <w:r>
        <w:rPr>
          <w:rFonts w:ascii="Times" w:hAnsi="Times" w:cs="Arial"/>
          <w:color w:val="000000"/>
        </w:rPr>
        <w:t xml:space="preserve">An example </w:t>
      </w:r>
      <w:r w:rsidR="004A5684">
        <w:rPr>
          <w:rFonts w:ascii="Times" w:hAnsi="Times" w:cs="Arial"/>
          <w:color w:val="000000"/>
        </w:rPr>
        <w:t>of plate layout is included in F</w:t>
      </w:r>
      <w:r w:rsidR="008D3BB8">
        <w:rPr>
          <w:rFonts w:ascii="Times" w:hAnsi="Times" w:cs="Arial"/>
          <w:color w:val="000000"/>
        </w:rPr>
        <w:t>igure 1</w:t>
      </w:r>
      <w:r>
        <w:rPr>
          <w:rFonts w:ascii="Times" w:hAnsi="Times" w:cs="Arial"/>
          <w:color w:val="000000"/>
        </w:rPr>
        <w:t xml:space="preserve">. Tissue folate samples were </w:t>
      </w:r>
      <w:r>
        <w:rPr>
          <w:rFonts w:ascii="Times" w:hAnsi="Times" w:cs="Arial"/>
          <w:color w:val="000000"/>
        </w:rPr>
        <w:lastRenderedPageBreak/>
        <w:t>run</w:t>
      </w:r>
      <w:r w:rsidRPr="002A76C1">
        <w:rPr>
          <w:rFonts w:ascii="Times" w:hAnsi="Times" w:cs="Arial"/>
          <w:color w:val="000000"/>
        </w:rPr>
        <w:t xml:space="preserve"> in triplicate, KmNO4 buffer was used as an internal control and human plasma as </w:t>
      </w:r>
      <w:r w:rsidR="00D446D3">
        <w:rPr>
          <w:rFonts w:ascii="Times" w:hAnsi="Times" w:cs="Arial"/>
          <w:color w:val="000000"/>
        </w:rPr>
        <w:t xml:space="preserve">a </w:t>
      </w:r>
      <w:r w:rsidRPr="002A76C1">
        <w:rPr>
          <w:rFonts w:ascii="Times" w:hAnsi="Times" w:cs="Arial"/>
          <w:color w:val="000000"/>
        </w:rPr>
        <w:t>control for inter-assay variabilit</w:t>
      </w:r>
      <w:r>
        <w:rPr>
          <w:rFonts w:ascii="Times" w:hAnsi="Times" w:cs="Arial"/>
          <w:color w:val="000000"/>
        </w:rPr>
        <w:t>y.</w:t>
      </w:r>
      <w:r w:rsidRPr="004F2B88">
        <w:rPr>
          <w:rFonts w:ascii="Times" w:hAnsi="Times" w:cs="Arial"/>
        </w:rPr>
        <w:t xml:space="preserve"> </w:t>
      </w:r>
    </w:p>
    <w:p w14:paraId="0EFE7A07" w14:textId="77777777" w:rsidR="0080406C" w:rsidRDefault="0080406C" w:rsidP="00F311BF">
      <w:pPr>
        <w:spacing w:line="480" w:lineRule="auto"/>
        <w:jc w:val="both"/>
        <w:rPr>
          <w:rFonts w:ascii="Times" w:hAnsi="Times" w:cs="Arial"/>
        </w:rPr>
      </w:pPr>
    </w:p>
    <w:p w14:paraId="557D8617" w14:textId="018A15B7" w:rsidR="0080406C" w:rsidRDefault="0080406C" w:rsidP="004A5684">
      <w:pPr>
        <w:spacing w:line="480" w:lineRule="auto"/>
        <w:jc w:val="center"/>
        <w:rPr>
          <w:rFonts w:ascii="Times" w:hAnsi="Times" w:cs="Arial"/>
        </w:rPr>
      </w:pPr>
      <w:r w:rsidRPr="002A76C1">
        <w:rPr>
          <w:rFonts w:ascii="Times" w:hAnsi="Times" w:cs="Arial"/>
          <w:noProof/>
          <w:color w:val="000000"/>
        </w:rPr>
        <w:drawing>
          <wp:inline distT="0" distB="0" distL="0" distR="0" wp14:anchorId="296FCFCB" wp14:editId="5FC5FC7D">
            <wp:extent cx="5186147" cy="3535045"/>
            <wp:effectExtent l="12700" t="12700" r="8255" b="825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creen Shot 2018-03-27 at 9.56.02 AM.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01441" cy="3545470"/>
                    </a:xfrm>
                    <a:prstGeom prst="rect">
                      <a:avLst/>
                    </a:prstGeom>
                    <a:ln>
                      <a:solidFill>
                        <a:schemeClr val="tx1"/>
                      </a:solidFill>
                    </a:ln>
                  </pic:spPr>
                </pic:pic>
              </a:graphicData>
            </a:graphic>
          </wp:inline>
        </w:drawing>
      </w:r>
    </w:p>
    <w:p w14:paraId="389F01ED" w14:textId="39A78078" w:rsidR="001F32EC" w:rsidRDefault="00DC3DC4" w:rsidP="001F32EC">
      <w:pPr>
        <w:pStyle w:val="Caption"/>
        <w:rPr>
          <w:rFonts w:cs="Arial"/>
        </w:rPr>
      </w:pPr>
      <w:r>
        <w:t>Figure 1</w:t>
      </w:r>
      <w:r w:rsidR="001F32EC" w:rsidRPr="002A76C1">
        <w:t>.  Lactobacillus casei folic acid assay standard plate layout</w:t>
      </w:r>
    </w:p>
    <w:p w14:paraId="42A68988" w14:textId="77777777" w:rsidR="001F32EC" w:rsidRDefault="001F32EC" w:rsidP="00F311BF">
      <w:pPr>
        <w:spacing w:line="480" w:lineRule="auto"/>
        <w:jc w:val="both"/>
        <w:rPr>
          <w:rFonts w:ascii="Times" w:hAnsi="Times" w:cs="Arial"/>
          <w:color w:val="000000"/>
        </w:rPr>
      </w:pPr>
    </w:p>
    <w:p w14:paraId="7C518308" w14:textId="6A856D72" w:rsidR="0080406C" w:rsidRDefault="00F311BF" w:rsidP="001F32EC">
      <w:pPr>
        <w:spacing w:line="480" w:lineRule="auto"/>
        <w:ind w:firstLine="720"/>
        <w:jc w:val="both"/>
        <w:rPr>
          <w:rFonts w:ascii="Times" w:hAnsi="Times" w:cs="Arial"/>
          <w:color w:val="000000"/>
        </w:rPr>
      </w:pPr>
      <w:r w:rsidRPr="002A76C1">
        <w:rPr>
          <w:rFonts w:ascii="Times" w:hAnsi="Times" w:cs="Arial"/>
          <w:color w:val="000000"/>
        </w:rPr>
        <w:t>Mean tissue-specific folate for all groups was 1</w:t>
      </w:r>
      <w:r w:rsidR="004A5684">
        <w:rPr>
          <w:rFonts w:ascii="Times" w:hAnsi="Times"/>
          <w:color w:val="000000"/>
        </w:rPr>
        <w:t xml:space="preserve">7.042 </w:t>
      </w:r>
      <w:r>
        <w:rPr>
          <w:rFonts w:ascii="Times" w:hAnsi="Times"/>
          <w:color w:val="000000"/>
        </w:rPr>
        <w:t>kg/</w:t>
      </w:r>
      <w:r w:rsidRPr="007E29AB">
        <w:rPr>
          <w:rFonts w:ascii="Times" w:hAnsi="Times"/>
          <w:color w:val="000000"/>
        </w:rPr>
        <w:t>m</w:t>
      </w:r>
      <w:r w:rsidRPr="007E29AB">
        <w:rPr>
          <w:rFonts w:ascii="Times" w:hAnsi="Times"/>
          <w:color w:val="000000"/>
          <w:vertAlign w:val="superscript"/>
        </w:rPr>
        <w:t>2</w:t>
      </w:r>
      <w:r>
        <w:rPr>
          <w:rFonts w:ascii="Times" w:hAnsi="Times"/>
          <w:color w:val="000000"/>
        </w:rPr>
        <w:t xml:space="preserve">. </w:t>
      </w:r>
      <w:r w:rsidRPr="007E29AB">
        <w:rPr>
          <w:rFonts w:ascii="Times" w:hAnsi="Times" w:cs="Arial"/>
          <w:color w:val="000000"/>
        </w:rPr>
        <w:t>Mean</w:t>
      </w:r>
      <w:r w:rsidRPr="002A76C1">
        <w:rPr>
          <w:rFonts w:ascii="Times" w:hAnsi="Times" w:cs="Arial"/>
          <w:color w:val="000000"/>
        </w:rPr>
        <w:t xml:space="preserve"> tissue-specific folate level is significantly higher in obese versus non-obese women (&lt;30 BM</w:t>
      </w:r>
      <w:r w:rsidR="004A5684">
        <w:rPr>
          <w:rFonts w:ascii="Times" w:hAnsi="Times" w:cs="Arial"/>
          <w:color w:val="000000"/>
        </w:rPr>
        <w:t>I 15.31, &gt;30 BMI 19.59,</w:t>
      </w:r>
      <w:r w:rsidR="00FC314B">
        <w:rPr>
          <w:rFonts w:ascii="Times" w:hAnsi="Times" w:cs="Arial"/>
          <w:color w:val="000000"/>
        </w:rPr>
        <w:t xml:space="preserve"> p</w:t>
      </w:r>
      <w:r w:rsidR="004A5684">
        <w:rPr>
          <w:rFonts w:ascii="Times" w:hAnsi="Times" w:cs="Arial"/>
          <w:color w:val="000000"/>
        </w:rPr>
        <w:t xml:space="preserve"> = </w:t>
      </w:r>
      <w:r w:rsidR="008D3BB8">
        <w:rPr>
          <w:rFonts w:ascii="Times" w:hAnsi="Times" w:cs="Arial"/>
          <w:color w:val="000000"/>
        </w:rPr>
        <w:t>0.0439). (Figure 2</w:t>
      </w:r>
      <w:r w:rsidRPr="002A76C1">
        <w:rPr>
          <w:rFonts w:ascii="Times" w:hAnsi="Times" w:cs="Arial"/>
          <w:color w:val="000000"/>
        </w:rPr>
        <w:t>) Breast tissue folate level in obese wome</w:t>
      </w:r>
      <w:r w:rsidR="004A5684">
        <w:rPr>
          <w:rFonts w:ascii="Times" w:hAnsi="Times" w:cs="Arial"/>
          <w:color w:val="000000"/>
        </w:rPr>
        <w:t>n (19.59 ng/g) is 28% higher (</w:t>
      </w:r>
      <w:proofErr w:type="gramStart"/>
      <w:r w:rsidR="00FC314B">
        <w:rPr>
          <w:rFonts w:ascii="Times" w:hAnsi="Times" w:cs="Arial"/>
          <w:color w:val="000000"/>
        </w:rPr>
        <w:t xml:space="preserve">p </w:t>
      </w:r>
      <w:r w:rsidR="00EC3729">
        <w:rPr>
          <w:rFonts w:ascii="Times" w:hAnsi="Times" w:cs="Arial"/>
          <w:color w:val="000000"/>
        </w:rPr>
        <w:t xml:space="preserve"> </w:t>
      </w:r>
      <w:r w:rsidR="004A5684">
        <w:rPr>
          <w:rFonts w:ascii="Times" w:hAnsi="Times" w:cs="Arial"/>
          <w:color w:val="000000"/>
        </w:rPr>
        <w:t>&lt;</w:t>
      </w:r>
      <w:proofErr w:type="gramEnd"/>
      <w:r w:rsidR="004A5684">
        <w:rPr>
          <w:rFonts w:ascii="Times" w:hAnsi="Times" w:cs="Arial"/>
          <w:color w:val="000000"/>
        </w:rPr>
        <w:t xml:space="preserve"> </w:t>
      </w:r>
      <w:r w:rsidRPr="002A76C1">
        <w:rPr>
          <w:rFonts w:ascii="Times" w:hAnsi="Times" w:cs="Arial"/>
          <w:color w:val="000000"/>
        </w:rPr>
        <w:t>0.05) when compared to folate s</w:t>
      </w:r>
      <w:r w:rsidR="004A5684">
        <w:rPr>
          <w:rFonts w:ascii="Times" w:hAnsi="Times" w:cs="Arial"/>
          <w:color w:val="000000"/>
        </w:rPr>
        <w:t xml:space="preserve">tatus in non-obese women (15.31 </w:t>
      </w:r>
      <w:r w:rsidRPr="002A76C1">
        <w:rPr>
          <w:rFonts w:ascii="Times" w:hAnsi="Times" w:cs="Arial"/>
          <w:color w:val="000000"/>
        </w:rPr>
        <w:t xml:space="preserve">ng/g). No statistically significant difference was found between normal and overweight BMI and tissue folate. </w:t>
      </w:r>
    </w:p>
    <w:p w14:paraId="7465244F" w14:textId="672ED76B" w:rsidR="0080406C" w:rsidRDefault="0080406C" w:rsidP="0080406C">
      <w:pPr>
        <w:pStyle w:val="Caption"/>
      </w:pPr>
      <w:r w:rsidRPr="002A76C1">
        <w:rPr>
          <w:rFonts w:ascii="Times" w:hAnsi="Times" w:cs="Arial"/>
          <w:noProof/>
          <w:color w:val="000000"/>
        </w:rPr>
        <w:lastRenderedPageBreak/>
        <w:drawing>
          <wp:inline distT="0" distB="0" distL="0" distR="0" wp14:anchorId="0B0B134B" wp14:editId="542FA43C">
            <wp:extent cx="2603500" cy="2286000"/>
            <wp:effectExtent l="12700" t="12700" r="12700" b="12700"/>
            <wp:docPr id="34" name="Picture 3">
              <a:extLst xmlns:a="http://schemas.openxmlformats.org/drawingml/2006/main">
                <a:ext uri="{FF2B5EF4-FFF2-40B4-BE49-F238E27FC236}">
                  <a16:creationId xmlns:a16="http://schemas.microsoft.com/office/drawing/2014/main" id="{4EBBD58C-0CD3-A748-9D08-53DFE13E50E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4EBBD58C-0CD3-A748-9D08-53DFE13E50EE}"/>
                        </a:ext>
                      </a:extLst>
                    </pic:cNvPr>
                    <pic:cNvPicPr>
                      <a:picLocks noChangeAspect="1"/>
                    </pic:cNvPicPr>
                  </pic:nvPicPr>
                  <pic:blipFill>
                    <a:blip r:embed="rId14"/>
                    <a:stretch>
                      <a:fillRect/>
                    </a:stretch>
                  </pic:blipFill>
                  <pic:spPr>
                    <a:xfrm>
                      <a:off x="0" y="0"/>
                      <a:ext cx="2621963" cy="2302211"/>
                    </a:xfrm>
                    <a:prstGeom prst="rect">
                      <a:avLst/>
                    </a:prstGeom>
                    <a:ln>
                      <a:solidFill>
                        <a:schemeClr val="tx1"/>
                      </a:solidFill>
                    </a:ln>
                  </pic:spPr>
                </pic:pic>
              </a:graphicData>
            </a:graphic>
          </wp:inline>
        </w:drawing>
      </w:r>
    </w:p>
    <w:p w14:paraId="63440C3D" w14:textId="243A66A4" w:rsidR="0080406C" w:rsidRDefault="00DC3DC4" w:rsidP="0080406C">
      <w:pPr>
        <w:pStyle w:val="Caption"/>
      </w:pPr>
      <w:r>
        <w:t>Figure 2</w:t>
      </w:r>
      <w:r w:rsidR="0080406C" w:rsidRPr="00BA0BE6">
        <w:t>. Association between tissue folate and BMI.</w:t>
      </w:r>
    </w:p>
    <w:p w14:paraId="31431CF3" w14:textId="1F7193E9" w:rsidR="0080406C" w:rsidRDefault="0080406C" w:rsidP="0080406C">
      <w:pPr>
        <w:pStyle w:val="Caption"/>
      </w:pPr>
      <w:r w:rsidRPr="00BA0BE6">
        <w:t>* denotes statistical significance (p &lt;0.05).</w:t>
      </w:r>
    </w:p>
    <w:p w14:paraId="691E5FAB" w14:textId="44965BA6" w:rsidR="0080406C" w:rsidRDefault="0080406C" w:rsidP="00F311BF">
      <w:pPr>
        <w:spacing w:line="480" w:lineRule="auto"/>
        <w:jc w:val="both"/>
        <w:rPr>
          <w:rFonts w:ascii="Times" w:hAnsi="Times" w:cs="Arial"/>
          <w:color w:val="000000"/>
        </w:rPr>
      </w:pPr>
    </w:p>
    <w:p w14:paraId="28F592C1" w14:textId="1558EE49" w:rsidR="0080406C" w:rsidRDefault="00F311BF" w:rsidP="001F32EC">
      <w:pPr>
        <w:spacing w:line="480" w:lineRule="auto"/>
        <w:ind w:firstLine="720"/>
        <w:jc w:val="both"/>
        <w:rPr>
          <w:rFonts w:ascii="Times" w:hAnsi="Times" w:cs="Arial"/>
          <w:i/>
          <w:color w:val="000000"/>
        </w:rPr>
      </w:pPr>
      <w:r w:rsidRPr="002A76C1">
        <w:rPr>
          <w:rFonts w:ascii="Times" w:hAnsi="Times" w:cs="Arial"/>
          <w:color w:val="000000"/>
        </w:rPr>
        <w:t>A sign</w:t>
      </w:r>
      <w:r w:rsidR="004A5684">
        <w:rPr>
          <w:rFonts w:ascii="Times" w:hAnsi="Times" w:cs="Arial"/>
          <w:color w:val="000000"/>
        </w:rPr>
        <w:t>ificant positive correlation (</w:t>
      </w:r>
      <w:r w:rsidR="00FC314B">
        <w:rPr>
          <w:rFonts w:ascii="Times" w:hAnsi="Times" w:cs="Arial"/>
          <w:color w:val="000000"/>
        </w:rPr>
        <w:t xml:space="preserve">p </w:t>
      </w:r>
      <w:r w:rsidR="004A5684">
        <w:rPr>
          <w:rFonts w:ascii="Times" w:hAnsi="Times" w:cs="Arial"/>
          <w:color w:val="000000"/>
        </w:rPr>
        <w:t xml:space="preserve">&lt; </w:t>
      </w:r>
      <w:r w:rsidRPr="002A76C1">
        <w:rPr>
          <w:rFonts w:ascii="Times" w:hAnsi="Times" w:cs="Arial"/>
          <w:color w:val="000000"/>
        </w:rPr>
        <w:t>0.01) was observed between breast tissue</w:t>
      </w:r>
      <w:r w:rsidR="008D3BB8">
        <w:rPr>
          <w:rFonts w:ascii="Times" w:hAnsi="Times" w:cs="Arial"/>
          <w:color w:val="000000"/>
        </w:rPr>
        <w:t xml:space="preserve"> folate status and BMI (Figure 3</w:t>
      </w:r>
      <w:r w:rsidRPr="002A76C1">
        <w:rPr>
          <w:rFonts w:ascii="Times" w:hAnsi="Times" w:cs="Arial"/>
          <w:color w:val="000000"/>
        </w:rPr>
        <w:t xml:space="preserve">). A high BMI is associated with increased folate levels in mammary tissue, with an increase of 2.65 ng/g of folate per every 5-unit increase of BMI (p-value for slope </w:t>
      </w:r>
      <w:r w:rsidRPr="00EC3729">
        <w:rPr>
          <w:rFonts w:ascii="Times" w:hAnsi="Times" w:cs="Arial"/>
          <w:color w:val="000000"/>
        </w:rPr>
        <w:t>= 0.0064</w:t>
      </w:r>
      <w:r w:rsidRPr="002A76C1">
        <w:rPr>
          <w:rFonts w:ascii="Times" w:hAnsi="Times" w:cs="Arial"/>
          <w:i/>
          <w:color w:val="000000"/>
        </w:rPr>
        <w:t>)</w:t>
      </w:r>
      <w:r w:rsidR="00D030EF">
        <w:rPr>
          <w:rFonts w:ascii="Times" w:hAnsi="Times" w:cs="Arial"/>
          <w:i/>
          <w:color w:val="000000"/>
        </w:rPr>
        <w:t>.</w:t>
      </w:r>
    </w:p>
    <w:p w14:paraId="7DD9BE99" w14:textId="77777777" w:rsidR="00F311BF" w:rsidRDefault="00F311BF" w:rsidP="00F311BF">
      <w:pPr>
        <w:spacing w:line="480" w:lineRule="auto"/>
        <w:jc w:val="both"/>
        <w:rPr>
          <w:rFonts w:ascii="Times" w:hAnsi="Times" w:cs="Arial"/>
          <w:i/>
          <w:color w:val="000000"/>
        </w:rPr>
      </w:pPr>
    </w:p>
    <w:p w14:paraId="68EAA883" w14:textId="32F20D71" w:rsidR="00F311BF" w:rsidRDefault="00F311BF" w:rsidP="001E1227">
      <w:pPr>
        <w:spacing w:line="480" w:lineRule="auto"/>
        <w:jc w:val="center"/>
        <w:rPr>
          <w:rFonts w:ascii="Times" w:hAnsi="Times" w:cs="Arial"/>
          <w:i/>
          <w:color w:val="000000"/>
        </w:rPr>
      </w:pPr>
      <w:r w:rsidRPr="002A76C1">
        <w:rPr>
          <w:rFonts w:ascii="Times" w:hAnsi="Times" w:cs="Arial"/>
          <w:i/>
          <w:color w:val="000000"/>
        </w:rPr>
        <w:t>.</w:t>
      </w:r>
      <w:r w:rsidR="0080406C" w:rsidRPr="0080406C">
        <w:rPr>
          <w:rFonts w:ascii="Times" w:hAnsi="Times" w:cs="Arial"/>
          <w:noProof/>
          <w:color w:val="000000"/>
        </w:rPr>
        <w:t xml:space="preserve"> </w:t>
      </w:r>
      <w:r w:rsidR="001E1227" w:rsidRPr="001E1227">
        <w:rPr>
          <w:rFonts w:ascii="Times" w:hAnsi="Times" w:cs="Arial"/>
          <w:noProof/>
          <w:color w:val="000000"/>
        </w:rPr>
        <w:drawing>
          <wp:inline distT="0" distB="0" distL="0" distR="0" wp14:anchorId="0AFA832B" wp14:editId="240B3932">
            <wp:extent cx="4329953" cy="2250673"/>
            <wp:effectExtent l="12700" t="12700" r="13970" b="10160"/>
            <wp:docPr id="10" name="Picture 9">
              <a:extLst xmlns:a="http://schemas.openxmlformats.org/drawingml/2006/main">
                <a:ext uri="{FF2B5EF4-FFF2-40B4-BE49-F238E27FC236}">
                  <a16:creationId xmlns:a16="http://schemas.microsoft.com/office/drawing/2014/main" id="{B14F9B97-693A-0E47-BA54-2846F37601C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B14F9B97-693A-0E47-BA54-2846F37601C3}"/>
                        </a:ext>
                      </a:extLst>
                    </pic:cNvPr>
                    <pic:cNvPicPr>
                      <a:picLocks noChangeAspect="1"/>
                    </pic:cNvPicPr>
                  </pic:nvPicPr>
                  <pic:blipFill>
                    <a:blip r:embed="rId15"/>
                    <a:stretch>
                      <a:fillRect/>
                    </a:stretch>
                  </pic:blipFill>
                  <pic:spPr>
                    <a:xfrm>
                      <a:off x="0" y="0"/>
                      <a:ext cx="4340704" cy="2256261"/>
                    </a:xfrm>
                    <a:prstGeom prst="rect">
                      <a:avLst/>
                    </a:prstGeom>
                    <a:ln>
                      <a:solidFill>
                        <a:schemeClr val="tx1"/>
                      </a:solidFill>
                    </a:ln>
                  </pic:spPr>
                </pic:pic>
              </a:graphicData>
            </a:graphic>
          </wp:inline>
        </w:drawing>
      </w:r>
    </w:p>
    <w:p w14:paraId="325A18F0" w14:textId="244250BF" w:rsidR="00F311BF" w:rsidRPr="00105BC3" w:rsidRDefault="00DC3DC4" w:rsidP="00105BC3">
      <w:pPr>
        <w:pStyle w:val="Caption"/>
        <w:rPr>
          <w:rFonts w:ascii="Times" w:hAnsi="Times" w:cs="Arial"/>
          <w:i/>
        </w:rPr>
      </w:pPr>
      <w:r>
        <w:t>Figure 3</w:t>
      </w:r>
      <w:r w:rsidR="0080406C" w:rsidRPr="002A76C1">
        <w:t>. Linear association between BMI and tissue folate.</w:t>
      </w:r>
    </w:p>
    <w:p w14:paraId="4100F624" w14:textId="5CEFAC93" w:rsidR="00D030EF" w:rsidRPr="00D030EF" w:rsidRDefault="00D030EF" w:rsidP="00C01D9F">
      <w:pPr>
        <w:pStyle w:val="Heading2"/>
      </w:pPr>
      <w:bookmarkStart w:id="27" w:name="_Toc510174031"/>
      <w:r w:rsidRPr="00D030EF">
        <w:lastRenderedPageBreak/>
        <w:t>5.3 Global DNA Methylation</w:t>
      </w:r>
      <w:bookmarkEnd w:id="27"/>
      <w:r w:rsidRPr="00D030EF">
        <w:t xml:space="preserve"> </w:t>
      </w:r>
    </w:p>
    <w:p w14:paraId="5A259457" w14:textId="4CCD60DD" w:rsidR="00A615DE" w:rsidRPr="00477ACD" w:rsidRDefault="00F311BF" w:rsidP="00477ACD">
      <w:pPr>
        <w:spacing w:line="480" w:lineRule="auto"/>
        <w:ind w:firstLine="720"/>
        <w:jc w:val="both"/>
      </w:pPr>
      <w:r w:rsidRPr="003317A3">
        <w:rPr>
          <w:rFonts w:ascii="Times" w:hAnsi="Times" w:cs="Arial"/>
          <w:color w:val="000000"/>
        </w:rPr>
        <w:t>LINE-1</w:t>
      </w:r>
      <w:r w:rsidRPr="002A76C1">
        <w:rPr>
          <w:rFonts w:ascii="Times" w:hAnsi="Times" w:cs="Arial"/>
          <w:color w:val="000000"/>
        </w:rPr>
        <w:t xml:space="preserve"> methylation was measured as a surrogate of global DNA methylation. </w:t>
      </w:r>
      <w:r w:rsidRPr="003317A3">
        <w:rPr>
          <w:rFonts w:ascii="Times" w:hAnsi="Times" w:cs="Arial"/>
          <w:color w:val="000000"/>
        </w:rPr>
        <w:t>LINE-1</w:t>
      </w:r>
      <w:r w:rsidRPr="002A76C1">
        <w:rPr>
          <w:rFonts w:ascii="Times" w:hAnsi="Times" w:cs="Arial"/>
          <w:color w:val="000000"/>
        </w:rPr>
        <w:t xml:space="preserve"> methylation is significantly associated with BMI (</w:t>
      </w:r>
      <w:r w:rsidR="00EC3729">
        <w:rPr>
          <w:rFonts w:ascii="Times" w:hAnsi="Times" w:cs="Arial"/>
          <w:color w:val="000000"/>
        </w:rPr>
        <w:t xml:space="preserve">p </w:t>
      </w:r>
      <w:r w:rsidRPr="002A76C1">
        <w:rPr>
          <w:rFonts w:ascii="Times" w:hAnsi="Times" w:cs="Arial"/>
          <w:color w:val="000000"/>
        </w:rPr>
        <w:t>&lt; 0.05). (Figure 5)</w:t>
      </w:r>
      <w:r w:rsidR="00A615DE">
        <w:rPr>
          <w:rFonts w:ascii="Times" w:hAnsi="Times" w:cs="Arial"/>
          <w:color w:val="000000"/>
        </w:rPr>
        <w:t xml:space="preserve"> </w:t>
      </w:r>
      <w:r w:rsidR="00A615DE">
        <w:t xml:space="preserve">The normal weight group was not significantly different from overweight or obese, and overweight and obese were not statistically different from each other. </w:t>
      </w:r>
      <w:r w:rsidR="00477ACD">
        <w:rPr>
          <w:rFonts w:ascii="Times" w:hAnsi="Times" w:cs="Arial"/>
          <w:color w:val="000000"/>
        </w:rPr>
        <w:t>For global methylation as measured by 4 CpG sites along LINE-1 elements, BMI both overweight and obese groups showed higher percent LINE-1 methylation than the obese group (</w:t>
      </w:r>
      <w:r w:rsidR="00477ACD" w:rsidRPr="005F6480">
        <w:rPr>
          <w:rFonts w:ascii="Times" w:hAnsi="Times" w:cs="Arial"/>
          <w:color w:val="000000"/>
        </w:rPr>
        <w:t>p</w:t>
      </w:r>
      <w:r w:rsidR="00477ACD">
        <w:rPr>
          <w:rFonts w:ascii="Times" w:hAnsi="Times" w:cs="Arial"/>
          <w:color w:val="000000"/>
        </w:rPr>
        <w:t xml:space="preserve"> &lt; 0.05). The difference between overweight and obese</w:t>
      </w:r>
      <w:r w:rsidR="008D3BB8">
        <w:rPr>
          <w:rFonts w:ascii="Times" w:hAnsi="Times" w:cs="Arial"/>
          <w:color w:val="000000"/>
        </w:rPr>
        <w:t xml:space="preserve"> was not significant. (Figure 4</w:t>
      </w:r>
      <w:r w:rsidR="00EC3729">
        <w:rPr>
          <w:rFonts w:ascii="Times" w:hAnsi="Times" w:cs="Arial"/>
          <w:color w:val="000000"/>
        </w:rPr>
        <w:t>)</w:t>
      </w:r>
      <w:r w:rsidR="00477ACD">
        <w:rPr>
          <w:rFonts w:ascii="Times" w:hAnsi="Times" w:cs="Arial"/>
          <w:color w:val="000000"/>
        </w:rPr>
        <w:t xml:space="preserve"> </w:t>
      </w:r>
      <w:r w:rsidRPr="002A76C1">
        <w:rPr>
          <w:rFonts w:ascii="Times" w:hAnsi="Times" w:cs="Arial"/>
          <w:color w:val="000000"/>
        </w:rPr>
        <w:t>LINE-1 methylation is also marginally associated with mammary tissue folate levels, but this association did not reach significance (</w:t>
      </w:r>
      <w:r w:rsidR="004A5684" w:rsidRPr="005F6480">
        <w:rPr>
          <w:rFonts w:ascii="Times" w:hAnsi="Times" w:cs="Arial"/>
          <w:color w:val="000000"/>
        </w:rPr>
        <w:t xml:space="preserve">p </w:t>
      </w:r>
      <w:r w:rsidRPr="002A76C1">
        <w:rPr>
          <w:rFonts w:ascii="Times" w:hAnsi="Times" w:cs="Arial"/>
          <w:color w:val="000000"/>
        </w:rPr>
        <w:t xml:space="preserve">= 0.087, data not included).  </w:t>
      </w:r>
      <w:r w:rsidRPr="003317A3">
        <w:rPr>
          <w:rFonts w:ascii="Times" w:hAnsi="Times" w:cs="Arial"/>
          <w:color w:val="000000"/>
        </w:rPr>
        <w:t>LINE-1</w:t>
      </w:r>
      <w:r w:rsidRPr="002A76C1">
        <w:rPr>
          <w:rFonts w:ascii="Times" w:hAnsi="Times" w:cs="Arial"/>
          <w:color w:val="000000"/>
        </w:rPr>
        <w:t xml:space="preserve"> Methylation and BMI share a positive linear association</w:t>
      </w:r>
      <w:r w:rsidR="00477ACD">
        <w:rPr>
          <w:rFonts w:ascii="Times" w:hAnsi="Times" w:cs="Arial"/>
          <w:color w:val="000000"/>
        </w:rPr>
        <w:t>. A 0.014% increase in LINE-1 methylation per unit of BMI was observed (</w:t>
      </w:r>
      <w:r w:rsidR="00477ACD" w:rsidRPr="005F6480">
        <w:rPr>
          <w:rFonts w:ascii="Times" w:hAnsi="Times" w:cs="Arial"/>
          <w:color w:val="000000"/>
        </w:rPr>
        <w:t xml:space="preserve">p </w:t>
      </w:r>
      <w:r w:rsidR="00477ACD">
        <w:rPr>
          <w:rFonts w:ascii="Times" w:hAnsi="Times" w:cs="Arial"/>
          <w:color w:val="000000"/>
        </w:rPr>
        <w:t xml:space="preserve">for </w:t>
      </w:r>
      <w:r w:rsidR="005F6480">
        <w:rPr>
          <w:rFonts w:ascii="Times" w:hAnsi="Times" w:cs="Arial"/>
          <w:color w:val="000000"/>
        </w:rPr>
        <w:t>trend</w:t>
      </w:r>
      <w:r w:rsidR="003317A3">
        <w:rPr>
          <w:rFonts w:ascii="Times" w:hAnsi="Times" w:cs="Arial"/>
          <w:color w:val="000000"/>
        </w:rPr>
        <w:t xml:space="preserve"> = .</w:t>
      </w:r>
      <w:r w:rsidR="00477ACD">
        <w:rPr>
          <w:rFonts w:ascii="Times" w:hAnsi="Times" w:cs="Arial"/>
          <w:color w:val="000000"/>
        </w:rPr>
        <w:t>034).</w:t>
      </w:r>
      <w:r w:rsidR="00477ACD">
        <w:t xml:space="preserve"> </w:t>
      </w:r>
      <w:r w:rsidR="008D3BB8">
        <w:rPr>
          <w:rFonts w:ascii="Times" w:hAnsi="Times" w:cs="Arial"/>
          <w:color w:val="000000"/>
        </w:rPr>
        <w:t>(Figure 5</w:t>
      </w:r>
      <w:r w:rsidRPr="00977E00">
        <w:rPr>
          <w:rFonts w:ascii="Times" w:hAnsi="Times" w:cs="Arial"/>
          <w:color w:val="000000"/>
        </w:rPr>
        <w:t>)</w:t>
      </w:r>
    </w:p>
    <w:p w14:paraId="1849D00E" w14:textId="77777777" w:rsidR="0080406C" w:rsidRDefault="0080406C" w:rsidP="001F32EC">
      <w:pPr>
        <w:spacing w:line="480" w:lineRule="auto"/>
        <w:jc w:val="center"/>
      </w:pPr>
      <w:r w:rsidRPr="002A76C1">
        <w:rPr>
          <w:noProof/>
          <w:color w:val="000000"/>
        </w:rPr>
        <w:drawing>
          <wp:inline distT="0" distB="0" distL="0" distR="0" wp14:anchorId="493EBDAF" wp14:editId="0B06EF63">
            <wp:extent cx="2834640" cy="2670048"/>
            <wp:effectExtent l="12700" t="12700" r="10160" b="10160"/>
            <wp:docPr id="2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2834640" cy="2670048"/>
                    </a:xfrm>
                    <a:prstGeom prst="rect">
                      <a:avLst/>
                    </a:prstGeom>
                    <a:ln>
                      <a:solidFill>
                        <a:schemeClr val="tx1"/>
                      </a:solidFill>
                    </a:ln>
                  </pic:spPr>
                </pic:pic>
              </a:graphicData>
            </a:graphic>
          </wp:inline>
        </w:drawing>
      </w:r>
    </w:p>
    <w:p w14:paraId="08217301" w14:textId="29F3009A" w:rsidR="0080406C" w:rsidRDefault="0080406C" w:rsidP="0080406C">
      <w:pPr>
        <w:pStyle w:val="Caption"/>
      </w:pPr>
      <w:r>
        <w:t>F</w:t>
      </w:r>
      <w:r w:rsidR="00DC3DC4">
        <w:t>igure 4</w:t>
      </w:r>
      <w:r w:rsidR="00F311BF" w:rsidRPr="002A76C1">
        <w:t>. BMI status and perc</w:t>
      </w:r>
      <w:r w:rsidR="00F311BF">
        <w:t>ent LINE-1 m</w:t>
      </w:r>
      <w:r w:rsidR="00F311BF" w:rsidRPr="007640DE">
        <w:t>ethylation</w:t>
      </w:r>
      <w:r w:rsidR="00F311BF">
        <w:t xml:space="preserve">. </w:t>
      </w:r>
      <w:r w:rsidR="00A615DE" w:rsidRPr="00C01D9F">
        <w:rPr>
          <w:b w:val="0"/>
        </w:rPr>
        <w:t>Letters denote statistical significance between BMI categories</w:t>
      </w:r>
      <w:r w:rsidR="006F2617" w:rsidRPr="00C01D9F">
        <w:rPr>
          <w:b w:val="0"/>
        </w:rPr>
        <w:t xml:space="preserve"> (p &lt; 0.05)</w:t>
      </w:r>
      <w:r w:rsidR="00534EC4" w:rsidRPr="00C01D9F">
        <w:rPr>
          <w:b w:val="0"/>
        </w:rPr>
        <w:t>.</w:t>
      </w:r>
    </w:p>
    <w:p w14:paraId="616DE613" w14:textId="13BE227A" w:rsidR="00A615DE" w:rsidRDefault="001E1227" w:rsidP="001E1227">
      <w:pPr>
        <w:spacing w:line="480" w:lineRule="auto"/>
        <w:jc w:val="center"/>
        <w:rPr>
          <w:rFonts w:ascii="Times" w:hAnsi="Times"/>
        </w:rPr>
      </w:pPr>
      <w:r w:rsidRPr="001E1227">
        <w:rPr>
          <w:rFonts w:ascii="Times" w:hAnsi="Times"/>
          <w:noProof/>
        </w:rPr>
        <w:lastRenderedPageBreak/>
        <w:drawing>
          <wp:inline distT="0" distB="0" distL="0" distR="0" wp14:anchorId="5D803A69" wp14:editId="4DD37EC6">
            <wp:extent cx="4249271" cy="2792027"/>
            <wp:effectExtent l="12700" t="12700" r="18415" b="15240"/>
            <wp:docPr id="7" name="Picture 6">
              <a:extLst xmlns:a="http://schemas.openxmlformats.org/drawingml/2006/main">
                <a:ext uri="{FF2B5EF4-FFF2-40B4-BE49-F238E27FC236}">
                  <a16:creationId xmlns:a16="http://schemas.microsoft.com/office/drawing/2014/main" id="{986A693F-4D7B-4242-99A4-930E013751F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986A693F-4D7B-4242-99A4-930E013751FC}"/>
                        </a:ext>
                      </a:extLst>
                    </pic:cNvPr>
                    <pic:cNvPicPr>
                      <a:picLocks noChangeAspect="1"/>
                    </pic:cNvPicPr>
                  </pic:nvPicPr>
                  <pic:blipFill>
                    <a:blip r:embed="rId17"/>
                    <a:stretch>
                      <a:fillRect/>
                    </a:stretch>
                  </pic:blipFill>
                  <pic:spPr>
                    <a:xfrm>
                      <a:off x="0" y="0"/>
                      <a:ext cx="4256917" cy="2797051"/>
                    </a:xfrm>
                    <a:prstGeom prst="rect">
                      <a:avLst/>
                    </a:prstGeom>
                    <a:ln>
                      <a:solidFill>
                        <a:schemeClr val="tx1"/>
                      </a:solidFill>
                    </a:ln>
                  </pic:spPr>
                </pic:pic>
              </a:graphicData>
            </a:graphic>
          </wp:inline>
        </w:drawing>
      </w:r>
    </w:p>
    <w:p w14:paraId="5CBBC22F" w14:textId="59AFB4AB" w:rsidR="00F311BF" w:rsidRPr="001F32EC" w:rsidRDefault="00DC3DC4" w:rsidP="00DC3DC4">
      <w:pPr>
        <w:pStyle w:val="Caption"/>
      </w:pPr>
      <w:r>
        <w:t>Figure 5</w:t>
      </w:r>
      <w:r w:rsidR="00F311BF" w:rsidRPr="001F32EC">
        <w:t xml:space="preserve">. Linear correlation between BMI </w:t>
      </w:r>
      <w:r>
        <w:t>and percent LINE-1 methylation.</w:t>
      </w:r>
      <w:r w:rsidR="00F311BF" w:rsidRPr="001F32EC">
        <w:t xml:space="preserve"> </w:t>
      </w:r>
    </w:p>
    <w:p w14:paraId="6E20E30E" w14:textId="43824860" w:rsidR="00D030EF" w:rsidRDefault="00D030EF" w:rsidP="00D030EF">
      <w:pPr>
        <w:spacing w:line="480" w:lineRule="auto"/>
        <w:jc w:val="both"/>
      </w:pPr>
    </w:p>
    <w:p w14:paraId="781F6769" w14:textId="77777777" w:rsidR="00DA71CE" w:rsidRDefault="00DA71CE" w:rsidP="00D030EF">
      <w:pPr>
        <w:spacing w:line="480" w:lineRule="auto"/>
        <w:jc w:val="both"/>
      </w:pPr>
    </w:p>
    <w:p w14:paraId="179CEBF9" w14:textId="1491C3B3" w:rsidR="00D030EF" w:rsidRDefault="00475CA3" w:rsidP="00C01D9F">
      <w:pPr>
        <w:pStyle w:val="Heading2"/>
      </w:pPr>
      <w:bookmarkStart w:id="28" w:name="_Toc510174032"/>
      <w:r>
        <w:t xml:space="preserve">5.4 </w:t>
      </w:r>
      <w:r w:rsidR="00D030EF">
        <w:t>Gene Expression</w:t>
      </w:r>
      <w:bookmarkEnd w:id="28"/>
      <w:r w:rsidR="00D030EF">
        <w:t xml:space="preserve"> </w:t>
      </w:r>
    </w:p>
    <w:p w14:paraId="476545B1" w14:textId="132F6F1F" w:rsidR="00534EC4" w:rsidRDefault="00F311BF" w:rsidP="00534EC4">
      <w:pPr>
        <w:spacing w:line="480" w:lineRule="auto"/>
        <w:jc w:val="both"/>
        <w:rPr>
          <w:rFonts w:ascii="Times" w:hAnsi="Times" w:cs="Arial"/>
          <w:color w:val="000000"/>
        </w:rPr>
      </w:pPr>
      <w:r>
        <w:rPr>
          <w:rFonts w:ascii="Times" w:hAnsi="Times" w:cs="Arial"/>
          <w:color w:val="000000"/>
        </w:rPr>
        <w:t xml:space="preserve">Out of the eighteen genes selected from the literature for analysis via RT-PCR, only two provided significant results. Relative expression levels of SFRP1 correlated with BMI status. The SFRP1 gene codes for WNT pathway antagonist protein with tumor suppressor function. SFRP1 is downregulated in 46% of breast cancers. </w:t>
      </w:r>
      <w:r w:rsidRPr="002A76C1">
        <w:rPr>
          <w:rFonts w:ascii="Times" w:hAnsi="Times" w:cs="Arial"/>
          <w:color w:val="000000"/>
        </w:rPr>
        <w:t xml:space="preserve">SFRP1 </w:t>
      </w:r>
      <w:r>
        <w:rPr>
          <w:rFonts w:ascii="Times" w:hAnsi="Times" w:cs="Arial"/>
          <w:color w:val="000000"/>
        </w:rPr>
        <w:t xml:space="preserve">gene expression levels positively correlated with both BMI </w:t>
      </w:r>
      <w:r w:rsidRPr="00A95156">
        <w:rPr>
          <w:rFonts w:ascii="Times" w:hAnsi="Times" w:cs="Arial"/>
          <w:color w:val="000000"/>
        </w:rPr>
        <w:t xml:space="preserve">(p = 0.0105) </w:t>
      </w:r>
      <w:r>
        <w:rPr>
          <w:rFonts w:ascii="Times" w:hAnsi="Times" w:cs="Arial"/>
          <w:color w:val="000000"/>
        </w:rPr>
        <w:t xml:space="preserve">and tissue folate </w:t>
      </w:r>
      <w:r w:rsidRPr="00A95156">
        <w:rPr>
          <w:rFonts w:ascii="Times" w:hAnsi="Times" w:cs="Arial"/>
          <w:color w:val="000000"/>
        </w:rPr>
        <w:t>(p = 0.0313).</w:t>
      </w:r>
      <w:r w:rsidR="00DC3DC4">
        <w:rPr>
          <w:rFonts w:ascii="Times" w:hAnsi="Times" w:cs="Arial"/>
          <w:color w:val="000000"/>
        </w:rPr>
        <w:t xml:space="preserve"> (Figure 6</w:t>
      </w:r>
      <w:r>
        <w:rPr>
          <w:rFonts w:ascii="Times" w:hAnsi="Times" w:cs="Arial"/>
          <w:color w:val="000000"/>
        </w:rPr>
        <w:t>)</w:t>
      </w:r>
      <w:r w:rsidR="00534EC4" w:rsidRPr="00534EC4">
        <w:rPr>
          <w:rFonts w:ascii="Times" w:hAnsi="Times"/>
        </w:rPr>
        <w:t xml:space="preserve"> </w:t>
      </w:r>
      <w:r w:rsidR="00534EC4">
        <w:rPr>
          <w:rFonts w:ascii="Times" w:hAnsi="Times"/>
        </w:rPr>
        <w:t>BMI and SFRP1 gene expression also shared a positive linear correlation, with an increase of 0.112 relative fold for each unit of BMI (</w:t>
      </w:r>
      <w:r w:rsidR="00534EC4" w:rsidRPr="00A95156">
        <w:rPr>
          <w:rFonts w:ascii="Times" w:hAnsi="Times" w:cs="Arial"/>
          <w:color w:val="000000"/>
        </w:rPr>
        <w:t xml:space="preserve">p </w:t>
      </w:r>
      <w:r w:rsidR="00534EC4">
        <w:rPr>
          <w:rFonts w:ascii="Times" w:hAnsi="Times" w:cs="Arial"/>
          <w:color w:val="000000"/>
        </w:rPr>
        <w:t xml:space="preserve">for trend </w:t>
      </w:r>
      <w:r w:rsidR="00534EC4" w:rsidRPr="00A95156">
        <w:rPr>
          <w:rFonts w:ascii="Times" w:hAnsi="Times" w:cs="Arial"/>
          <w:color w:val="000000"/>
        </w:rPr>
        <w:t>= 0.023</w:t>
      </w:r>
      <w:r w:rsidR="00534EC4">
        <w:rPr>
          <w:rFonts w:ascii="Times" w:hAnsi="Times" w:cs="Arial"/>
          <w:i/>
          <w:color w:val="000000"/>
        </w:rPr>
        <w:t xml:space="preserve">, </w:t>
      </w:r>
      <w:r w:rsidR="00534EC4">
        <w:rPr>
          <w:rFonts w:ascii="Times" w:hAnsi="Times" w:cs="Arial"/>
          <w:color w:val="000000"/>
        </w:rPr>
        <w:t>Figure 7).</w:t>
      </w:r>
    </w:p>
    <w:p w14:paraId="462B3796" w14:textId="1BB58780" w:rsidR="00F311BF" w:rsidRDefault="00F311BF" w:rsidP="004A1956">
      <w:pPr>
        <w:spacing w:line="480" w:lineRule="auto"/>
        <w:ind w:firstLine="720"/>
        <w:jc w:val="both"/>
        <w:rPr>
          <w:rFonts w:ascii="Times" w:hAnsi="Times" w:cs="Arial"/>
          <w:color w:val="000000"/>
        </w:rPr>
      </w:pPr>
    </w:p>
    <w:p w14:paraId="7FD6C624" w14:textId="68D4361B" w:rsidR="00DC3DC4" w:rsidRDefault="0016796D" w:rsidP="00DC3DC4">
      <w:pPr>
        <w:pStyle w:val="Caption"/>
      </w:pPr>
      <w:r w:rsidRPr="0016796D">
        <w:rPr>
          <w:rFonts w:ascii="Times" w:hAnsi="Times"/>
          <w:noProof/>
        </w:rPr>
        <w:lastRenderedPageBreak/>
        <w:drawing>
          <wp:inline distT="0" distB="0" distL="0" distR="0" wp14:anchorId="2D738752" wp14:editId="11C78610">
            <wp:extent cx="4477871" cy="2356774"/>
            <wp:effectExtent l="12700" t="12700" r="18415" b="184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 r="1421" b="5227"/>
                    <a:stretch/>
                  </pic:blipFill>
                  <pic:spPr bwMode="auto">
                    <a:xfrm>
                      <a:off x="0" y="0"/>
                      <a:ext cx="4509835" cy="237359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13B09D6B" w14:textId="343F9BD8" w:rsidR="00F311BF" w:rsidRPr="00DC3DC4" w:rsidRDefault="00DC3DC4" w:rsidP="00DC3DC4">
      <w:pPr>
        <w:pStyle w:val="Caption"/>
        <w:rPr>
          <w:rFonts w:ascii="Times" w:hAnsi="Times" w:cs="Arial"/>
          <w:color w:val="000000"/>
        </w:rPr>
      </w:pPr>
      <w:r>
        <w:t>Figure 6</w:t>
      </w:r>
      <w:r w:rsidR="00F311BF">
        <w:t>. Relative gene expression of SFRP1</w:t>
      </w:r>
      <w:r w:rsidR="00534EC4">
        <w:t xml:space="preserve">. </w:t>
      </w:r>
      <w:r w:rsidR="00534EC4" w:rsidRPr="00C01D9F">
        <w:rPr>
          <w:b w:val="0"/>
        </w:rPr>
        <w:t xml:space="preserve">* denotes statistical significance (p &lt; 0.01), ** </w:t>
      </w:r>
      <w:r w:rsidR="00F311BF" w:rsidRPr="00C01D9F">
        <w:rPr>
          <w:b w:val="0"/>
        </w:rPr>
        <w:t>denotes statistical significance (p &lt; 0.001).</w:t>
      </w:r>
    </w:p>
    <w:p w14:paraId="54146930" w14:textId="2E143141" w:rsidR="00F311BF" w:rsidRDefault="00F311BF" w:rsidP="00F311BF">
      <w:pPr>
        <w:spacing w:line="480" w:lineRule="auto"/>
        <w:jc w:val="both"/>
        <w:rPr>
          <w:rFonts w:ascii="Times" w:hAnsi="Times"/>
        </w:rPr>
      </w:pPr>
    </w:p>
    <w:p w14:paraId="4433141A" w14:textId="77777777" w:rsidR="004A1956" w:rsidRDefault="004A1956" w:rsidP="00F311BF">
      <w:pPr>
        <w:spacing w:line="480" w:lineRule="auto"/>
        <w:jc w:val="both"/>
        <w:rPr>
          <w:rFonts w:ascii="Times" w:hAnsi="Times" w:cs="Arial"/>
          <w:color w:val="000000"/>
        </w:rPr>
      </w:pPr>
    </w:p>
    <w:p w14:paraId="3E8D2A4C" w14:textId="77777777" w:rsidR="00477ACD" w:rsidRDefault="00A615DE" w:rsidP="004A1956">
      <w:pPr>
        <w:spacing w:line="480" w:lineRule="auto"/>
        <w:jc w:val="center"/>
      </w:pPr>
      <w:r w:rsidRPr="003069AB">
        <w:rPr>
          <w:noProof/>
          <w:sz w:val="20"/>
          <w:szCs w:val="20"/>
        </w:rPr>
        <w:drawing>
          <wp:inline distT="0" distB="0" distL="0" distR="0" wp14:anchorId="1A0149FB" wp14:editId="6ABF4DC6">
            <wp:extent cx="3891915" cy="3244215"/>
            <wp:effectExtent l="12700" t="12700" r="6985" b="6985"/>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3891915" cy="3244215"/>
                    </a:xfrm>
                    <a:prstGeom prst="rect">
                      <a:avLst/>
                    </a:prstGeom>
                    <a:ln>
                      <a:solidFill>
                        <a:schemeClr val="tx1"/>
                      </a:solidFill>
                    </a:ln>
                  </pic:spPr>
                </pic:pic>
              </a:graphicData>
            </a:graphic>
          </wp:inline>
        </w:drawing>
      </w:r>
    </w:p>
    <w:p w14:paraId="1AD8239A" w14:textId="773CB501" w:rsidR="00F311BF" w:rsidRPr="00477ACD" w:rsidRDefault="00DC3DC4" w:rsidP="00477ACD">
      <w:pPr>
        <w:pStyle w:val="Caption"/>
        <w:rPr>
          <w:rFonts w:ascii="Times" w:hAnsi="Times" w:cs="Arial"/>
          <w:color w:val="000000"/>
        </w:rPr>
      </w:pPr>
      <w:r>
        <w:t>Figure 7</w:t>
      </w:r>
      <w:r w:rsidR="00F311BF">
        <w:t xml:space="preserve">. BMI and relative gene expression of SFRP1. </w:t>
      </w:r>
      <w:r w:rsidR="00F311BF" w:rsidRPr="00C01D9F">
        <w:rPr>
          <w:b w:val="0"/>
        </w:rPr>
        <w:t>SFRP1 gene expression levels positively correlated with BMI (P for correlation = 0.023).</w:t>
      </w:r>
    </w:p>
    <w:p w14:paraId="662339B6" w14:textId="7069F94B" w:rsidR="00A615DE" w:rsidRPr="00A615DE" w:rsidRDefault="00A615DE" w:rsidP="00A615DE"/>
    <w:p w14:paraId="1284884B" w14:textId="77777777" w:rsidR="00D030EF" w:rsidRDefault="00D030EF" w:rsidP="00477ACD">
      <w:pPr>
        <w:spacing w:line="480" w:lineRule="auto"/>
        <w:ind w:firstLine="720"/>
        <w:jc w:val="both"/>
        <w:rPr>
          <w:rFonts w:ascii="Times" w:hAnsi="Times" w:cs="Arial"/>
          <w:color w:val="000000"/>
        </w:rPr>
      </w:pPr>
    </w:p>
    <w:p w14:paraId="2660E62B" w14:textId="0B542B43" w:rsidR="00D030EF" w:rsidRDefault="00475CA3" w:rsidP="00C01D9F">
      <w:pPr>
        <w:pStyle w:val="Heading2"/>
      </w:pPr>
      <w:bookmarkStart w:id="29" w:name="_Toc510174033"/>
      <w:r>
        <w:lastRenderedPageBreak/>
        <w:t xml:space="preserve">5.5 </w:t>
      </w:r>
      <w:r w:rsidR="00D030EF">
        <w:t>Gene-Specific DNA Methylation</w:t>
      </w:r>
      <w:bookmarkEnd w:id="29"/>
      <w:r w:rsidR="00D030EF">
        <w:t xml:space="preserve"> </w:t>
      </w:r>
    </w:p>
    <w:p w14:paraId="6523E17A" w14:textId="446B3E91" w:rsidR="00A615DE" w:rsidRPr="00477ACD" w:rsidRDefault="00F311BF" w:rsidP="00477ACD">
      <w:pPr>
        <w:spacing w:line="480" w:lineRule="auto"/>
        <w:ind w:firstLine="720"/>
        <w:jc w:val="both"/>
        <w:rPr>
          <w:rFonts w:ascii="Times" w:hAnsi="Times" w:cs="Arial"/>
          <w:color w:val="000000"/>
        </w:rPr>
      </w:pPr>
      <w:r>
        <w:rPr>
          <w:rFonts w:ascii="Times" w:hAnsi="Times" w:cs="Arial"/>
          <w:color w:val="000000"/>
        </w:rPr>
        <w:t>S</w:t>
      </w:r>
      <w:r w:rsidR="00477ACD">
        <w:rPr>
          <w:rFonts w:ascii="Times" w:hAnsi="Times" w:cs="Arial"/>
          <w:color w:val="000000"/>
        </w:rPr>
        <w:t>FRP1</w:t>
      </w:r>
      <w:r>
        <w:rPr>
          <w:rFonts w:ascii="Times" w:hAnsi="Times" w:cs="Arial"/>
          <w:color w:val="000000"/>
        </w:rPr>
        <w:t xml:space="preserve"> was selected for promotor CpG site methylation analysis </w:t>
      </w:r>
      <w:r w:rsidRPr="002A76C1">
        <w:rPr>
          <w:rFonts w:ascii="Times" w:hAnsi="Times" w:cs="Arial"/>
          <w:color w:val="000000"/>
        </w:rPr>
        <w:t xml:space="preserve">based on </w:t>
      </w:r>
      <w:r>
        <w:rPr>
          <w:rFonts w:ascii="Times" w:hAnsi="Times" w:cs="Arial"/>
          <w:color w:val="000000"/>
        </w:rPr>
        <w:t>its significant correlations with regard to</w:t>
      </w:r>
      <w:r w:rsidRPr="002A76C1">
        <w:rPr>
          <w:rFonts w:ascii="Times" w:hAnsi="Times" w:cs="Arial"/>
          <w:color w:val="000000"/>
        </w:rPr>
        <w:t xml:space="preserve"> gene expression</w:t>
      </w:r>
      <w:r>
        <w:rPr>
          <w:rFonts w:ascii="Times" w:hAnsi="Times" w:cs="Arial"/>
          <w:color w:val="000000"/>
        </w:rPr>
        <w:t xml:space="preserve">, BMI, and folate status. </w:t>
      </w:r>
      <w:r w:rsidRPr="002A76C1">
        <w:rPr>
          <w:rFonts w:ascii="Times" w:hAnsi="Times" w:cs="Arial"/>
          <w:color w:val="000000"/>
        </w:rPr>
        <w:t xml:space="preserve">For the 8 CpG sites analyzed in the promoter region of the </w:t>
      </w:r>
      <w:r w:rsidRPr="002A76C1">
        <w:rPr>
          <w:rFonts w:ascii="Times" w:hAnsi="Times" w:cs="Arial"/>
          <w:i/>
          <w:color w:val="000000"/>
        </w:rPr>
        <w:t>SFRP1</w:t>
      </w:r>
      <w:r w:rsidRPr="002A76C1">
        <w:rPr>
          <w:rFonts w:ascii="Times" w:hAnsi="Times" w:cs="Arial"/>
          <w:color w:val="000000"/>
        </w:rPr>
        <w:t xml:space="preserve"> gene, no associations were observed for both BMI and tissue folate (</w:t>
      </w:r>
      <w:r w:rsidR="008C547F">
        <w:rPr>
          <w:rFonts w:ascii="Times" w:hAnsi="Times" w:cs="Arial"/>
          <w:color w:val="000000"/>
        </w:rPr>
        <w:t xml:space="preserve">p </w:t>
      </w:r>
      <w:r w:rsidRPr="002A76C1">
        <w:rPr>
          <w:rFonts w:ascii="Times" w:hAnsi="Times" w:cs="Arial"/>
          <w:color w:val="000000"/>
        </w:rPr>
        <w:t>&gt; 0.05), although a high expression was observed in the subjects with high BMI or high tissue folate (</w:t>
      </w:r>
      <w:proofErr w:type="gramStart"/>
      <w:r w:rsidR="008C547F">
        <w:rPr>
          <w:rFonts w:ascii="Times" w:hAnsi="Times" w:cs="Arial"/>
          <w:color w:val="000000"/>
        </w:rPr>
        <w:t>p</w:t>
      </w:r>
      <w:r w:rsidR="008C547F">
        <w:rPr>
          <w:rFonts w:ascii="Times" w:hAnsi="Times" w:cs="Arial"/>
          <w:i/>
          <w:color w:val="000000"/>
        </w:rPr>
        <w:t xml:space="preserve"> </w:t>
      </w:r>
      <w:r w:rsidRPr="002A76C1">
        <w:rPr>
          <w:rFonts w:ascii="Times" w:hAnsi="Times" w:cs="Arial"/>
          <w:color w:val="000000"/>
        </w:rPr>
        <w:t xml:space="preserve"> &lt;</w:t>
      </w:r>
      <w:proofErr w:type="gramEnd"/>
      <w:r w:rsidRPr="002A76C1">
        <w:rPr>
          <w:rFonts w:ascii="Times" w:hAnsi="Times" w:cs="Arial"/>
          <w:color w:val="000000"/>
        </w:rPr>
        <w:t xml:space="preserve"> 0.05)</w:t>
      </w:r>
      <w:r w:rsidR="00477ACD">
        <w:rPr>
          <w:rFonts w:ascii="Times" w:hAnsi="Times" w:cs="Arial"/>
          <w:color w:val="000000"/>
        </w:rPr>
        <w:t>.</w:t>
      </w:r>
    </w:p>
    <w:p w14:paraId="5AD94C81" w14:textId="15A6F25C" w:rsidR="00A615DE" w:rsidRDefault="00A615DE" w:rsidP="00AA368E"/>
    <w:p w14:paraId="40AC737C" w14:textId="77777777" w:rsidR="00184108" w:rsidRDefault="00184108" w:rsidP="00AA368E"/>
    <w:p w14:paraId="03C83077" w14:textId="7DC6FBAF" w:rsidR="00184108" w:rsidRPr="00223F24" w:rsidRDefault="00477ACD" w:rsidP="00223F24">
      <w:pPr>
        <w:suppressAutoHyphens w:val="0"/>
      </w:pPr>
      <w:r>
        <w:br w:type="page"/>
      </w:r>
    </w:p>
    <w:p w14:paraId="1932B48F" w14:textId="0EC3F6E9" w:rsidR="00D80FB0" w:rsidRDefault="00D80FB0" w:rsidP="00D80FB0">
      <w:pPr>
        <w:pStyle w:val="Heading1"/>
      </w:pPr>
      <w:bookmarkStart w:id="30" w:name="_Toc510174034"/>
      <w:r>
        <w:lastRenderedPageBreak/>
        <w:t>CHAPTER 6</w:t>
      </w:r>
    </w:p>
    <w:p w14:paraId="57E3059F" w14:textId="6B21C126" w:rsidR="00481DAD" w:rsidRDefault="008179EB" w:rsidP="00C01D9F">
      <w:pPr>
        <w:pStyle w:val="Heading1"/>
      </w:pPr>
      <w:r>
        <w:t>DISCUSSION</w:t>
      </w:r>
      <w:bookmarkEnd w:id="30"/>
    </w:p>
    <w:p w14:paraId="0AF3685A" w14:textId="77777777" w:rsidR="00481DAD" w:rsidRPr="00481DAD" w:rsidRDefault="00481DAD" w:rsidP="00C01D9F">
      <w:pPr>
        <w:pStyle w:val="Heading1"/>
      </w:pPr>
    </w:p>
    <w:p w14:paraId="5D98A904" w14:textId="57E7CBBC" w:rsidR="00481DAD" w:rsidRPr="00481DAD" w:rsidRDefault="00481DAD" w:rsidP="00C01D9F">
      <w:pPr>
        <w:pStyle w:val="Heading2"/>
      </w:pPr>
      <w:bookmarkStart w:id="31" w:name="_Toc510174035"/>
      <w:r>
        <w:t>6.1</w:t>
      </w:r>
      <w:r w:rsidR="00F97D63">
        <w:t xml:space="preserve"> </w:t>
      </w:r>
      <w:r w:rsidR="00D030EF">
        <w:t>Strengths and Limitations</w:t>
      </w:r>
      <w:bookmarkEnd w:id="31"/>
      <w:r w:rsidR="00D030EF">
        <w:t xml:space="preserve"> </w:t>
      </w:r>
    </w:p>
    <w:p w14:paraId="33AC6E03" w14:textId="77777777" w:rsidR="009E6D7A" w:rsidRDefault="003A0A54" w:rsidP="003A0A54">
      <w:pPr>
        <w:spacing w:line="480" w:lineRule="auto"/>
        <w:ind w:firstLine="720"/>
        <w:jc w:val="both"/>
        <w:rPr>
          <w:rFonts w:ascii="Times" w:hAnsi="Times" w:cs="Arial"/>
          <w:color w:val="000000"/>
        </w:rPr>
      </w:pPr>
      <w:r>
        <w:rPr>
          <w:rFonts w:ascii="Times" w:hAnsi="Times" w:cs="Arial"/>
          <w:color w:val="000000"/>
        </w:rPr>
        <w:t>One strength of our</w:t>
      </w:r>
      <w:r w:rsidRPr="002A76C1">
        <w:rPr>
          <w:rFonts w:ascii="Times" w:hAnsi="Times" w:cs="Arial"/>
          <w:color w:val="000000"/>
        </w:rPr>
        <w:t xml:space="preserve"> study is the rel</w:t>
      </w:r>
      <w:r>
        <w:rPr>
          <w:rFonts w:ascii="Times" w:hAnsi="Times" w:cs="Arial"/>
          <w:color w:val="000000"/>
        </w:rPr>
        <w:t xml:space="preserve">iability of our results, due to the laboratory assays we elected to employ. </w:t>
      </w:r>
      <w:r>
        <w:rPr>
          <w:rFonts w:ascii="Times" w:hAnsi="Times" w:cs="Arial"/>
        </w:rPr>
        <w:t>W</w:t>
      </w:r>
      <w:r w:rsidR="00481DAD" w:rsidRPr="004F2B88">
        <w:rPr>
          <w:rFonts w:ascii="Times" w:hAnsi="Times" w:cs="Arial"/>
        </w:rPr>
        <w:t xml:space="preserve">e assessed </w:t>
      </w:r>
      <w:r>
        <w:rPr>
          <w:rFonts w:ascii="Times" w:hAnsi="Times" w:cs="Arial"/>
        </w:rPr>
        <w:t>global and gene-specific</w:t>
      </w:r>
      <w:r w:rsidR="00481DAD">
        <w:rPr>
          <w:rFonts w:ascii="Times" w:hAnsi="Times" w:cs="Arial"/>
        </w:rPr>
        <w:t xml:space="preserve"> methylation levels using</w:t>
      </w:r>
      <w:r w:rsidR="00481DAD" w:rsidRPr="004F2B88">
        <w:rPr>
          <w:rFonts w:ascii="Times" w:hAnsi="Times" w:cs="Arial"/>
        </w:rPr>
        <w:t xml:space="preserve"> tissue sampl</w:t>
      </w:r>
      <w:r w:rsidR="00481DAD">
        <w:rPr>
          <w:rFonts w:ascii="Times" w:hAnsi="Times" w:cs="Arial"/>
        </w:rPr>
        <w:t xml:space="preserve">es from the breast, rather than </w:t>
      </w:r>
      <w:r w:rsidR="00481DAD" w:rsidRPr="004F2B88">
        <w:rPr>
          <w:rFonts w:ascii="Times" w:hAnsi="Times" w:cs="Arial"/>
        </w:rPr>
        <w:t>whole blood.</w:t>
      </w:r>
      <w:r>
        <w:rPr>
          <w:rFonts w:ascii="Times" w:hAnsi="Times" w:cs="Arial"/>
        </w:rPr>
        <w:t xml:space="preserve"> </w:t>
      </w:r>
      <w:r w:rsidR="00481DAD" w:rsidRPr="004F2B88">
        <w:rPr>
          <w:rFonts w:ascii="Times" w:hAnsi="Times" w:cs="Arial"/>
        </w:rPr>
        <w:t xml:space="preserve">As our study was concerned with the localized environment of the healthy breast, and </w:t>
      </w:r>
      <w:r w:rsidR="00481DAD" w:rsidRPr="008112B4">
        <w:rPr>
          <w:rFonts w:ascii="Times" w:hAnsi="Times" w:cs="Arial"/>
        </w:rPr>
        <w:t xml:space="preserve">DNA methylation levels are known to vary by originating tissue, </w:t>
      </w:r>
      <w:r w:rsidR="00481DAD" w:rsidRPr="004F2B88">
        <w:rPr>
          <w:rFonts w:ascii="Times" w:hAnsi="Times" w:cs="Arial"/>
        </w:rPr>
        <w:t xml:space="preserve">assessing the degree of methylation </w:t>
      </w:r>
      <w:r>
        <w:rPr>
          <w:rFonts w:ascii="Times" w:hAnsi="Times" w:cs="Arial"/>
        </w:rPr>
        <w:t xml:space="preserve">in mammary </w:t>
      </w:r>
      <w:r w:rsidR="00481DAD" w:rsidRPr="004F2B88">
        <w:rPr>
          <w:rFonts w:ascii="Times" w:hAnsi="Times" w:cs="Arial"/>
        </w:rPr>
        <w:t xml:space="preserve">as opposed to </w:t>
      </w:r>
      <w:r>
        <w:rPr>
          <w:rFonts w:ascii="Times" w:hAnsi="Times" w:cs="Arial"/>
        </w:rPr>
        <w:t>peripheral</w:t>
      </w:r>
      <w:r w:rsidR="00481DAD" w:rsidRPr="004F2B88">
        <w:rPr>
          <w:rFonts w:ascii="Times" w:hAnsi="Times" w:cs="Arial"/>
        </w:rPr>
        <w:t xml:space="preserve"> </w:t>
      </w:r>
      <w:r>
        <w:rPr>
          <w:rFonts w:ascii="Times" w:hAnsi="Times" w:cs="Arial"/>
        </w:rPr>
        <w:t xml:space="preserve">tissue </w:t>
      </w:r>
      <w:r w:rsidR="00481DAD" w:rsidRPr="004F2B88">
        <w:rPr>
          <w:rFonts w:ascii="Times" w:hAnsi="Times" w:cs="Arial"/>
        </w:rPr>
        <w:t>may better reflect the status of the healthy breast microenvironment</w:t>
      </w:r>
      <w:r w:rsidR="00481DAD">
        <w:rPr>
          <w:rFonts w:ascii="Times" w:hAnsi="Times" w:cs="Arial"/>
        </w:rPr>
        <w:t>.</w:t>
      </w:r>
      <w:r w:rsidR="00481DAD" w:rsidRPr="004F2B88">
        <w:rPr>
          <w:rFonts w:ascii="Times" w:hAnsi="Times" w:cs="Arial"/>
          <w:i/>
        </w:rPr>
        <w:t xml:space="preserve"> </w:t>
      </w:r>
      <w:r w:rsidR="00481DAD" w:rsidRPr="004F2B88">
        <w:rPr>
          <w:rFonts w:ascii="Times" w:hAnsi="Times" w:cs="Arial"/>
        </w:rPr>
        <w:t xml:space="preserve">Further, </w:t>
      </w:r>
      <w:r>
        <w:rPr>
          <w:rFonts w:ascii="Times" w:hAnsi="Times" w:cs="Arial"/>
        </w:rPr>
        <w:t xml:space="preserve">our </w:t>
      </w:r>
      <w:r w:rsidR="00481DAD" w:rsidRPr="004F2B88">
        <w:rPr>
          <w:rFonts w:ascii="Times" w:hAnsi="Times" w:cs="Arial"/>
        </w:rPr>
        <w:t>samples contain</w:t>
      </w:r>
      <w:r>
        <w:rPr>
          <w:rFonts w:ascii="Times" w:hAnsi="Times" w:cs="Arial"/>
        </w:rPr>
        <w:t>ed</w:t>
      </w:r>
      <w:r w:rsidR="00481DAD" w:rsidRPr="004F2B88">
        <w:rPr>
          <w:rFonts w:ascii="Times" w:hAnsi="Times" w:cs="Arial"/>
        </w:rPr>
        <w:t xml:space="preserve"> a heterogeneous selection of cell types, in tha</w:t>
      </w:r>
      <w:r w:rsidR="00481DAD">
        <w:rPr>
          <w:rFonts w:ascii="Times" w:hAnsi="Times" w:cs="Arial"/>
        </w:rPr>
        <w:t xml:space="preserve">t they contained adipose, </w:t>
      </w:r>
      <w:r w:rsidR="00481DAD" w:rsidRPr="004F2B88">
        <w:rPr>
          <w:rFonts w:ascii="Times" w:hAnsi="Times" w:cs="Arial"/>
        </w:rPr>
        <w:t xml:space="preserve">epithelial </w:t>
      </w:r>
      <w:r w:rsidR="00481DAD">
        <w:rPr>
          <w:rFonts w:ascii="Times" w:hAnsi="Times" w:cs="Arial"/>
        </w:rPr>
        <w:t>and structural tissue</w:t>
      </w:r>
      <w:r w:rsidR="00481DAD" w:rsidRPr="004F2B88">
        <w:rPr>
          <w:rFonts w:ascii="Times" w:hAnsi="Times" w:cs="Arial"/>
        </w:rPr>
        <w:t xml:space="preserve">. </w:t>
      </w:r>
      <w:r>
        <w:rPr>
          <w:rFonts w:ascii="Times" w:hAnsi="Times" w:cs="Arial"/>
        </w:rPr>
        <w:t xml:space="preserve">DNA </w:t>
      </w:r>
      <w:r w:rsidRPr="004F2B88">
        <w:rPr>
          <w:rFonts w:ascii="Times" w:hAnsi="Times" w:cs="Arial"/>
        </w:rPr>
        <w:t>methylation of adipose tissue is highly correlated with BMI, especially</w:t>
      </w:r>
      <w:r>
        <w:rPr>
          <w:rFonts w:ascii="Times" w:hAnsi="Times" w:cs="Arial"/>
        </w:rPr>
        <w:t xml:space="preserve"> in individuals with a high BMI. </w:t>
      </w:r>
      <w:r w:rsidRPr="004F2B88">
        <w:rPr>
          <w:rFonts w:ascii="Times" w:hAnsi="Times" w:cs="Arial"/>
        </w:rPr>
        <w:t>(Huang 201</w:t>
      </w:r>
      <w:r>
        <w:rPr>
          <w:rFonts w:ascii="Times" w:hAnsi="Times" w:cs="Arial"/>
        </w:rPr>
        <w:t xml:space="preserve">6) </w:t>
      </w:r>
      <w:r>
        <w:rPr>
          <w:rFonts w:ascii="Times" w:hAnsi="Times" w:cs="Arial"/>
          <w:color w:val="000000"/>
        </w:rPr>
        <w:t>With regard to folate status, b</w:t>
      </w:r>
      <w:r w:rsidRPr="002A76C1">
        <w:rPr>
          <w:rFonts w:ascii="Times" w:hAnsi="Times" w:cs="Arial"/>
          <w:color w:val="000000"/>
        </w:rPr>
        <w:t>iologically relevant tissue folate levels typically fall well above the limit of detection (</w:t>
      </w:r>
      <w:proofErr w:type="spellStart"/>
      <w:r w:rsidRPr="002A76C1">
        <w:rPr>
          <w:rFonts w:ascii="Times" w:hAnsi="Times" w:cs="Arial"/>
          <w:color w:val="000000"/>
        </w:rPr>
        <w:t>LoD</w:t>
      </w:r>
      <w:proofErr w:type="spellEnd"/>
      <w:r w:rsidRPr="002A76C1">
        <w:rPr>
          <w:rFonts w:ascii="Times" w:hAnsi="Times" w:cs="Arial"/>
          <w:color w:val="000000"/>
        </w:rPr>
        <w:t xml:space="preserve">) for the </w:t>
      </w:r>
      <w:r w:rsidRPr="00D030EF">
        <w:rPr>
          <w:rFonts w:ascii="Times" w:hAnsi="Times" w:cs="Arial"/>
          <w:i/>
          <w:color w:val="000000"/>
        </w:rPr>
        <w:t>L. casei</w:t>
      </w:r>
      <w:r w:rsidR="00085730">
        <w:rPr>
          <w:rFonts w:ascii="Times" w:hAnsi="Times" w:cs="Arial"/>
          <w:color w:val="000000"/>
        </w:rPr>
        <w:t xml:space="preserve"> assay. Biological concentrations of folate are generally in the nanograms per liter range,</w:t>
      </w:r>
      <w:r>
        <w:rPr>
          <w:rFonts w:ascii="Times" w:hAnsi="Times" w:cs="Arial"/>
          <w:color w:val="000000"/>
        </w:rPr>
        <w:t xml:space="preserve"> as opposed to </w:t>
      </w:r>
      <w:r w:rsidRPr="002A76C1">
        <w:rPr>
          <w:rFonts w:ascii="Times" w:hAnsi="Times" w:cs="Arial"/>
          <w:color w:val="000000"/>
        </w:rPr>
        <w:t>nano</w:t>
      </w:r>
      <w:r>
        <w:rPr>
          <w:rFonts w:ascii="Times" w:hAnsi="Times" w:cs="Arial"/>
          <w:color w:val="000000"/>
        </w:rPr>
        <w:t>moles per liter</w:t>
      </w:r>
      <w:r w:rsidR="00085730">
        <w:rPr>
          <w:rFonts w:ascii="Times" w:hAnsi="Times" w:cs="Arial"/>
          <w:color w:val="000000"/>
        </w:rPr>
        <w:t xml:space="preserve"> (the </w:t>
      </w:r>
      <w:r w:rsidR="00714600">
        <w:rPr>
          <w:rFonts w:ascii="Times" w:hAnsi="Times" w:cs="Arial"/>
          <w:color w:val="000000"/>
        </w:rPr>
        <w:t xml:space="preserve">assay’s </w:t>
      </w:r>
      <w:proofErr w:type="spellStart"/>
      <w:r w:rsidR="00085730">
        <w:rPr>
          <w:rFonts w:ascii="Times" w:hAnsi="Times" w:cs="Arial"/>
          <w:color w:val="000000"/>
        </w:rPr>
        <w:t>LoD</w:t>
      </w:r>
      <w:proofErr w:type="spellEnd"/>
      <w:r w:rsidR="00714600">
        <w:rPr>
          <w:rFonts w:ascii="Times" w:hAnsi="Times" w:cs="Arial"/>
          <w:color w:val="000000"/>
        </w:rPr>
        <w:t xml:space="preserve">). </w:t>
      </w:r>
      <w:r w:rsidRPr="003A0A54">
        <w:rPr>
          <w:rFonts w:ascii="Times" w:hAnsi="Times" w:cs="Arial"/>
          <w:color w:val="000000"/>
        </w:rPr>
        <w:t xml:space="preserve">As such, our findings may accurately denote biological relevance </w:t>
      </w:r>
      <w:r w:rsidR="00714600">
        <w:rPr>
          <w:rFonts w:ascii="Times" w:hAnsi="Times" w:cs="Arial"/>
          <w:color w:val="000000"/>
        </w:rPr>
        <w:t xml:space="preserve">despite the f fact that the </w:t>
      </w:r>
      <w:r w:rsidRPr="003A0A54">
        <w:rPr>
          <w:rFonts w:ascii="Times" w:hAnsi="Times" w:cs="Arial"/>
          <w:color w:val="000000"/>
        </w:rPr>
        <w:t>quantification of tissue folate levels were relative to our folic acid standard</w:t>
      </w:r>
      <w:r w:rsidR="00714600">
        <w:rPr>
          <w:rFonts w:ascii="Times" w:hAnsi="Times" w:cs="Arial"/>
          <w:color w:val="000000"/>
        </w:rPr>
        <w:t xml:space="preserve"> rather than absolute values</w:t>
      </w:r>
      <w:r w:rsidRPr="003A0A54">
        <w:rPr>
          <w:rFonts w:ascii="Times" w:hAnsi="Times" w:cs="Arial"/>
          <w:color w:val="000000"/>
        </w:rPr>
        <w:t>.</w:t>
      </w:r>
      <w:r>
        <w:rPr>
          <w:rFonts w:ascii="Times" w:hAnsi="Times" w:cs="Arial"/>
          <w:color w:val="000000"/>
        </w:rPr>
        <w:t xml:space="preserve"> T</w:t>
      </w:r>
      <w:r w:rsidRPr="002A76C1">
        <w:rPr>
          <w:rFonts w:ascii="Times" w:hAnsi="Times" w:cs="Arial"/>
          <w:color w:val="000000"/>
        </w:rPr>
        <w:t xml:space="preserve">he lowest measured point on our folic assay standard calibration curve was greater than 6 nmol/L, well above the limit of detection for the </w:t>
      </w:r>
      <w:r w:rsidRPr="00D030EF">
        <w:rPr>
          <w:rFonts w:ascii="Times" w:hAnsi="Times" w:cs="Arial"/>
          <w:i/>
          <w:color w:val="000000"/>
        </w:rPr>
        <w:t>L. casei</w:t>
      </w:r>
      <w:r w:rsidR="009E6D7A">
        <w:rPr>
          <w:rFonts w:ascii="Times" w:hAnsi="Times" w:cs="Arial"/>
          <w:color w:val="000000"/>
        </w:rPr>
        <w:t xml:space="preserve"> assay.</w:t>
      </w:r>
    </w:p>
    <w:p w14:paraId="3D0F7C8B" w14:textId="061D17FD" w:rsidR="00481DAD" w:rsidRPr="003A0A54" w:rsidRDefault="00146FDA" w:rsidP="003A0A54">
      <w:pPr>
        <w:spacing w:line="480" w:lineRule="auto"/>
        <w:ind w:firstLine="720"/>
        <w:jc w:val="both"/>
        <w:rPr>
          <w:rFonts w:ascii="Times" w:hAnsi="Times" w:cs="Arial"/>
          <w:color w:val="000000"/>
        </w:rPr>
      </w:pPr>
      <w:r>
        <w:rPr>
          <w:rFonts w:ascii="Times" w:hAnsi="Times" w:cs="Arial"/>
          <w:color w:val="000000"/>
        </w:rPr>
        <w:t xml:space="preserve">Additionally, both </w:t>
      </w:r>
      <w:r w:rsidRPr="002A76C1">
        <w:rPr>
          <w:rFonts w:ascii="Times" w:hAnsi="Times" w:cs="Arial"/>
          <w:color w:val="000000"/>
        </w:rPr>
        <w:t>our standard curve for folate growth and calculated results for sample levels agreed with values</w:t>
      </w:r>
      <w:r>
        <w:rPr>
          <w:rFonts w:ascii="Times" w:hAnsi="Times" w:cs="Arial"/>
          <w:color w:val="000000"/>
        </w:rPr>
        <w:t xml:space="preserve"> previously reported by other laboratories. A</w:t>
      </w:r>
      <w:r w:rsidR="009E6D7A">
        <w:rPr>
          <w:rFonts w:ascii="Times" w:hAnsi="Times" w:cs="Arial"/>
          <w:color w:val="000000"/>
        </w:rPr>
        <w:t>s t</w:t>
      </w:r>
      <w:r w:rsidR="003A0A54">
        <w:rPr>
          <w:rFonts w:ascii="Times" w:hAnsi="Times" w:cs="Arial"/>
          <w:color w:val="000000"/>
        </w:rPr>
        <w:t xml:space="preserve">he assay </w:t>
      </w:r>
      <w:r w:rsidR="009E6D7A">
        <w:rPr>
          <w:rFonts w:ascii="Times" w:hAnsi="Times" w:cs="Arial"/>
          <w:color w:val="000000"/>
        </w:rPr>
        <w:t>is very sensitive,</w:t>
      </w:r>
      <w:r w:rsidR="003A0A54" w:rsidRPr="002A76C1">
        <w:rPr>
          <w:rFonts w:ascii="Times" w:hAnsi="Times" w:cs="Arial"/>
          <w:color w:val="000000"/>
        </w:rPr>
        <w:t xml:space="preserve"> measures were taken to reduce variability. Two internal controls were used, </w:t>
      </w:r>
      <w:r w:rsidR="003A0A54" w:rsidRPr="002A76C1">
        <w:rPr>
          <w:rFonts w:ascii="Times" w:hAnsi="Times" w:cs="Arial"/>
          <w:color w:val="000000"/>
        </w:rPr>
        <w:lastRenderedPageBreak/>
        <w:t xml:space="preserve">human plasma and KPO4 buffer, and all reagents for </w:t>
      </w:r>
      <w:r w:rsidR="003418BD">
        <w:rPr>
          <w:rFonts w:ascii="Times" w:hAnsi="Times" w:cs="Arial"/>
          <w:color w:val="000000"/>
        </w:rPr>
        <w:t xml:space="preserve">the assay </w:t>
      </w:r>
      <w:r w:rsidR="003A0A54" w:rsidRPr="002A76C1">
        <w:rPr>
          <w:rFonts w:ascii="Times" w:hAnsi="Times" w:cs="Arial"/>
          <w:color w:val="000000"/>
        </w:rPr>
        <w:t xml:space="preserve">plates were generated on the same day </w:t>
      </w:r>
      <w:r w:rsidR="003A0A54">
        <w:rPr>
          <w:rFonts w:ascii="Times" w:hAnsi="Times" w:cs="Arial"/>
          <w:color w:val="000000"/>
        </w:rPr>
        <w:t>by the same researcher (</w:t>
      </w:r>
      <w:r w:rsidR="003A0A54" w:rsidRPr="002A76C1">
        <w:rPr>
          <w:rFonts w:ascii="Times" w:hAnsi="Times" w:cs="Arial"/>
          <w:color w:val="000000"/>
        </w:rPr>
        <w:t xml:space="preserve">or used within </w:t>
      </w:r>
      <w:r w:rsidR="003418BD">
        <w:rPr>
          <w:rFonts w:ascii="Times" w:hAnsi="Times" w:cs="Arial"/>
          <w:color w:val="000000"/>
        </w:rPr>
        <w:t xml:space="preserve">less than </w:t>
      </w:r>
      <w:r w:rsidR="003A0A54" w:rsidRPr="002A76C1">
        <w:rPr>
          <w:rFonts w:ascii="Times" w:hAnsi="Times" w:cs="Arial"/>
          <w:color w:val="000000"/>
        </w:rPr>
        <w:t>one week</w:t>
      </w:r>
      <w:r w:rsidR="003A0A54">
        <w:rPr>
          <w:rFonts w:ascii="Times" w:hAnsi="Times" w:cs="Arial"/>
          <w:color w:val="000000"/>
        </w:rPr>
        <w:t>)</w:t>
      </w:r>
      <w:r w:rsidR="003A0A54" w:rsidRPr="002A76C1">
        <w:rPr>
          <w:rFonts w:ascii="Times" w:hAnsi="Times" w:cs="Arial"/>
          <w:color w:val="000000"/>
        </w:rPr>
        <w:t>.</w:t>
      </w:r>
      <w:r w:rsidR="003A0A54" w:rsidRPr="00D030EF">
        <w:rPr>
          <w:rFonts w:ascii="Times" w:hAnsi="Times" w:cs="Arial"/>
          <w:color w:val="000000"/>
        </w:rPr>
        <w:t xml:space="preserve"> </w:t>
      </w:r>
      <w:r w:rsidR="003C0EBC">
        <w:rPr>
          <w:rFonts w:ascii="Times" w:hAnsi="Times" w:cs="Arial"/>
          <w:color w:val="000000"/>
        </w:rPr>
        <w:t xml:space="preserve">All plates were </w:t>
      </w:r>
      <w:r w:rsidR="003A0A54">
        <w:rPr>
          <w:rFonts w:ascii="Times" w:hAnsi="Times" w:cs="Arial"/>
          <w:color w:val="000000"/>
        </w:rPr>
        <w:t>generated and analyzed</w:t>
      </w:r>
      <w:r w:rsidR="003C0EBC">
        <w:rPr>
          <w:rFonts w:ascii="Times" w:hAnsi="Times" w:cs="Arial"/>
          <w:color w:val="000000"/>
        </w:rPr>
        <w:t xml:space="preserve"> by the same researcher</w:t>
      </w:r>
      <w:r w:rsidR="003A0A54">
        <w:rPr>
          <w:rFonts w:ascii="Times" w:hAnsi="Times" w:cs="Arial"/>
          <w:color w:val="000000"/>
        </w:rPr>
        <w:t xml:space="preserve">, which reduced the likelihood of </w:t>
      </w:r>
      <w:r w:rsidR="003C0EBC">
        <w:rPr>
          <w:rFonts w:ascii="Times" w:hAnsi="Times" w:cs="Arial"/>
          <w:color w:val="000000"/>
        </w:rPr>
        <w:t>variability due to inconsistencies between technicians</w:t>
      </w:r>
      <w:r w:rsidR="003A0A54">
        <w:rPr>
          <w:rFonts w:ascii="Times" w:hAnsi="Times" w:cs="Arial"/>
          <w:color w:val="000000"/>
        </w:rPr>
        <w:t xml:space="preserve">. In conclusion, </w:t>
      </w:r>
      <w:r w:rsidR="00A55D4C">
        <w:rPr>
          <w:rFonts w:ascii="Times" w:hAnsi="Times" w:cs="Arial"/>
          <w:color w:val="000000"/>
        </w:rPr>
        <w:t xml:space="preserve">not only are </w:t>
      </w:r>
      <w:r w:rsidR="003A0A54">
        <w:rPr>
          <w:rFonts w:ascii="Times" w:hAnsi="Times" w:cs="Arial"/>
        </w:rPr>
        <w:t xml:space="preserve">our </w:t>
      </w:r>
      <w:r w:rsidRPr="00146FDA">
        <w:rPr>
          <w:rFonts w:ascii="Times" w:hAnsi="Times" w:cs="Arial"/>
          <w:i/>
        </w:rPr>
        <w:t>L. casei</w:t>
      </w:r>
      <w:r>
        <w:rPr>
          <w:rFonts w:ascii="Times" w:hAnsi="Times" w:cs="Arial"/>
        </w:rPr>
        <w:t xml:space="preserve"> assay </w:t>
      </w:r>
      <w:r w:rsidR="00A55D4C">
        <w:rPr>
          <w:rFonts w:ascii="Times" w:hAnsi="Times" w:cs="Arial"/>
        </w:rPr>
        <w:t>results</w:t>
      </w:r>
      <w:r>
        <w:rPr>
          <w:rFonts w:ascii="Times" w:hAnsi="Times" w:cs="Arial"/>
        </w:rPr>
        <w:t xml:space="preserve"> in</w:t>
      </w:r>
      <w:r w:rsidR="00A55D4C">
        <w:rPr>
          <w:rFonts w:ascii="Times" w:hAnsi="Times" w:cs="Arial"/>
        </w:rPr>
        <w:t xml:space="preserve"> agreement</w:t>
      </w:r>
      <w:r>
        <w:rPr>
          <w:rFonts w:ascii="Times" w:hAnsi="Times" w:cs="Arial"/>
        </w:rPr>
        <w:t xml:space="preserve"> with </w:t>
      </w:r>
      <w:r w:rsidR="00A55D4C">
        <w:rPr>
          <w:rFonts w:ascii="Times" w:hAnsi="Times" w:cs="Arial"/>
        </w:rPr>
        <w:t xml:space="preserve">typical concentrations </w:t>
      </w:r>
      <w:r>
        <w:rPr>
          <w:rFonts w:ascii="Times" w:hAnsi="Times" w:cs="Arial"/>
        </w:rPr>
        <w:t xml:space="preserve">in </w:t>
      </w:r>
      <w:r w:rsidR="00A55D4C">
        <w:rPr>
          <w:rFonts w:ascii="Times" w:hAnsi="Times" w:cs="Arial"/>
        </w:rPr>
        <w:t xml:space="preserve">the </w:t>
      </w:r>
      <w:r>
        <w:rPr>
          <w:rFonts w:ascii="Times" w:hAnsi="Times" w:cs="Arial"/>
        </w:rPr>
        <w:t>previous literature</w:t>
      </w:r>
      <w:r w:rsidR="00A55D4C">
        <w:rPr>
          <w:rFonts w:ascii="Times" w:hAnsi="Times" w:cs="Arial"/>
        </w:rPr>
        <w:t xml:space="preserve">, </w:t>
      </w:r>
      <w:r>
        <w:rPr>
          <w:rFonts w:ascii="Times" w:hAnsi="Times" w:cs="Arial"/>
        </w:rPr>
        <w:t xml:space="preserve">our study design </w:t>
      </w:r>
      <w:r w:rsidR="003A0A54">
        <w:rPr>
          <w:rFonts w:ascii="Times" w:hAnsi="Times" w:cs="Arial"/>
        </w:rPr>
        <w:t>may</w:t>
      </w:r>
      <w:r>
        <w:rPr>
          <w:rFonts w:ascii="Times" w:hAnsi="Times" w:cs="Arial"/>
        </w:rPr>
        <w:t xml:space="preserve"> </w:t>
      </w:r>
      <w:r w:rsidR="003A0A54">
        <w:rPr>
          <w:rFonts w:ascii="Times" w:hAnsi="Times" w:cs="Arial"/>
        </w:rPr>
        <w:t>more accurately reflect the molecular</w:t>
      </w:r>
      <w:r w:rsidR="003A0A54" w:rsidRPr="004F2B88">
        <w:rPr>
          <w:rFonts w:ascii="Times" w:hAnsi="Times" w:cs="Arial"/>
        </w:rPr>
        <w:t xml:space="preserve"> </w:t>
      </w:r>
      <w:r w:rsidR="003A0A54">
        <w:rPr>
          <w:rFonts w:ascii="Times" w:hAnsi="Times" w:cs="Arial"/>
        </w:rPr>
        <w:t xml:space="preserve">and epigenetic </w:t>
      </w:r>
      <w:r w:rsidR="003A0A54" w:rsidRPr="004F2B88">
        <w:rPr>
          <w:rFonts w:ascii="Times" w:hAnsi="Times" w:cs="Arial"/>
        </w:rPr>
        <w:t>heterogeneity that is</w:t>
      </w:r>
      <w:r w:rsidR="003A0A54">
        <w:rPr>
          <w:rFonts w:ascii="Times" w:hAnsi="Times" w:cs="Arial"/>
        </w:rPr>
        <w:t xml:space="preserve"> present within the human breast</w:t>
      </w:r>
      <w:r>
        <w:rPr>
          <w:rFonts w:ascii="Times" w:hAnsi="Times" w:cs="Arial"/>
        </w:rPr>
        <w:t xml:space="preserve"> </w:t>
      </w:r>
    </w:p>
    <w:p w14:paraId="25B28B4A" w14:textId="46502532" w:rsidR="003A0A54" w:rsidRDefault="00481DAD" w:rsidP="00982968">
      <w:pPr>
        <w:spacing w:line="480" w:lineRule="auto"/>
        <w:ind w:firstLine="720"/>
        <w:jc w:val="both"/>
        <w:rPr>
          <w:rFonts w:ascii="Times" w:hAnsi="Times" w:cs="Arial"/>
          <w:color w:val="000000"/>
        </w:rPr>
      </w:pPr>
      <w:r>
        <w:rPr>
          <w:rFonts w:ascii="Times" w:hAnsi="Times" w:cs="Arial"/>
          <w:color w:val="000000"/>
        </w:rPr>
        <w:t xml:space="preserve">Another </w:t>
      </w:r>
      <w:r w:rsidR="003A0A54">
        <w:rPr>
          <w:rFonts w:ascii="Times" w:hAnsi="Times" w:cs="Arial"/>
          <w:color w:val="000000"/>
        </w:rPr>
        <w:t>strength is the potentiali</w:t>
      </w:r>
      <w:r w:rsidR="0038196E">
        <w:rPr>
          <w:rFonts w:ascii="Times" w:hAnsi="Times" w:cs="Arial"/>
          <w:color w:val="000000"/>
        </w:rPr>
        <w:t xml:space="preserve">ty for method agreement between </w:t>
      </w:r>
      <w:r w:rsidR="003A0A54">
        <w:rPr>
          <w:rFonts w:ascii="Times" w:hAnsi="Times" w:cs="Arial"/>
          <w:color w:val="000000"/>
        </w:rPr>
        <w:t xml:space="preserve">this investigation and </w:t>
      </w:r>
      <w:r w:rsidR="0038196E">
        <w:rPr>
          <w:rFonts w:ascii="Times" w:hAnsi="Times" w:cs="Arial"/>
          <w:color w:val="000000"/>
        </w:rPr>
        <w:t xml:space="preserve">large </w:t>
      </w:r>
      <w:r w:rsidR="009B567B">
        <w:rPr>
          <w:rFonts w:ascii="Times" w:hAnsi="Times" w:cs="Arial"/>
          <w:color w:val="000000"/>
        </w:rPr>
        <w:t xml:space="preserve">epidemiological </w:t>
      </w:r>
      <w:r w:rsidR="003A0A54">
        <w:rPr>
          <w:rFonts w:ascii="Times" w:hAnsi="Times" w:cs="Arial"/>
          <w:color w:val="000000"/>
        </w:rPr>
        <w:t xml:space="preserve">studies. </w:t>
      </w:r>
      <w:r w:rsidRPr="002A76C1">
        <w:rPr>
          <w:rFonts w:ascii="Times" w:hAnsi="Times" w:cs="Arial"/>
          <w:color w:val="000000"/>
        </w:rPr>
        <w:t xml:space="preserve">Despite the invention of protein-based assays to detect folate concentrations, the </w:t>
      </w:r>
      <w:r w:rsidRPr="00D030EF">
        <w:rPr>
          <w:rFonts w:ascii="Times" w:hAnsi="Times" w:cs="Arial"/>
          <w:i/>
          <w:color w:val="000000"/>
        </w:rPr>
        <w:t>L. casei</w:t>
      </w:r>
      <w:r w:rsidRPr="002A76C1">
        <w:rPr>
          <w:rFonts w:ascii="Times" w:hAnsi="Times" w:cs="Arial"/>
          <w:color w:val="000000"/>
        </w:rPr>
        <w:t xml:space="preserve"> microbiological assay is still the most highly recommended assay to determine folate conce</w:t>
      </w:r>
      <w:r w:rsidR="0038196E">
        <w:rPr>
          <w:rFonts w:ascii="Times" w:hAnsi="Times" w:cs="Arial"/>
          <w:color w:val="000000"/>
        </w:rPr>
        <w:t>ntrations in biological samples. Thus, it is widely used in prospective cohorts</w:t>
      </w:r>
      <w:r>
        <w:rPr>
          <w:rFonts w:ascii="Times" w:hAnsi="Times" w:cs="Arial"/>
          <w:color w:val="000000"/>
        </w:rPr>
        <w:t xml:space="preserve">. </w:t>
      </w:r>
      <w:r w:rsidR="0038196E">
        <w:rPr>
          <w:rFonts w:ascii="Times" w:hAnsi="Times" w:cs="Arial"/>
          <w:color w:val="000000"/>
        </w:rPr>
        <w:t xml:space="preserve">For example, NHANES is one of the largest and most detailed cohort studies in the United States. </w:t>
      </w:r>
      <w:r w:rsidR="001E05F4">
        <w:rPr>
          <w:rFonts w:ascii="Times" w:hAnsi="Times" w:cs="Arial"/>
          <w:color w:val="000000"/>
        </w:rPr>
        <w:t>NHANES collects data on a wide range of variables beyond biospecimens related to micronutrient status</w:t>
      </w:r>
      <w:r w:rsidR="00982968">
        <w:rPr>
          <w:rFonts w:ascii="Times" w:hAnsi="Times" w:cs="Arial"/>
          <w:color w:val="000000"/>
        </w:rPr>
        <w:t xml:space="preserve">, </w:t>
      </w:r>
      <w:r w:rsidR="001E05F4">
        <w:rPr>
          <w:rFonts w:ascii="Times" w:hAnsi="Times" w:cs="Arial"/>
          <w:color w:val="000000"/>
        </w:rPr>
        <w:t xml:space="preserve">including lifestyle habits, </w:t>
      </w:r>
      <w:r w:rsidR="00982968">
        <w:rPr>
          <w:rFonts w:ascii="Times" w:hAnsi="Times" w:cs="Arial"/>
          <w:color w:val="000000"/>
        </w:rPr>
        <w:t>environmental exposures, occupation, reproductive health. Many of such variables have been previously shown to be associated with BC risk.</w:t>
      </w:r>
      <w:r w:rsidR="00982968" w:rsidRPr="00982968">
        <w:rPr>
          <w:rFonts w:ascii="Times" w:hAnsi="Times" w:cs="Arial"/>
          <w:color w:val="000000"/>
        </w:rPr>
        <w:t xml:space="preserve"> </w:t>
      </w:r>
      <w:r w:rsidR="0033075E">
        <w:rPr>
          <w:rFonts w:ascii="Times" w:hAnsi="Times" w:cs="Arial"/>
          <w:color w:val="000000"/>
        </w:rPr>
        <w:t xml:space="preserve">Though NHANES methodology briefly switched to protein-based assays for folate status assessment in the 2000s, it reverted back to the </w:t>
      </w:r>
      <w:r w:rsidR="0033075E" w:rsidRPr="00C07CE1">
        <w:rPr>
          <w:rFonts w:ascii="Times" w:hAnsi="Times" w:cs="Arial"/>
          <w:i/>
          <w:color w:val="000000"/>
        </w:rPr>
        <w:t>L. casei</w:t>
      </w:r>
      <w:r w:rsidR="0033075E">
        <w:rPr>
          <w:rFonts w:ascii="Times" w:hAnsi="Times" w:cs="Arial"/>
          <w:color w:val="000000"/>
        </w:rPr>
        <w:t xml:space="preserve"> assay in subsequent years. </w:t>
      </w:r>
      <w:r w:rsidR="00982968">
        <w:rPr>
          <w:rFonts w:ascii="Times" w:hAnsi="Times" w:cs="Arial"/>
          <w:color w:val="000000"/>
        </w:rPr>
        <w:t xml:space="preserve">Since we employed the same method of folate assessment, our results may be more readily compared against their </w:t>
      </w:r>
      <w:r w:rsidR="0033075E">
        <w:rPr>
          <w:rFonts w:ascii="Times" w:hAnsi="Times" w:cs="Arial"/>
          <w:color w:val="000000"/>
        </w:rPr>
        <w:t xml:space="preserve">outcomes. </w:t>
      </w:r>
    </w:p>
    <w:p w14:paraId="661C5193" w14:textId="5E8D0D7F" w:rsidR="005D3B8F" w:rsidRDefault="005D3B8F" w:rsidP="007721F3">
      <w:pPr>
        <w:spacing w:line="480" w:lineRule="auto"/>
        <w:ind w:firstLine="720"/>
        <w:jc w:val="both"/>
        <w:rPr>
          <w:rFonts w:ascii="Times" w:hAnsi="Times" w:cs="Arial"/>
        </w:rPr>
      </w:pPr>
      <w:r>
        <w:rPr>
          <w:rFonts w:ascii="Times" w:hAnsi="Times" w:cs="Arial"/>
        </w:rPr>
        <w:t>Our study has several limitations.</w:t>
      </w:r>
      <w:r w:rsidR="003F092C" w:rsidRPr="004F2B88">
        <w:rPr>
          <w:rFonts w:ascii="Times" w:hAnsi="Times" w:cs="Arial"/>
        </w:rPr>
        <w:t xml:space="preserve"> </w:t>
      </w:r>
      <w:r>
        <w:rPr>
          <w:rFonts w:ascii="Times" w:hAnsi="Times" w:cs="Arial"/>
        </w:rPr>
        <w:t>T</w:t>
      </w:r>
      <w:r w:rsidR="003F092C" w:rsidRPr="004F2B88">
        <w:rPr>
          <w:rFonts w:ascii="Times" w:hAnsi="Times" w:cs="Arial"/>
        </w:rPr>
        <w:t>issue samples were donated from local women who u</w:t>
      </w:r>
      <w:r>
        <w:rPr>
          <w:rFonts w:ascii="Times" w:hAnsi="Times" w:cs="Arial"/>
        </w:rPr>
        <w:t>nderwent elective mammoplasty, and t</w:t>
      </w:r>
      <w:r w:rsidR="003F092C" w:rsidRPr="004F2B88">
        <w:rPr>
          <w:rFonts w:ascii="Times" w:hAnsi="Times" w:cs="Arial"/>
        </w:rPr>
        <w:t xml:space="preserve">he accompanying data concerning the subjects’ characteristics was limited to BMI category, menopausal status, age and parity. </w:t>
      </w:r>
      <w:r w:rsidR="003F092C" w:rsidRPr="004F2B88">
        <w:rPr>
          <w:rFonts w:ascii="Times" w:hAnsi="Times" w:cs="Arial"/>
        </w:rPr>
        <w:lastRenderedPageBreak/>
        <w:t>Beyond these parameters and the classif</w:t>
      </w:r>
      <w:r>
        <w:rPr>
          <w:rFonts w:ascii="Times" w:hAnsi="Times" w:cs="Arial"/>
        </w:rPr>
        <w:t>ication as “healthy” women, we were</w:t>
      </w:r>
      <w:r w:rsidR="003F092C" w:rsidRPr="004F2B88">
        <w:rPr>
          <w:rFonts w:ascii="Times" w:hAnsi="Times" w:cs="Arial"/>
        </w:rPr>
        <w:t xml:space="preserve"> unable to distinguish whether </w:t>
      </w:r>
      <w:r>
        <w:rPr>
          <w:rFonts w:ascii="Times" w:hAnsi="Times" w:cs="Arial"/>
        </w:rPr>
        <w:t xml:space="preserve">there were </w:t>
      </w:r>
      <w:r w:rsidR="003F092C" w:rsidRPr="004F2B88">
        <w:rPr>
          <w:rFonts w:ascii="Times" w:hAnsi="Times" w:cs="Arial"/>
        </w:rPr>
        <w:t>any pre-existing condi</w:t>
      </w:r>
      <w:r>
        <w:rPr>
          <w:rFonts w:ascii="Times" w:hAnsi="Times" w:cs="Arial"/>
        </w:rPr>
        <w:t xml:space="preserve">tions that would influence their </w:t>
      </w:r>
      <w:r w:rsidR="003F092C" w:rsidRPr="004F2B88">
        <w:rPr>
          <w:rFonts w:ascii="Times" w:hAnsi="Times" w:cs="Arial"/>
        </w:rPr>
        <w:t>decision</w:t>
      </w:r>
      <w:r>
        <w:rPr>
          <w:rFonts w:ascii="Times" w:hAnsi="Times" w:cs="Arial"/>
        </w:rPr>
        <w:t>s</w:t>
      </w:r>
      <w:r w:rsidR="003F092C" w:rsidRPr="004F2B88">
        <w:rPr>
          <w:rFonts w:ascii="Times" w:hAnsi="Times" w:cs="Arial"/>
        </w:rPr>
        <w:t xml:space="preserve"> to receive a breast reduction</w:t>
      </w:r>
      <w:r>
        <w:rPr>
          <w:rFonts w:ascii="Times" w:hAnsi="Times" w:cs="Arial"/>
        </w:rPr>
        <w:t xml:space="preserve"> or speak to their underlying metabolic health</w:t>
      </w:r>
      <w:r w:rsidR="003F092C" w:rsidRPr="004F2B88">
        <w:rPr>
          <w:rFonts w:ascii="Times" w:hAnsi="Times" w:cs="Arial"/>
        </w:rPr>
        <w:t xml:space="preserve">. </w:t>
      </w:r>
      <w:r w:rsidRPr="004F2B88">
        <w:rPr>
          <w:rFonts w:ascii="Times" w:hAnsi="Times" w:cs="Arial"/>
        </w:rPr>
        <w:t>There are many factors beyond aesthetics that may influence a woman’s decision to have breast reduction surgery, and these factors are not limited to; relieving lower back pain or stasis ulcers; improving sports performance or ability to breathe; augmentation as part of gender reassignment surgery, or many other various psychological or social reasons. Information as to the women’s’ personal motivations for the elective procedure may not be directly related to breast cancer risk, but data on these determinants was not provided. As our study is concerned with premenopausal breast cancer risk, any additional factors that would directly influence breast cancer risk such as breast density cannot be controlled for, and therefore may contribute to bias.</w:t>
      </w:r>
      <w:r w:rsidR="00A41C39" w:rsidRPr="00A41C39">
        <w:rPr>
          <w:rFonts w:ascii="Times" w:hAnsi="Times" w:cs="Arial"/>
        </w:rPr>
        <w:t xml:space="preserve"> </w:t>
      </w:r>
      <w:r w:rsidR="00A41C39">
        <w:rPr>
          <w:rFonts w:ascii="Times" w:hAnsi="Times" w:cs="Arial"/>
        </w:rPr>
        <w:t>Hence, there may be significant differences between our cohort of cancer-free women and the general population. Due to these concerns,</w:t>
      </w:r>
      <w:r w:rsidR="00A41C39" w:rsidRPr="004F2B88">
        <w:rPr>
          <w:rFonts w:ascii="Times" w:hAnsi="Times" w:cs="Arial"/>
        </w:rPr>
        <w:t xml:space="preserve"> we cannot eliminate the possibility that these tissue samples may have been from women who are at an increased risk of breast cancer, which would </w:t>
      </w:r>
      <w:r w:rsidR="00A41C39">
        <w:rPr>
          <w:rFonts w:ascii="Times" w:hAnsi="Times" w:cs="Arial"/>
        </w:rPr>
        <w:t xml:space="preserve">skew </w:t>
      </w:r>
      <w:r w:rsidR="00A41C39" w:rsidRPr="004F2B88">
        <w:rPr>
          <w:rFonts w:ascii="Times" w:hAnsi="Times" w:cs="Arial"/>
        </w:rPr>
        <w:t>our results.</w:t>
      </w:r>
    </w:p>
    <w:p w14:paraId="650B7C89" w14:textId="0F85740B" w:rsidR="0005468E" w:rsidRDefault="005D3B8F" w:rsidP="00C4195D">
      <w:pPr>
        <w:spacing w:line="480" w:lineRule="auto"/>
        <w:ind w:firstLine="720"/>
        <w:jc w:val="both"/>
        <w:rPr>
          <w:rFonts w:ascii="Times" w:hAnsi="Times" w:cs="Arial"/>
        </w:rPr>
      </w:pPr>
      <w:r>
        <w:rPr>
          <w:rFonts w:ascii="Times" w:hAnsi="Times" w:cs="Arial"/>
        </w:rPr>
        <w:t>In addition, BMI is not an accurate indicator of fat deposition or metabolic activity. Some overweight and obese individuals exhibit “metabolically healthy” profiles</w:t>
      </w:r>
      <w:r w:rsidR="00C4195D">
        <w:rPr>
          <w:rFonts w:ascii="Times" w:hAnsi="Times" w:cs="Arial"/>
        </w:rPr>
        <w:t xml:space="preserve">, </w:t>
      </w:r>
      <w:r>
        <w:rPr>
          <w:rFonts w:ascii="Times" w:hAnsi="Times" w:cs="Arial"/>
        </w:rPr>
        <w:t xml:space="preserve">despite presenting with higher general adiposity. Without the accompaniment of biomarkers for metabolic function, no assumptions could be made as to the participants’ overall health status. </w:t>
      </w:r>
      <w:r w:rsidR="00A41C39">
        <w:rPr>
          <w:rFonts w:ascii="Times" w:hAnsi="Times" w:cs="Arial"/>
        </w:rPr>
        <w:t>The lack of data pertaining to body fat distribution further limits our ability to conjecture on the relationship between the more</w:t>
      </w:r>
      <w:r w:rsidR="00537E68">
        <w:rPr>
          <w:rFonts w:ascii="Times" w:hAnsi="Times" w:cs="Arial"/>
        </w:rPr>
        <w:t xml:space="preserve"> nuanced aspects of bodyweight, folate, epigenetic status and premenopausal BC risk.</w:t>
      </w:r>
      <w:r w:rsidR="00A41C39">
        <w:rPr>
          <w:rFonts w:ascii="Times" w:hAnsi="Times" w:cs="Arial"/>
        </w:rPr>
        <w:t xml:space="preserve"> </w:t>
      </w:r>
    </w:p>
    <w:p w14:paraId="3643D5DC" w14:textId="6365976D" w:rsidR="00F80C70" w:rsidRDefault="00EE7323" w:rsidP="001B22A4">
      <w:pPr>
        <w:spacing w:line="480" w:lineRule="auto"/>
        <w:ind w:firstLine="720"/>
        <w:jc w:val="both"/>
        <w:rPr>
          <w:rFonts w:ascii="Times" w:hAnsi="Times" w:cs="Arial"/>
        </w:rPr>
      </w:pPr>
      <w:r>
        <w:rPr>
          <w:rFonts w:ascii="Times" w:hAnsi="Times" w:cs="Arial"/>
        </w:rPr>
        <w:lastRenderedPageBreak/>
        <w:t xml:space="preserve">Another limitation of our study is related to our gene selection process. </w:t>
      </w:r>
      <w:r w:rsidR="00112F62">
        <w:rPr>
          <w:rFonts w:ascii="Times" w:hAnsi="Times" w:cs="Arial"/>
        </w:rPr>
        <w:t xml:space="preserve">Gene selection for our assay was based on a scan of the existing literature. Though the field of epigenetics is nearing its hundredth birthday, investigations into the methylation patterns of specific cancer types are still </w:t>
      </w:r>
      <w:r w:rsidR="00C4195D">
        <w:rPr>
          <w:rFonts w:ascii="Times" w:hAnsi="Times" w:cs="Arial"/>
        </w:rPr>
        <w:t>quite young</w:t>
      </w:r>
      <w:r w:rsidR="004E3C10">
        <w:rPr>
          <w:rFonts w:ascii="Times" w:hAnsi="Times" w:cs="Arial"/>
        </w:rPr>
        <w:t>. Consequently, f</w:t>
      </w:r>
      <w:r w:rsidR="00C4195D">
        <w:rPr>
          <w:rFonts w:ascii="Times" w:hAnsi="Times" w:cs="Arial"/>
        </w:rPr>
        <w:t xml:space="preserve">ew systematic reviews on the epigenetic profiles of premenopausal breast cancer exist. </w:t>
      </w:r>
      <w:r w:rsidR="00112F62">
        <w:rPr>
          <w:rFonts w:ascii="Times" w:hAnsi="Times" w:cs="Arial"/>
        </w:rPr>
        <w:t xml:space="preserve">The </w:t>
      </w:r>
      <w:r w:rsidR="001B22A4">
        <w:rPr>
          <w:rFonts w:ascii="Times" w:hAnsi="Times" w:cs="Arial"/>
        </w:rPr>
        <w:t>frequen</w:t>
      </w:r>
      <w:r w:rsidR="00112F62">
        <w:rPr>
          <w:rFonts w:ascii="Times" w:hAnsi="Times" w:cs="Arial"/>
        </w:rPr>
        <w:t>cy and strength of support for evidence on the d</w:t>
      </w:r>
      <w:r w:rsidR="001B22A4">
        <w:rPr>
          <w:rFonts w:ascii="Times" w:hAnsi="Times" w:cs="Arial"/>
        </w:rPr>
        <w:t xml:space="preserve">ifferential methylation of </w:t>
      </w:r>
      <w:r w:rsidR="00112F62">
        <w:rPr>
          <w:rFonts w:ascii="Times" w:hAnsi="Times" w:cs="Arial"/>
        </w:rPr>
        <w:t xml:space="preserve">a particular </w:t>
      </w:r>
      <w:r w:rsidR="004E3C10">
        <w:rPr>
          <w:rFonts w:ascii="Times" w:hAnsi="Times" w:cs="Arial"/>
        </w:rPr>
        <w:t xml:space="preserve">epiobesigenic gene, </w:t>
      </w:r>
      <w:r w:rsidR="00112F62">
        <w:rPr>
          <w:rFonts w:ascii="Times" w:hAnsi="Times" w:cs="Arial"/>
        </w:rPr>
        <w:t>outside of the</w:t>
      </w:r>
      <w:r w:rsidR="004E3C10">
        <w:rPr>
          <w:rFonts w:ascii="Times" w:hAnsi="Times" w:cs="Arial"/>
        </w:rPr>
        <w:t xml:space="preserve"> most classically investigated such as BRCA1 and BRCA2 or RASSF1A,</w:t>
      </w:r>
      <w:r w:rsidR="00112F62">
        <w:rPr>
          <w:rFonts w:ascii="Times" w:hAnsi="Times" w:cs="Arial"/>
        </w:rPr>
        <w:t xml:space="preserve"> is limited</w:t>
      </w:r>
      <w:r w:rsidR="004E3C10">
        <w:rPr>
          <w:rFonts w:ascii="Times" w:hAnsi="Times" w:cs="Arial"/>
        </w:rPr>
        <w:t>. M</w:t>
      </w:r>
      <w:r w:rsidR="00112F62">
        <w:rPr>
          <w:rFonts w:ascii="Times" w:hAnsi="Times" w:cs="Arial"/>
        </w:rPr>
        <w:t>any</w:t>
      </w:r>
      <w:r w:rsidR="001B22A4">
        <w:rPr>
          <w:rFonts w:ascii="Times" w:hAnsi="Times" w:cs="Arial"/>
        </w:rPr>
        <w:t xml:space="preserve"> </w:t>
      </w:r>
      <w:r w:rsidR="00112F62">
        <w:rPr>
          <w:rFonts w:ascii="Times" w:hAnsi="Times" w:cs="Arial"/>
        </w:rPr>
        <w:t xml:space="preserve">types of </w:t>
      </w:r>
      <w:r w:rsidR="003F092C" w:rsidRPr="004F2B88">
        <w:rPr>
          <w:rFonts w:ascii="Times" w:hAnsi="Times" w:cs="Arial"/>
        </w:rPr>
        <w:t xml:space="preserve">genes </w:t>
      </w:r>
      <w:r>
        <w:rPr>
          <w:rFonts w:ascii="Times" w:hAnsi="Times" w:cs="Arial"/>
        </w:rPr>
        <w:t>are</w:t>
      </w:r>
      <w:r w:rsidR="001B22A4">
        <w:rPr>
          <w:rFonts w:ascii="Times" w:hAnsi="Times" w:cs="Arial"/>
        </w:rPr>
        <w:t xml:space="preserve"> strongly implicated with </w:t>
      </w:r>
      <w:r>
        <w:rPr>
          <w:rFonts w:ascii="Times" w:hAnsi="Times" w:cs="Arial"/>
        </w:rPr>
        <w:t>differ</w:t>
      </w:r>
      <w:r w:rsidR="00112F62">
        <w:rPr>
          <w:rFonts w:ascii="Times" w:hAnsi="Times" w:cs="Arial"/>
        </w:rPr>
        <w:t xml:space="preserve">ential methylation levels by bodyweight, </w:t>
      </w:r>
      <w:r w:rsidR="004E3C10">
        <w:rPr>
          <w:rFonts w:ascii="Times" w:hAnsi="Times" w:cs="Arial"/>
        </w:rPr>
        <w:t>or</w:t>
      </w:r>
      <w:r w:rsidR="00112F62">
        <w:rPr>
          <w:rFonts w:ascii="Times" w:hAnsi="Times" w:cs="Arial"/>
        </w:rPr>
        <w:t xml:space="preserve"> folate status, but not for </w:t>
      </w:r>
      <w:r w:rsidR="004E3C10">
        <w:rPr>
          <w:rFonts w:ascii="Times" w:hAnsi="Times" w:cs="Arial"/>
        </w:rPr>
        <w:t>both</w:t>
      </w:r>
      <w:r w:rsidR="00112F62">
        <w:rPr>
          <w:rFonts w:ascii="Times" w:hAnsi="Times" w:cs="Arial"/>
        </w:rPr>
        <w:t xml:space="preserve"> factors</w:t>
      </w:r>
      <w:r w:rsidR="004E3C10">
        <w:rPr>
          <w:rFonts w:ascii="Times" w:hAnsi="Times" w:cs="Arial"/>
        </w:rPr>
        <w:t xml:space="preserve"> as well as menopausal-specific BC</w:t>
      </w:r>
      <w:r w:rsidR="00112F62">
        <w:rPr>
          <w:rFonts w:ascii="Times" w:hAnsi="Times" w:cs="Arial"/>
        </w:rPr>
        <w:t>.</w:t>
      </w:r>
      <w:r w:rsidR="00C4195D">
        <w:rPr>
          <w:rFonts w:ascii="Times" w:hAnsi="Times" w:cs="Arial"/>
        </w:rPr>
        <w:t xml:space="preserve"> Going further, a</w:t>
      </w:r>
      <w:r w:rsidR="001B22A4">
        <w:rPr>
          <w:rFonts w:ascii="Times" w:hAnsi="Times" w:cs="Arial"/>
        </w:rPr>
        <w:t xml:space="preserve"> more robust and objective screening method </w:t>
      </w:r>
      <w:r w:rsidR="00112F62">
        <w:rPr>
          <w:rFonts w:ascii="Times" w:hAnsi="Times" w:cs="Arial"/>
        </w:rPr>
        <w:t xml:space="preserve">for gene inclusion </w:t>
      </w:r>
      <w:r w:rsidR="000B7179">
        <w:rPr>
          <w:rFonts w:ascii="Times" w:hAnsi="Times" w:cs="Arial"/>
        </w:rPr>
        <w:t>should</w:t>
      </w:r>
      <w:r w:rsidR="001B22A4">
        <w:rPr>
          <w:rFonts w:ascii="Times" w:hAnsi="Times" w:cs="Arial"/>
        </w:rPr>
        <w:t xml:space="preserve"> be utilized</w:t>
      </w:r>
      <w:r w:rsidR="00112F62">
        <w:rPr>
          <w:rFonts w:ascii="Times" w:hAnsi="Times" w:cs="Arial"/>
        </w:rPr>
        <w:t>, strengthen</w:t>
      </w:r>
      <w:r w:rsidR="006C326B">
        <w:rPr>
          <w:rFonts w:ascii="Times" w:hAnsi="Times" w:cs="Arial"/>
        </w:rPr>
        <w:t>ing the likelihood of finding a meaningful</w:t>
      </w:r>
      <w:r w:rsidR="00112F62">
        <w:rPr>
          <w:rFonts w:ascii="Times" w:hAnsi="Times" w:cs="Arial"/>
        </w:rPr>
        <w:t xml:space="preserve"> association between epigenetic signature and status.</w:t>
      </w:r>
    </w:p>
    <w:p w14:paraId="15F4AEC1" w14:textId="77777777" w:rsidR="00F80C70" w:rsidRDefault="00F80C70">
      <w:pPr>
        <w:suppressAutoHyphens w:val="0"/>
        <w:rPr>
          <w:rFonts w:ascii="Times" w:hAnsi="Times" w:cs="Arial"/>
        </w:rPr>
      </w:pPr>
      <w:r>
        <w:rPr>
          <w:rFonts w:ascii="Times" w:hAnsi="Times" w:cs="Arial"/>
        </w:rPr>
        <w:br w:type="page"/>
      </w:r>
    </w:p>
    <w:p w14:paraId="5CCC3892" w14:textId="119F5C90" w:rsidR="00451FBB" w:rsidRDefault="00451FBB" w:rsidP="00C01D9F">
      <w:pPr>
        <w:pStyle w:val="Heading1"/>
      </w:pPr>
      <w:bookmarkStart w:id="32" w:name="_Toc510174036"/>
      <w:r>
        <w:lastRenderedPageBreak/>
        <w:t>CHAPTER 7</w:t>
      </w:r>
    </w:p>
    <w:p w14:paraId="56450C32" w14:textId="1BDF33A0" w:rsidR="004F3392" w:rsidRDefault="009B567B" w:rsidP="00C01D9F">
      <w:pPr>
        <w:pStyle w:val="Heading1"/>
      </w:pPr>
      <w:r>
        <w:t>CONCLUSION</w:t>
      </w:r>
      <w:r w:rsidR="007B686D">
        <w:t>S</w:t>
      </w:r>
      <w:bookmarkEnd w:id="32"/>
    </w:p>
    <w:p w14:paraId="348E8850" w14:textId="4381D4EC" w:rsidR="004F3392" w:rsidRDefault="004F3392" w:rsidP="00C01D9F">
      <w:pPr>
        <w:pStyle w:val="Heading2"/>
      </w:pPr>
    </w:p>
    <w:p w14:paraId="29B48E8B" w14:textId="5B2F0299" w:rsidR="004F3392" w:rsidRDefault="004F3392" w:rsidP="00C01D9F">
      <w:pPr>
        <w:pStyle w:val="Heading2"/>
      </w:pPr>
      <w:bookmarkStart w:id="33" w:name="_Toc510174037"/>
      <w:r>
        <w:t>7.1 Implications</w:t>
      </w:r>
      <w:bookmarkEnd w:id="33"/>
    </w:p>
    <w:p w14:paraId="0ECD2BC3" w14:textId="445FEC08" w:rsidR="004F3392" w:rsidRDefault="004F3392" w:rsidP="004F3392">
      <w:pPr>
        <w:pStyle w:val="Paragraph-text"/>
        <w:rPr>
          <w:rFonts w:ascii="Times" w:hAnsi="Times" w:cs="Arial"/>
        </w:rPr>
      </w:pPr>
      <w:r>
        <w:rPr>
          <w:rFonts w:ascii="Times" w:hAnsi="Times" w:cs="Arial"/>
        </w:rPr>
        <w:t>Because of the associated risks with increased bodyweight</w:t>
      </w:r>
      <w:r w:rsidR="00791356">
        <w:rPr>
          <w:rFonts w:ascii="Times" w:hAnsi="Times" w:cs="Arial"/>
        </w:rPr>
        <w:t xml:space="preserve">, </w:t>
      </w:r>
      <w:r>
        <w:rPr>
          <w:rFonts w:ascii="Times" w:hAnsi="Times" w:cs="Arial"/>
        </w:rPr>
        <w:t>such as cardiovascular disease, s</w:t>
      </w:r>
      <w:r w:rsidR="00E45353">
        <w:rPr>
          <w:rFonts w:ascii="Times" w:hAnsi="Times" w:cs="Arial"/>
        </w:rPr>
        <w:t>troke, type 2 diabetes mellitus</w:t>
      </w:r>
      <w:r w:rsidR="00791356">
        <w:rPr>
          <w:rFonts w:ascii="Times" w:hAnsi="Times" w:cs="Arial"/>
        </w:rPr>
        <w:t xml:space="preserve"> and other metabolic perturbations</w:t>
      </w:r>
      <w:r>
        <w:rPr>
          <w:rFonts w:ascii="Times" w:hAnsi="Times" w:cs="Arial"/>
        </w:rPr>
        <w:t>, our current level of understanding cannot support the recommendation of ov</w:t>
      </w:r>
      <w:r w:rsidR="00E45353">
        <w:rPr>
          <w:rFonts w:ascii="Times" w:hAnsi="Times" w:cs="Arial"/>
        </w:rPr>
        <w:t>erweight or</w:t>
      </w:r>
      <w:r>
        <w:rPr>
          <w:rFonts w:ascii="Times" w:hAnsi="Times" w:cs="Arial"/>
        </w:rPr>
        <w:t xml:space="preserve"> obesity for premenopausal breast cancer risk reduction. Though our study </w:t>
      </w:r>
      <w:r w:rsidR="00791356">
        <w:rPr>
          <w:rFonts w:ascii="Times" w:hAnsi="Times" w:cs="Arial"/>
        </w:rPr>
        <w:t>is the first to describe</w:t>
      </w:r>
      <w:r>
        <w:rPr>
          <w:rFonts w:ascii="Times" w:hAnsi="Times" w:cs="Arial"/>
        </w:rPr>
        <w:t xml:space="preserve"> a linear relationship between bodyweight as measured by BMI, </w:t>
      </w:r>
      <w:r w:rsidR="00E45353">
        <w:rPr>
          <w:rFonts w:ascii="Times" w:hAnsi="Times" w:cs="Arial"/>
        </w:rPr>
        <w:t xml:space="preserve">mammary tissue </w:t>
      </w:r>
      <w:r>
        <w:rPr>
          <w:rFonts w:ascii="Times" w:hAnsi="Times" w:cs="Arial"/>
        </w:rPr>
        <w:t xml:space="preserve">folate status and increased global methylation, investigations into other candidate markers and cellular processes are </w:t>
      </w:r>
      <w:r w:rsidR="00E45353">
        <w:rPr>
          <w:rFonts w:ascii="Times" w:hAnsi="Times" w:cs="Arial"/>
        </w:rPr>
        <w:t>first needed to</w:t>
      </w:r>
      <w:r>
        <w:rPr>
          <w:rFonts w:ascii="Times" w:hAnsi="Times" w:cs="Arial"/>
        </w:rPr>
        <w:t xml:space="preserve"> delineate this causal pathway. For example, aberrations in reactive oxidative species production, dysfunctional glucose or lipid metabolism, and immune cell function are common in the pro-inflammatory state of obesity.  Many critical components of normal one carbon metabolism and DNA epigenetic modification are inexorably conn</w:t>
      </w:r>
      <w:r w:rsidR="00FF73B9">
        <w:rPr>
          <w:rFonts w:ascii="Times" w:hAnsi="Times" w:cs="Arial"/>
        </w:rPr>
        <w:t>ected to normal cell functioning</w:t>
      </w:r>
      <w:r w:rsidR="00E45353">
        <w:rPr>
          <w:rFonts w:ascii="Times" w:hAnsi="Times" w:cs="Arial"/>
        </w:rPr>
        <w:t>,</w:t>
      </w:r>
      <w:r w:rsidR="00237646">
        <w:rPr>
          <w:rFonts w:ascii="Times" w:hAnsi="Times" w:cs="Arial"/>
        </w:rPr>
        <w:t xml:space="preserve"> </w:t>
      </w:r>
      <w:r>
        <w:rPr>
          <w:rFonts w:ascii="Times" w:hAnsi="Times" w:cs="Arial"/>
        </w:rPr>
        <w:t xml:space="preserve">and </w:t>
      </w:r>
      <w:r w:rsidR="00791356">
        <w:rPr>
          <w:rFonts w:ascii="Times" w:hAnsi="Times" w:cs="Arial"/>
        </w:rPr>
        <w:t xml:space="preserve">are </w:t>
      </w:r>
      <w:r w:rsidR="00FF73B9">
        <w:rPr>
          <w:rFonts w:ascii="Times" w:hAnsi="Times" w:cs="Arial"/>
        </w:rPr>
        <w:t>thus</w:t>
      </w:r>
      <w:r w:rsidR="0026057E">
        <w:rPr>
          <w:rFonts w:ascii="Times" w:hAnsi="Times" w:cs="Arial"/>
        </w:rPr>
        <w:t>,</w:t>
      </w:r>
      <w:r w:rsidR="00FF73B9">
        <w:rPr>
          <w:rFonts w:ascii="Times" w:hAnsi="Times" w:cs="Arial"/>
        </w:rPr>
        <w:t xml:space="preserve"> </w:t>
      </w:r>
      <w:r>
        <w:rPr>
          <w:rFonts w:ascii="Times" w:hAnsi="Times" w:cs="Arial"/>
        </w:rPr>
        <w:t>affected by the o</w:t>
      </w:r>
      <w:r w:rsidR="00791356">
        <w:rPr>
          <w:rFonts w:ascii="Times" w:hAnsi="Times" w:cs="Arial"/>
        </w:rPr>
        <w:t>verweight or obese state. As</w:t>
      </w:r>
      <w:r>
        <w:rPr>
          <w:rFonts w:ascii="Times" w:hAnsi="Times" w:cs="Arial"/>
        </w:rPr>
        <w:t xml:space="preserve"> such, several lines of inquiry remain open for investigation with regard to premenopausal breast cancer risk and its relationship to bodyweight and </w:t>
      </w:r>
      <w:r w:rsidR="0026057E">
        <w:rPr>
          <w:rFonts w:ascii="Times" w:hAnsi="Times" w:cs="Arial"/>
        </w:rPr>
        <w:t xml:space="preserve">tissue </w:t>
      </w:r>
      <w:r>
        <w:rPr>
          <w:rFonts w:ascii="Times" w:hAnsi="Times" w:cs="Arial"/>
        </w:rPr>
        <w:t>folate status.</w:t>
      </w:r>
      <w:r w:rsidR="00791356">
        <w:rPr>
          <w:rFonts w:ascii="Times" w:hAnsi="Times" w:cs="Arial"/>
        </w:rPr>
        <w:t xml:space="preserve"> </w:t>
      </w:r>
    </w:p>
    <w:p w14:paraId="66D237D3" w14:textId="77777777" w:rsidR="004F3392" w:rsidRPr="004F3392" w:rsidRDefault="004F3392" w:rsidP="004F3392"/>
    <w:p w14:paraId="005A64E6" w14:textId="42A54E2F" w:rsidR="00472B12" w:rsidRDefault="004F3392" w:rsidP="00C01D9F">
      <w:pPr>
        <w:pStyle w:val="Heading2"/>
      </w:pPr>
      <w:bookmarkStart w:id="34" w:name="_Toc510174038"/>
      <w:r>
        <w:t>7</w:t>
      </w:r>
      <w:r w:rsidR="00B92319">
        <w:t>.2</w:t>
      </w:r>
      <w:r w:rsidR="00F97D63">
        <w:t xml:space="preserve"> </w:t>
      </w:r>
      <w:r w:rsidR="00472B12">
        <w:t>Future Research Recommendations</w:t>
      </w:r>
      <w:bookmarkEnd w:id="34"/>
    </w:p>
    <w:p w14:paraId="3B5D5A64" w14:textId="25CE71E9" w:rsidR="00F97D63" w:rsidRDefault="00354F30" w:rsidP="00451FBB">
      <w:pPr>
        <w:pStyle w:val="Paragraph-text"/>
        <w:rPr>
          <w:rFonts w:ascii="Times" w:hAnsi="Times" w:cs="Arial"/>
        </w:rPr>
      </w:pPr>
      <w:r>
        <w:rPr>
          <w:rFonts w:ascii="Times" w:hAnsi="Times" w:cs="Arial"/>
        </w:rPr>
        <w:t>The body of p</w:t>
      </w:r>
      <w:r w:rsidR="00570999">
        <w:rPr>
          <w:rFonts w:ascii="Times" w:hAnsi="Times" w:cs="Arial"/>
        </w:rPr>
        <w:t xml:space="preserve">eer-reviewed literature </w:t>
      </w:r>
      <w:r w:rsidR="0026057E">
        <w:rPr>
          <w:rFonts w:ascii="Times" w:hAnsi="Times" w:cs="Arial"/>
        </w:rPr>
        <w:t xml:space="preserve">on this subject </w:t>
      </w:r>
      <w:r w:rsidR="00FF73B9">
        <w:rPr>
          <w:rFonts w:ascii="Times" w:hAnsi="Times" w:cs="Arial"/>
        </w:rPr>
        <w:t>is, at present, insufficient. Though a</w:t>
      </w:r>
      <w:r>
        <w:rPr>
          <w:rFonts w:ascii="Times" w:hAnsi="Times" w:cs="Arial"/>
        </w:rPr>
        <w:t xml:space="preserve"> fully powered, randomized control trial on the effects of</w:t>
      </w:r>
      <w:r w:rsidR="00FF73B9">
        <w:rPr>
          <w:rFonts w:ascii="Times" w:hAnsi="Times" w:cs="Arial"/>
        </w:rPr>
        <w:t xml:space="preserve"> these factors would provide adequate evidence to support new recommendations for premenopausal BC risk reduction</w:t>
      </w:r>
      <w:r w:rsidR="00570999">
        <w:rPr>
          <w:rFonts w:ascii="Times" w:hAnsi="Times" w:cs="Arial"/>
        </w:rPr>
        <w:t xml:space="preserve"> related to increased bodyweight</w:t>
      </w:r>
      <w:r w:rsidR="00FF73B9">
        <w:rPr>
          <w:rFonts w:ascii="Times" w:hAnsi="Times" w:cs="Arial"/>
        </w:rPr>
        <w:t xml:space="preserve">, </w:t>
      </w:r>
      <w:r>
        <w:rPr>
          <w:rFonts w:ascii="Times" w:hAnsi="Times" w:cs="Arial"/>
        </w:rPr>
        <w:t xml:space="preserve">further epidemiological studies </w:t>
      </w:r>
      <w:r w:rsidR="00FF73B9">
        <w:rPr>
          <w:rFonts w:ascii="Times" w:hAnsi="Times" w:cs="Arial"/>
        </w:rPr>
        <w:t xml:space="preserve">are first </w:t>
      </w:r>
      <w:r w:rsidR="00FF73B9">
        <w:rPr>
          <w:rFonts w:ascii="Times" w:hAnsi="Times" w:cs="Arial"/>
        </w:rPr>
        <w:lastRenderedPageBreak/>
        <w:t>warranted. As stated above, our study</w:t>
      </w:r>
      <w:r w:rsidR="00472B12">
        <w:rPr>
          <w:rFonts w:ascii="Times" w:hAnsi="Times" w:cs="Arial"/>
        </w:rPr>
        <w:t xml:space="preserve"> uses </w:t>
      </w:r>
      <w:r w:rsidR="00650315">
        <w:rPr>
          <w:rFonts w:ascii="Times" w:hAnsi="Times" w:cs="Arial"/>
        </w:rPr>
        <w:t xml:space="preserve">some of </w:t>
      </w:r>
      <w:r w:rsidR="00472B12">
        <w:rPr>
          <w:rFonts w:ascii="Times" w:hAnsi="Times" w:cs="Arial"/>
        </w:rPr>
        <w:t xml:space="preserve">the most widely accepted laboratory techniques in </w:t>
      </w:r>
      <w:r w:rsidR="00650315">
        <w:rPr>
          <w:rFonts w:ascii="Times" w:hAnsi="Times" w:cs="Arial"/>
        </w:rPr>
        <w:t>biomedical nutrition research</w:t>
      </w:r>
      <w:r w:rsidR="00F21FC0">
        <w:rPr>
          <w:rFonts w:ascii="Times" w:hAnsi="Times" w:cs="Arial"/>
        </w:rPr>
        <w:t xml:space="preserve">, </w:t>
      </w:r>
      <w:r w:rsidR="00FF73B9">
        <w:rPr>
          <w:rFonts w:ascii="Times" w:hAnsi="Times" w:cs="Arial"/>
        </w:rPr>
        <w:t xml:space="preserve">but </w:t>
      </w:r>
      <w:r w:rsidR="00F21FC0">
        <w:rPr>
          <w:rFonts w:ascii="Times" w:hAnsi="Times" w:cs="Arial"/>
        </w:rPr>
        <w:t>our</w:t>
      </w:r>
      <w:r w:rsidR="00650315">
        <w:rPr>
          <w:rFonts w:ascii="Times" w:hAnsi="Times" w:cs="Arial"/>
        </w:rPr>
        <w:t xml:space="preserve"> sample size is quite l</w:t>
      </w:r>
      <w:r w:rsidR="00F21FC0">
        <w:rPr>
          <w:rFonts w:ascii="Times" w:hAnsi="Times" w:cs="Arial"/>
        </w:rPr>
        <w:t xml:space="preserve">imited.  Conducting </w:t>
      </w:r>
      <w:r w:rsidR="00FF73B9">
        <w:rPr>
          <w:rFonts w:ascii="Times" w:hAnsi="Times" w:cs="Arial"/>
        </w:rPr>
        <w:t>a similar</w:t>
      </w:r>
      <w:r w:rsidR="00F21FC0">
        <w:rPr>
          <w:rFonts w:ascii="Times" w:hAnsi="Times" w:cs="Arial"/>
        </w:rPr>
        <w:t xml:space="preserve"> line of inquiry on a larger, more representative cohort would significantly improve generalizability. </w:t>
      </w:r>
      <w:r>
        <w:rPr>
          <w:rFonts w:ascii="Times" w:hAnsi="Times" w:cs="Arial"/>
        </w:rPr>
        <w:t>Equally important, t</w:t>
      </w:r>
      <w:r w:rsidR="00650315">
        <w:rPr>
          <w:rFonts w:ascii="Times" w:hAnsi="Times" w:cs="Arial"/>
        </w:rPr>
        <w:t xml:space="preserve">he inclusion of </w:t>
      </w:r>
      <w:r w:rsidR="00F21FC0">
        <w:rPr>
          <w:rFonts w:ascii="Times" w:hAnsi="Times" w:cs="Arial"/>
        </w:rPr>
        <w:t xml:space="preserve">data </w:t>
      </w:r>
      <w:r w:rsidR="0080406C">
        <w:rPr>
          <w:rFonts w:ascii="Times" w:hAnsi="Times" w:cs="Arial"/>
        </w:rPr>
        <w:t xml:space="preserve">on other factors such as </w:t>
      </w:r>
      <w:r w:rsidR="00F04D38">
        <w:rPr>
          <w:rFonts w:ascii="Times" w:hAnsi="Times" w:cs="Arial"/>
        </w:rPr>
        <w:t xml:space="preserve">personal </w:t>
      </w:r>
      <w:r w:rsidR="0080406C">
        <w:rPr>
          <w:rFonts w:ascii="Times" w:hAnsi="Times" w:cs="Arial"/>
        </w:rPr>
        <w:t>reason</w:t>
      </w:r>
      <w:r w:rsidR="00F21FC0">
        <w:rPr>
          <w:rFonts w:ascii="Times" w:hAnsi="Times" w:cs="Arial"/>
        </w:rPr>
        <w:t xml:space="preserve">ing </w:t>
      </w:r>
      <w:r w:rsidR="0080406C" w:rsidRPr="004F2B88">
        <w:rPr>
          <w:rFonts w:ascii="Times" w:hAnsi="Times" w:cs="Arial"/>
        </w:rPr>
        <w:t xml:space="preserve">for </w:t>
      </w:r>
      <w:r w:rsidR="00F21FC0">
        <w:rPr>
          <w:rFonts w:ascii="Times" w:hAnsi="Times" w:cs="Arial"/>
        </w:rPr>
        <w:t xml:space="preserve">the elective mammoplasty, </w:t>
      </w:r>
      <w:r w:rsidR="00650315">
        <w:rPr>
          <w:rFonts w:ascii="Times" w:hAnsi="Times" w:cs="Arial"/>
        </w:rPr>
        <w:t xml:space="preserve">would </w:t>
      </w:r>
      <w:r w:rsidR="00F21FC0">
        <w:rPr>
          <w:rFonts w:ascii="Times" w:hAnsi="Times" w:cs="Arial"/>
        </w:rPr>
        <w:t>improve statistical power by</w:t>
      </w:r>
      <w:r w:rsidR="00650315">
        <w:rPr>
          <w:rFonts w:ascii="Times" w:hAnsi="Times" w:cs="Arial"/>
        </w:rPr>
        <w:t xml:space="preserve"> reducing the</w:t>
      </w:r>
      <w:r w:rsidR="0080406C">
        <w:rPr>
          <w:rFonts w:ascii="Times" w:hAnsi="Times" w:cs="Arial"/>
        </w:rPr>
        <w:t xml:space="preserve"> </w:t>
      </w:r>
      <w:r w:rsidR="00F21FC0">
        <w:rPr>
          <w:rFonts w:ascii="Times" w:hAnsi="Times" w:cs="Arial"/>
        </w:rPr>
        <w:t>potential</w:t>
      </w:r>
      <w:r w:rsidR="0080406C">
        <w:rPr>
          <w:rFonts w:ascii="Times" w:hAnsi="Times" w:cs="Arial"/>
        </w:rPr>
        <w:t xml:space="preserve"> </w:t>
      </w:r>
      <w:r w:rsidR="00650315">
        <w:rPr>
          <w:rFonts w:ascii="Times" w:hAnsi="Times" w:cs="Arial"/>
        </w:rPr>
        <w:t xml:space="preserve">for </w:t>
      </w:r>
      <w:r w:rsidR="00F21FC0">
        <w:rPr>
          <w:rFonts w:ascii="Times" w:hAnsi="Times" w:cs="Arial"/>
        </w:rPr>
        <w:t xml:space="preserve">confounding. </w:t>
      </w:r>
      <w:r w:rsidR="00FF73B9">
        <w:rPr>
          <w:rFonts w:ascii="Times" w:hAnsi="Times" w:cs="Arial"/>
        </w:rPr>
        <w:t xml:space="preserve">The addition of </w:t>
      </w:r>
      <w:r w:rsidR="0026057E">
        <w:rPr>
          <w:rFonts w:ascii="Times" w:hAnsi="Times" w:cs="Arial"/>
        </w:rPr>
        <w:t xml:space="preserve">the </w:t>
      </w:r>
      <w:r w:rsidR="008112B4">
        <w:rPr>
          <w:rFonts w:ascii="Times" w:hAnsi="Times" w:cs="Arial"/>
        </w:rPr>
        <w:t xml:space="preserve">descriptive data </w:t>
      </w:r>
      <w:r w:rsidR="00FF73B9">
        <w:rPr>
          <w:rFonts w:ascii="Times" w:hAnsi="Times" w:cs="Arial"/>
        </w:rPr>
        <w:t>that is included in larger cohort studies, such as information on</w:t>
      </w:r>
      <w:r w:rsidR="008112B4">
        <w:rPr>
          <w:rFonts w:ascii="Times" w:hAnsi="Times" w:cs="Arial"/>
        </w:rPr>
        <w:t xml:space="preserve"> lifestyle factors </w:t>
      </w:r>
      <w:r w:rsidR="00FF73B9">
        <w:rPr>
          <w:rFonts w:ascii="Times" w:hAnsi="Times" w:cs="Arial"/>
        </w:rPr>
        <w:t>(</w:t>
      </w:r>
      <w:r w:rsidR="008112B4">
        <w:rPr>
          <w:rFonts w:ascii="Times" w:hAnsi="Times" w:cs="Arial"/>
        </w:rPr>
        <w:t>physical activity levels</w:t>
      </w:r>
      <w:r w:rsidR="00FF73B9">
        <w:rPr>
          <w:rFonts w:ascii="Times" w:hAnsi="Times" w:cs="Arial"/>
        </w:rPr>
        <w:t>, dietary patterns, socioeconomic status)</w:t>
      </w:r>
      <w:r w:rsidR="008112B4">
        <w:rPr>
          <w:rFonts w:ascii="Times" w:hAnsi="Times" w:cs="Arial"/>
        </w:rPr>
        <w:t xml:space="preserve"> </w:t>
      </w:r>
      <w:r w:rsidR="00F04D38">
        <w:rPr>
          <w:rFonts w:ascii="Times" w:hAnsi="Times" w:cs="Arial"/>
        </w:rPr>
        <w:t xml:space="preserve">as well as </w:t>
      </w:r>
      <w:r w:rsidR="00FF73B9">
        <w:rPr>
          <w:rFonts w:ascii="Times" w:hAnsi="Times" w:cs="Arial"/>
        </w:rPr>
        <w:t xml:space="preserve">more </w:t>
      </w:r>
      <w:r w:rsidR="007E031C">
        <w:rPr>
          <w:rFonts w:ascii="Times" w:hAnsi="Times" w:cs="Arial"/>
        </w:rPr>
        <w:t xml:space="preserve">detailed analyses of body fat disposition </w:t>
      </w:r>
      <w:r w:rsidR="008112B4">
        <w:rPr>
          <w:rFonts w:ascii="Times" w:hAnsi="Times" w:cs="Arial"/>
        </w:rPr>
        <w:t>would</w:t>
      </w:r>
      <w:r>
        <w:rPr>
          <w:rFonts w:ascii="Times" w:hAnsi="Times" w:cs="Arial"/>
        </w:rPr>
        <w:t xml:space="preserve"> shed</w:t>
      </w:r>
      <w:r w:rsidR="008112B4">
        <w:rPr>
          <w:rFonts w:ascii="Times" w:hAnsi="Times" w:cs="Arial"/>
        </w:rPr>
        <w:t xml:space="preserve"> </w:t>
      </w:r>
      <w:r w:rsidR="00FF73B9">
        <w:rPr>
          <w:rFonts w:ascii="Times" w:hAnsi="Times" w:cs="Arial"/>
        </w:rPr>
        <w:t>additional</w:t>
      </w:r>
      <w:r w:rsidR="0026057E">
        <w:rPr>
          <w:rFonts w:ascii="Times" w:hAnsi="Times" w:cs="Arial"/>
        </w:rPr>
        <w:t xml:space="preserve"> light onto this</w:t>
      </w:r>
      <w:r w:rsidR="00EC4252">
        <w:rPr>
          <w:rFonts w:ascii="Times" w:hAnsi="Times" w:cs="Arial"/>
        </w:rPr>
        <w:t xml:space="preserve"> relationship.</w:t>
      </w:r>
      <w:r w:rsidR="00FF73B9">
        <w:rPr>
          <w:rFonts w:ascii="Times" w:hAnsi="Times" w:cs="Arial"/>
        </w:rPr>
        <w:t xml:space="preserve"> Controlling for </w:t>
      </w:r>
      <w:r>
        <w:rPr>
          <w:rFonts w:ascii="Times" w:hAnsi="Times" w:cs="Arial"/>
        </w:rPr>
        <w:t xml:space="preserve">several other </w:t>
      </w:r>
      <w:r w:rsidR="00FF73B9">
        <w:rPr>
          <w:rFonts w:ascii="Times" w:hAnsi="Times" w:cs="Arial"/>
        </w:rPr>
        <w:t>variables</w:t>
      </w:r>
      <w:r>
        <w:rPr>
          <w:rFonts w:ascii="Times" w:hAnsi="Times" w:cs="Arial"/>
        </w:rPr>
        <w:t xml:space="preserve"> would be necessary to provide </w:t>
      </w:r>
      <w:r w:rsidR="00FF73B9">
        <w:rPr>
          <w:rFonts w:ascii="Times" w:hAnsi="Times" w:cs="Arial"/>
        </w:rPr>
        <w:t xml:space="preserve">the basis for a clinical trial, and in turn, </w:t>
      </w:r>
      <w:r w:rsidR="0026057E">
        <w:rPr>
          <w:rFonts w:ascii="Times" w:hAnsi="Times" w:cs="Arial"/>
        </w:rPr>
        <w:t xml:space="preserve">adequate evidence to support </w:t>
      </w:r>
      <w:r>
        <w:rPr>
          <w:rFonts w:ascii="Times" w:hAnsi="Times" w:cs="Arial"/>
        </w:rPr>
        <w:t>tailored recommendations</w:t>
      </w:r>
      <w:r w:rsidR="00056985">
        <w:rPr>
          <w:rFonts w:ascii="Times" w:hAnsi="Times" w:cs="Arial"/>
        </w:rPr>
        <w:t xml:space="preserve"> with regard to bodyweight status</w:t>
      </w:r>
      <w:r>
        <w:rPr>
          <w:rFonts w:ascii="Times" w:hAnsi="Times" w:cs="Arial"/>
        </w:rPr>
        <w:t>.</w:t>
      </w:r>
    </w:p>
    <w:p w14:paraId="7BF4B708" w14:textId="77777777" w:rsidR="00451FBB" w:rsidRDefault="00451FBB" w:rsidP="00451FBB">
      <w:pPr>
        <w:pStyle w:val="Paragraph-text"/>
        <w:rPr>
          <w:rFonts w:ascii="Times" w:hAnsi="Times" w:cs="Arial"/>
        </w:rPr>
      </w:pPr>
    </w:p>
    <w:p w14:paraId="11FFE2B4" w14:textId="3540C757" w:rsidR="003F7F05" w:rsidRDefault="00451FBB" w:rsidP="00C01D9F">
      <w:pPr>
        <w:pStyle w:val="Heading2"/>
      </w:pPr>
      <w:bookmarkStart w:id="35" w:name="_Toc510174039"/>
      <w:r>
        <w:t>7.3</w:t>
      </w:r>
      <w:r w:rsidR="00F97D63">
        <w:t xml:space="preserve"> </w:t>
      </w:r>
      <w:r w:rsidR="003F7F05">
        <w:t>Conclusion</w:t>
      </w:r>
      <w:bookmarkEnd w:id="35"/>
      <w:r>
        <w:t>s</w:t>
      </w:r>
    </w:p>
    <w:p w14:paraId="3C511404" w14:textId="35523E22" w:rsidR="00650315" w:rsidRDefault="00650315" w:rsidP="00650315">
      <w:pPr>
        <w:pStyle w:val="Paragraph-text"/>
        <w:rPr>
          <w:rFonts w:ascii="Times" w:hAnsi="Times" w:cs="Arial"/>
        </w:rPr>
      </w:pPr>
      <w:r>
        <w:rPr>
          <w:rFonts w:ascii="Times" w:hAnsi="Times" w:cs="Arial"/>
        </w:rPr>
        <w:t>In conclusion, this</w:t>
      </w:r>
      <w:r w:rsidRPr="004F2B88">
        <w:rPr>
          <w:rFonts w:ascii="Times" w:hAnsi="Times" w:cs="Arial"/>
        </w:rPr>
        <w:t xml:space="preserve"> study demonstrated that, in the normal mammary tissue from premenopausal women, obesity is associated with increased folate status, genome-wide DNA methylation and </w:t>
      </w:r>
      <w:r w:rsidRPr="00223F24">
        <w:rPr>
          <w:rFonts w:ascii="Times" w:hAnsi="Times" w:cs="Arial"/>
        </w:rPr>
        <w:t xml:space="preserve">SFRP1 </w:t>
      </w:r>
      <w:r w:rsidRPr="004F2B88">
        <w:rPr>
          <w:rFonts w:ascii="Times" w:hAnsi="Times" w:cs="Arial"/>
        </w:rPr>
        <w:t>gene expression.</w:t>
      </w:r>
      <w:r>
        <w:rPr>
          <w:rFonts w:ascii="Times" w:hAnsi="Times" w:cs="Arial"/>
        </w:rPr>
        <w:t xml:space="preserve"> These findings support our initial hypothesis and provide evidence toward weight-related folate metabolism and epigenetic changes as one of the driving factors</w:t>
      </w:r>
      <w:r w:rsidRPr="004F2B88">
        <w:rPr>
          <w:rFonts w:ascii="Times" w:hAnsi="Times" w:cs="Arial"/>
        </w:rPr>
        <w:t xml:space="preserve"> behind the protective effect of obesity on </w:t>
      </w:r>
      <w:r>
        <w:rPr>
          <w:rFonts w:ascii="Times" w:hAnsi="Times" w:cs="Arial"/>
        </w:rPr>
        <w:t>premenopausal breast cancer. Whether there are optimal circumstances or periods for potential dietary or lifestyle interventions to promote the protective effects of overweight and obesity</w:t>
      </w:r>
      <w:r w:rsidR="0026057E">
        <w:rPr>
          <w:rFonts w:ascii="Times" w:hAnsi="Times" w:cs="Arial"/>
        </w:rPr>
        <w:t xml:space="preserve"> on premenopausal breast cancer</w:t>
      </w:r>
      <w:r>
        <w:rPr>
          <w:rFonts w:ascii="Times" w:hAnsi="Times" w:cs="Arial"/>
        </w:rPr>
        <w:t xml:space="preserve"> remain to be illuminated.</w:t>
      </w:r>
    </w:p>
    <w:p w14:paraId="4BF79ED5" w14:textId="433E144D" w:rsidR="000C7DFA" w:rsidRDefault="000C7DFA">
      <w:pPr>
        <w:suppressAutoHyphens w:val="0"/>
        <w:rPr>
          <w:rFonts w:ascii="Times" w:hAnsi="Times" w:cs="Arial"/>
        </w:rPr>
      </w:pPr>
    </w:p>
    <w:p w14:paraId="65E8509C" w14:textId="77777777" w:rsidR="0091614B" w:rsidRDefault="0091614B"/>
    <w:p w14:paraId="1FDBE27D" w14:textId="1084E8C2" w:rsidR="00A76F77" w:rsidRDefault="00A76F77" w:rsidP="00C01D9F">
      <w:pPr>
        <w:pStyle w:val="Heading1"/>
      </w:pPr>
      <w:bookmarkStart w:id="36" w:name="_Toc68167008"/>
      <w:bookmarkStart w:id="37" w:name="_Toc510174040"/>
      <w:bookmarkStart w:id="38" w:name="_GoBack"/>
      <w:bookmarkEnd w:id="38"/>
      <w:r>
        <w:lastRenderedPageBreak/>
        <w:t>BIBLIOGRAPHY</w:t>
      </w:r>
      <w:bookmarkEnd w:id="36"/>
      <w:bookmarkEnd w:id="37"/>
    </w:p>
    <w:p w14:paraId="55E20D80" w14:textId="77777777" w:rsidR="0091614B" w:rsidRPr="0091614B" w:rsidRDefault="0091614B" w:rsidP="0091614B"/>
    <w:p w14:paraId="43B9C989" w14:textId="25E58B2B" w:rsidR="000A7200" w:rsidRDefault="000A7200" w:rsidP="000A7200">
      <w:pPr>
        <w:pStyle w:val="BibliographyIdontwantinthetableofcontents"/>
      </w:pPr>
      <w:bookmarkStart w:id="39" w:name="_Toc507509095"/>
      <w:proofErr w:type="spellStart"/>
      <w:r w:rsidRPr="004F2B88">
        <w:t>Adami</w:t>
      </w:r>
      <w:proofErr w:type="spellEnd"/>
      <w:r w:rsidRPr="004F2B88">
        <w:t xml:space="preserve">, H. O., </w:t>
      </w:r>
      <w:proofErr w:type="spellStart"/>
      <w:r w:rsidRPr="004F2B88">
        <w:t>Malker</w:t>
      </w:r>
      <w:proofErr w:type="spellEnd"/>
      <w:r w:rsidRPr="004F2B88">
        <w:t>, B., Holmberg, L., Persson, I., &amp; Stone, B. (1986). The relation between survival and age at diagnosis in breast cancer.</w:t>
      </w:r>
      <w:r w:rsidRPr="004F2B88">
        <w:rPr>
          <w:i/>
        </w:rPr>
        <w:t xml:space="preserve"> The New England Journal of Medicine, 315</w:t>
      </w:r>
      <w:r w:rsidRPr="004F2B88">
        <w:t xml:space="preserve">(9), 559-563. </w:t>
      </w:r>
      <w:r w:rsidR="00550545">
        <w:t>http://www.doi.org/</w:t>
      </w:r>
      <w:r w:rsidRPr="004F2B88">
        <w:t>10.1056/NEJM198608283150906</w:t>
      </w:r>
      <w:bookmarkEnd w:id="39"/>
    </w:p>
    <w:p w14:paraId="3E1FA8F2" w14:textId="77777777" w:rsidR="004A1956" w:rsidRPr="004F2B88" w:rsidRDefault="004A1956" w:rsidP="000A7200">
      <w:pPr>
        <w:pStyle w:val="BibliographyIdontwantinthetableofcontents"/>
      </w:pPr>
    </w:p>
    <w:p w14:paraId="49756868" w14:textId="3A6F95CF" w:rsidR="000A7200" w:rsidRDefault="000A7200" w:rsidP="000A7200">
      <w:pPr>
        <w:pStyle w:val="BibliographyIdontwantinthetableofcontents"/>
      </w:pPr>
      <w:bookmarkStart w:id="40" w:name="_Toc507509096"/>
      <w:proofErr w:type="spellStart"/>
      <w:r w:rsidRPr="004F2B88">
        <w:t>Akhavan-Niaki</w:t>
      </w:r>
      <w:proofErr w:type="spellEnd"/>
      <w:r w:rsidRPr="004F2B88">
        <w:t xml:space="preserve">, H., &amp; </w:t>
      </w:r>
      <w:proofErr w:type="spellStart"/>
      <w:r w:rsidRPr="004F2B88">
        <w:t>Samadani</w:t>
      </w:r>
      <w:proofErr w:type="spellEnd"/>
      <w:r w:rsidRPr="004F2B88">
        <w:t>, A. A. (2013). DNA methylation and cancer development: Molecular mechanism.</w:t>
      </w:r>
      <w:r w:rsidRPr="004F2B88">
        <w:rPr>
          <w:i/>
        </w:rPr>
        <w:t xml:space="preserve"> Cell Biochemistry and Biophysics, 67</w:t>
      </w:r>
      <w:r w:rsidRPr="004F2B88">
        <w:t xml:space="preserve">(2), 501-513. </w:t>
      </w:r>
      <w:r w:rsidR="00550545">
        <w:t>http://www.doi.org/</w:t>
      </w:r>
      <w:r w:rsidRPr="004F2B88">
        <w:t>10.1007/s12013-013-9555-2</w:t>
      </w:r>
      <w:bookmarkEnd w:id="40"/>
    </w:p>
    <w:p w14:paraId="00AE0C81" w14:textId="77777777" w:rsidR="004A1956" w:rsidRPr="004F2B88" w:rsidRDefault="004A1956" w:rsidP="000A7200">
      <w:pPr>
        <w:pStyle w:val="BibliographyIdontwantinthetableofcontents"/>
      </w:pPr>
    </w:p>
    <w:p w14:paraId="38333D3E" w14:textId="6AAF9190" w:rsidR="000A7200" w:rsidRDefault="000A7200" w:rsidP="000A7200">
      <w:pPr>
        <w:pStyle w:val="BibliographyIdontwantinthetableofcontents"/>
      </w:pPr>
      <w:bookmarkStart w:id="41" w:name="_Toc507509097"/>
      <w:r w:rsidRPr="004F2B88">
        <w:t>Anders, C. K., Johnson, R., Litton, J., Phillips, M., &amp; Bleyer, A. (2009). Breast cancer before age 40 years.</w:t>
      </w:r>
      <w:r w:rsidRPr="004F2B88">
        <w:rPr>
          <w:i/>
        </w:rPr>
        <w:t xml:space="preserve"> Seminars in Oncology, 36</w:t>
      </w:r>
      <w:r w:rsidRPr="004F2B88">
        <w:t xml:space="preserve">(3), 237-249. </w:t>
      </w:r>
      <w:r w:rsidR="00550545">
        <w:t>http://www.doi.org/</w:t>
      </w:r>
      <w:r w:rsidRPr="004F2B88">
        <w:t>10.1053/j.seminoncol.2009.03.001</w:t>
      </w:r>
      <w:bookmarkEnd w:id="41"/>
    </w:p>
    <w:p w14:paraId="7C07DEEB" w14:textId="77777777" w:rsidR="004A1956" w:rsidRPr="004F2B88" w:rsidRDefault="004A1956" w:rsidP="000A7200">
      <w:pPr>
        <w:pStyle w:val="BibliographyIdontwantinthetableofcontents"/>
      </w:pPr>
    </w:p>
    <w:p w14:paraId="20C136BD" w14:textId="24F96B64" w:rsidR="000A7200" w:rsidRDefault="000A7200" w:rsidP="000A7200">
      <w:pPr>
        <w:pStyle w:val="BibliographyIdontwantinthetableofcontents"/>
      </w:pPr>
      <w:bookmarkStart w:id="42" w:name="_Toc507509098"/>
      <w:r w:rsidRPr="004F2B88">
        <w:t xml:space="preserve">Bailey, R. L., </w:t>
      </w:r>
      <w:proofErr w:type="spellStart"/>
      <w:r w:rsidRPr="004F2B88">
        <w:t>Fulgoni</w:t>
      </w:r>
      <w:proofErr w:type="spellEnd"/>
      <w:r w:rsidRPr="004F2B88">
        <w:t xml:space="preserve">, V. L., Taylor, C. L., Pfeiffer, C. M., </w:t>
      </w:r>
      <w:proofErr w:type="spellStart"/>
      <w:r w:rsidRPr="004F2B88">
        <w:t>Thuppal</w:t>
      </w:r>
      <w:proofErr w:type="spellEnd"/>
      <w:r w:rsidRPr="004F2B88">
        <w:t xml:space="preserve">, S. V., McCabe, G. P., &amp; </w:t>
      </w:r>
      <w:proofErr w:type="spellStart"/>
      <w:r w:rsidRPr="004F2B88">
        <w:t>Yetley</w:t>
      </w:r>
      <w:proofErr w:type="spellEnd"/>
      <w:r w:rsidRPr="004F2B88">
        <w:t>, E. A. (2017). Correspondence of folate dietary intake and biomarker data.</w:t>
      </w:r>
      <w:r w:rsidRPr="004F2B88">
        <w:rPr>
          <w:i/>
        </w:rPr>
        <w:t xml:space="preserve"> The American Journal of Clinical Nutrition, 105</w:t>
      </w:r>
      <w:r w:rsidRPr="004F2B88">
        <w:t xml:space="preserve">(6), 1336-1343. </w:t>
      </w:r>
      <w:r w:rsidR="00550545">
        <w:t>http://www.doi.org/</w:t>
      </w:r>
      <w:r w:rsidRPr="004F2B88">
        <w:t>10.3945/ajcn.116.148775</w:t>
      </w:r>
      <w:bookmarkEnd w:id="42"/>
    </w:p>
    <w:p w14:paraId="52CEB41F" w14:textId="77777777" w:rsidR="004A1956" w:rsidRDefault="004A1956" w:rsidP="000A7200">
      <w:pPr>
        <w:pStyle w:val="BibliographyIdontwantinthetableofcontents"/>
      </w:pPr>
    </w:p>
    <w:p w14:paraId="2F5DA184" w14:textId="62178876" w:rsidR="000A7200" w:rsidRDefault="000A7200" w:rsidP="000A7200">
      <w:pPr>
        <w:pStyle w:val="BibliographyIdontwantinthetableofcontents"/>
      </w:pPr>
      <w:r w:rsidRPr="00F6693B">
        <w:t xml:space="preserve">Bassett, J. K., </w:t>
      </w:r>
      <w:proofErr w:type="spellStart"/>
      <w:r w:rsidRPr="00F6693B">
        <w:t>Baglietto</w:t>
      </w:r>
      <w:proofErr w:type="spellEnd"/>
      <w:r w:rsidRPr="00F6693B">
        <w:t xml:space="preserve">, L., Hodge, A. M., </w:t>
      </w:r>
      <w:proofErr w:type="spellStart"/>
      <w:r w:rsidRPr="00F6693B">
        <w:t>Severi</w:t>
      </w:r>
      <w:proofErr w:type="spellEnd"/>
      <w:r w:rsidRPr="00F6693B">
        <w:t xml:space="preserve">, G., Hopper, J. L., English, D. R., &amp; Giles, G. G. (2013). Dietary intake of B vitamins and methionine and breast cancer risk. </w:t>
      </w:r>
      <w:r w:rsidRPr="00F6693B">
        <w:rPr>
          <w:i/>
        </w:rPr>
        <w:t>Cancer Causes &amp; Control: CCC</w:t>
      </w:r>
      <w:r w:rsidRPr="00F6693B">
        <w:t>, 24(8), 1555-1563. 10.1007/s10552-013-0232-y</w:t>
      </w:r>
    </w:p>
    <w:p w14:paraId="3BDAF235" w14:textId="77777777" w:rsidR="004A1956" w:rsidRPr="004F2B88" w:rsidRDefault="004A1956" w:rsidP="000A7200">
      <w:pPr>
        <w:pStyle w:val="BibliographyIdontwantinthetableofcontents"/>
      </w:pPr>
    </w:p>
    <w:p w14:paraId="360A08EA" w14:textId="15BF9032" w:rsidR="000A7200" w:rsidRDefault="000A7200" w:rsidP="000A7200">
      <w:pPr>
        <w:pStyle w:val="BibliographyIdontwantinthetableofcontents"/>
      </w:pPr>
      <w:bookmarkStart w:id="43" w:name="_Toc507509100"/>
      <w:r w:rsidRPr="004F2B88">
        <w:t>Beck, C. R., Garcia-Perez, J. L., Badge, R. M., &amp; Moran, J. V. (2011). LINE-1 elements in structural variation and disease.</w:t>
      </w:r>
      <w:r w:rsidRPr="004F2B88">
        <w:rPr>
          <w:i/>
        </w:rPr>
        <w:t xml:space="preserve"> Annual Review of Genomics and Human Genetics, 12</w:t>
      </w:r>
      <w:r w:rsidRPr="004F2B88">
        <w:t xml:space="preserve">, 187-215. </w:t>
      </w:r>
      <w:r w:rsidR="00550545">
        <w:t>http://www.doi.org/</w:t>
      </w:r>
      <w:r w:rsidRPr="004F2B88">
        <w:t>10.1146/annurev-genom-082509-141802</w:t>
      </w:r>
      <w:bookmarkEnd w:id="43"/>
    </w:p>
    <w:p w14:paraId="35FC71CD" w14:textId="77777777" w:rsidR="004A1956" w:rsidRPr="004F2B88" w:rsidRDefault="004A1956" w:rsidP="000A7200">
      <w:pPr>
        <w:pStyle w:val="BibliographyIdontwantinthetableofcontents"/>
      </w:pPr>
    </w:p>
    <w:p w14:paraId="3A04C92F" w14:textId="60BB8AC9" w:rsidR="000A7200" w:rsidRDefault="000A7200" w:rsidP="000A7200">
      <w:pPr>
        <w:pStyle w:val="BibliographyIdontwantinthetableofcontents"/>
      </w:pPr>
      <w:r w:rsidRPr="004F2B88">
        <w:t xml:space="preserve">Beilby, J., Ingram, D., </w:t>
      </w:r>
      <w:proofErr w:type="spellStart"/>
      <w:r w:rsidRPr="004F2B88">
        <w:t>Hähnel</w:t>
      </w:r>
      <w:proofErr w:type="spellEnd"/>
      <w:r w:rsidRPr="004F2B88">
        <w:t xml:space="preserve">, R., &amp; Rossi, E. (2004a). Reduced breast cancer risk with increasing serum folate in a case-control study of the C677T genotype of the methylenetetrahydrofolate reductase gene. </w:t>
      </w:r>
      <w:r w:rsidRPr="004F2B88">
        <w:rPr>
          <w:i/>
        </w:rPr>
        <w:t>European Journal of Cancer (Oxford, England: 1990),</w:t>
      </w:r>
      <w:r w:rsidRPr="004F2B88">
        <w:t xml:space="preserve"> 40(8), 1250-1254. </w:t>
      </w:r>
      <w:r w:rsidR="00550545">
        <w:t>http://www.doi.org/</w:t>
      </w:r>
      <w:r w:rsidRPr="004F2B88">
        <w:t>10.1016/j.ejca.2004.01.026</w:t>
      </w:r>
    </w:p>
    <w:p w14:paraId="4F6F9D03" w14:textId="77777777" w:rsidR="004A1956" w:rsidRPr="004F2B88" w:rsidRDefault="004A1956" w:rsidP="000A7200">
      <w:pPr>
        <w:pStyle w:val="BibliographyIdontwantinthetableofcontents"/>
      </w:pPr>
    </w:p>
    <w:p w14:paraId="64A6D12F" w14:textId="07E760B9" w:rsidR="000A7200" w:rsidRDefault="000A7200" w:rsidP="000A7200">
      <w:pPr>
        <w:pStyle w:val="BibliographyIdontwantinthetableofcontents"/>
      </w:pPr>
      <w:r w:rsidRPr="004F2B88">
        <w:t>Bell, C. G. (2017). The Epigenomic Analysis of Human Obesity</w:t>
      </w:r>
      <w:r w:rsidRPr="00B13EB3">
        <w:rPr>
          <w:i/>
        </w:rPr>
        <w:t>. Obesity</w:t>
      </w:r>
      <w:r w:rsidRPr="004F2B88">
        <w:t xml:space="preserve"> (Silver Spring, Md.), 25(9), 1471–1481.</w:t>
      </w:r>
    </w:p>
    <w:p w14:paraId="52764A82" w14:textId="77777777" w:rsidR="004A1956" w:rsidRPr="004F2B88" w:rsidRDefault="004A1956" w:rsidP="000A7200">
      <w:pPr>
        <w:pStyle w:val="BibliographyIdontwantinthetableofcontents"/>
      </w:pPr>
    </w:p>
    <w:p w14:paraId="6EB3F25B" w14:textId="392E366C" w:rsidR="000A7200" w:rsidRDefault="000A7200" w:rsidP="000A7200">
      <w:pPr>
        <w:pStyle w:val="BibliographyIdontwantinthetableofcontents"/>
      </w:pPr>
      <w:bookmarkStart w:id="44" w:name="_Toc507509101"/>
      <w:r w:rsidRPr="004F2B88">
        <w:t>Bird, J. K., Ronnenberg, A. G., Choi, S. W., Du, F., Mason, J. B., &amp; Liu, Z. (2015). Obesity is associated with increased red blood cell folate despite lower dietary intakes and serum concentrations.</w:t>
      </w:r>
      <w:r w:rsidRPr="004F2B88">
        <w:rPr>
          <w:i/>
        </w:rPr>
        <w:t xml:space="preserve"> The Journal of Nutrition; Obesity is Associated with Increased Red Blood Cell Folate Despite Lower Dietary Intakes and Serum Concentrations., 145</w:t>
      </w:r>
      <w:r w:rsidRPr="004F2B88">
        <w:t xml:space="preserve">(1), 79-86. </w:t>
      </w:r>
      <w:r w:rsidR="00550545">
        <w:t>http://www.doi.org/</w:t>
      </w:r>
      <w:r w:rsidRPr="004F2B88">
        <w:t>10.3945/jn.114.199117</w:t>
      </w:r>
      <w:bookmarkEnd w:id="44"/>
    </w:p>
    <w:p w14:paraId="0EEAF673" w14:textId="77777777" w:rsidR="004A1956" w:rsidRPr="004F2B88" w:rsidRDefault="004A1956" w:rsidP="000A7200">
      <w:pPr>
        <w:pStyle w:val="BibliographyIdontwantinthetableofcontents"/>
      </w:pPr>
    </w:p>
    <w:p w14:paraId="086577AF" w14:textId="0F522A03" w:rsidR="000A7200" w:rsidRDefault="000A7200" w:rsidP="000A7200">
      <w:pPr>
        <w:pStyle w:val="BibliographyIdontwantinthetableofcontents"/>
      </w:pPr>
      <w:bookmarkStart w:id="45" w:name="_Toc507509102"/>
      <w:r w:rsidRPr="004F2B88">
        <w:t>Bleyer, A., Barr, R., Hayes-</w:t>
      </w:r>
      <w:proofErr w:type="spellStart"/>
      <w:r w:rsidRPr="004F2B88">
        <w:t>Lattin</w:t>
      </w:r>
      <w:proofErr w:type="spellEnd"/>
      <w:r w:rsidRPr="004F2B88">
        <w:t>, B., Thomas, D., Ellis, C., &amp; Anderson, B. (2008). The distinctive biology of cancer in adolescents and young adults.</w:t>
      </w:r>
      <w:r w:rsidRPr="004F2B88">
        <w:rPr>
          <w:i/>
        </w:rPr>
        <w:t xml:space="preserve"> Nature Reviews. Cancer, 8</w:t>
      </w:r>
      <w:r w:rsidRPr="004F2B88">
        <w:t xml:space="preserve">(4), 288-298. </w:t>
      </w:r>
      <w:r w:rsidR="00550545">
        <w:t>http://www.doi.org/</w:t>
      </w:r>
      <w:r w:rsidRPr="004F2B88">
        <w:t>10.1038/nrc2349</w:t>
      </w:r>
      <w:bookmarkEnd w:id="45"/>
    </w:p>
    <w:p w14:paraId="313FF0DB" w14:textId="77777777" w:rsidR="004A1956" w:rsidRDefault="004A1956" w:rsidP="000A7200">
      <w:pPr>
        <w:pStyle w:val="BibliographyIdontwantinthetableofcontents"/>
      </w:pPr>
    </w:p>
    <w:p w14:paraId="37AD3A55" w14:textId="28AC6E68" w:rsidR="000A7200" w:rsidRDefault="000A7200" w:rsidP="000A7200">
      <w:pPr>
        <w:pStyle w:val="BibliographyIdontwantinthetableofcontents"/>
      </w:pPr>
      <w:r w:rsidRPr="00824FBA">
        <w:t xml:space="preserve">BMI Classification. (2018, March 20). Retrieved March 20, 2018, from </w:t>
      </w:r>
      <w:r w:rsidR="004A1956" w:rsidRPr="00451FBB">
        <w:t>http://apps.who.int/bmi/index.jsp?introPage=intro_3.html</w:t>
      </w:r>
    </w:p>
    <w:p w14:paraId="2A0F862E" w14:textId="77777777" w:rsidR="004A1956" w:rsidRPr="004F2B88" w:rsidRDefault="004A1956" w:rsidP="000A7200">
      <w:pPr>
        <w:pStyle w:val="BibliographyIdontwantinthetableofcontents"/>
      </w:pPr>
    </w:p>
    <w:p w14:paraId="0BA3ACD8" w14:textId="68D8D6EF" w:rsidR="000A7200" w:rsidRDefault="000A7200" w:rsidP="000A7200">
      <w:pPr>
        <w:pStyle w:val="BibliographyIdontwantinthetableofcontents"/>
      </w:pPr>
      <w:bookmarkStart w:id="46" w:name="_Toc507509103"/>
      <w:r w:rsidRPr="004F2B88">
        <w:t xml:space="preserve">Boyd, N. F., Guo, H., Martin, L. J., Sun, L., Stone, J., </w:t>
      </w:r>
      <w:proofErr w:type="spellStart"/>
      <w:r w:rsidRPr="004F2B88">
        <w:t>Fishell</w:t>
      </w:r>
      <w:proofErr w:type="spellEnd"/>
      <w:r w:rsidRPr="004F2B88">
        <w:t xml:space="preserve">, E., . . . </w:t>
      </w:r>
      <w:proofErr w:type="spellStart"/>
      <w:r w:rsidRPr="004F2B88">
        <w:t>Yaffe</w:t>
      </w:r>
      <w:proofErr w:type="spellEnd"/>
      <w:r w:rsidRPr="004F2B88">
        <w:t>, M. J. (2007). Mammographic density and the risk and detection of breast cancer.</w:t>
      </w:r>
      <w:r w:rsidRPr="004F2B88">
        <w:rPr>
          <w:i/>
        </w:rPr>
        <w:t xml:space="preserve"> The New England Journal of Medicine, 356</w:t>
      </w:r>
      <w:r w:rsidRPr="004F2B88">
        <w:t xml:space="preserve">(3), 227-236. </w:t>
      </w:r>
      <w:r w:rsidR="00550545">
        <w:t>http://www.doi.org/</w:t>
      </w:r>
      <w:r w:rsidRPr="004F2B88">
        <w:t>10.1056/NEJMoa062790</w:t>
      </w:r>
      <w:bookmarkEnd w:id="46"/>
    </w:p>
    <w:p w14:paraId="25987125" w14:textId="77777777" w:rsidR="004A1956" w:rsidRPr="004F2B88" w:rsidRDefault="004A1956" w:rsidP="000A7200">
      <w:pPr>
        <w:pStyle w:val="BibliographyIdontwantinthetableofcontents"/>
      </w:pPr>
    </w:p>
    <w:p w14:paraId="212A8568" w14:textId="48174A60" w:rsidR="000A7200" w:rsidRDefault="000A7200" w:rsidP="000A7200">
      <w:pPr>
        <w:pStyle w:val="BibliographyIdontwantinthetableofcontents"/>
      </w:pPr>
      <w:bookmarkStart w:id="47" w:name="_Toc507509104"/>
      <w:r w:rsidRPr="004F2B88">
        <w:t xml:space="preserve">Boyne, D. J., </w:t>
      </w:r>
      <w:proofErr w:type="spellStart"/>
      <w:r w:rsidRPr="004F2B88">
        <w:t>Friedenreich</w:t>
      </w:r>
      <w:proofErr w:type="spellEnd"/>
      <w:r w:rsidRPr="004F2B88">
        <w:t xml:space="preserve">, C. M., McIntyre, J. B., </w:t>
      </w:r>
      <w:proofErr w:type="spellStart"/>
      <w:r w:rsidRPr="004F2B88">
        <w:t>Courneya</w:t>
      </w:r>
      <w:proofErr w:type="spellEnd"/>
      <w:r w:rsidRPr="004F2B88">
        <w:t>, K. S., &amp; King, W. D. (2017). Associations between adiposity and repetitive element DNA methylation in healthy postmenopausal women.</w:t>
      </w:r>
      <w:r w:rsidRPr="004F2B88">
        <w:rPr>
          <w:i/>
        </w:rPr>
        <w:t xml:space="preserve"> Epigenomics, 9</w:t>
      </w:r>
      <w:r w:rsidRPr="004F2B88">
        <w:t xml:space="preserve">(10), 1267-1277. </w:t>
      </w:r>
      <w:r w:rsidR="00550545">
        <w:t>http://www.doi.org/</w:t>
      </w:r>
      <w:r w:rsidRPr="004F2B88">
        <w:t>10.2217/epi-2017-0047</w:t>
      </w:r>
      <w:bookmarkEnd w:id="47"/>
    </w:p>
    <w:p w14:paraId="05926301" w14:textId="77777777" w:rsidR="004A1956" w:rsidRPr="004F2B88" w:rsidRDefault="004A1956" w:rsidP="000A7200">
      <w:pPr>
        <w:pStyle w:val="BibliographyIdontwantinthetableofcontents"/>
      </w:pPr>
    </w:p>
    <w:p w14:paraId="774C9D53" w14:textId="0392051E" w:rsidR="000A7200" w:rsidRDefault="000A7200" w:rsidP="000A7200">
      <w:pPr>
        <w:pStyle w:val="BibliographyIdontwantinthetableofcontents"/>
      </w:pPr>
      <w:bookmarkStart w:id="48" w:name="_Toc507509105"/>
      <w:r w:rsidRPr="004F2B88">
        <w:t>Calle, E. E., Rodriguez, C., Walker-Thurmond, K., &amp; Thun, M. J. (2003). Overweight, obesity, and mortality from cancer in a prospectively studied cohort of U.S. adults.</w:t>
      </w:r>
      <w:r w:rsidRPr="004F2B88">
        <w:rPr>
          <w:i/>
        </w:rPr>
        <w:t xml:space="preserve"> The New England Journal of Medicine, 348</w:t>
      </w:r>
      <w:r w:rsidRPr="004F2B88">
        <w:t xml:space="preserve">(17), 1625-1638. </w:t>
      </w:r>
      <w:r w:rsidR="00550545">
        <w:t>http://www.doi.org/</w:t>
      </w:r>
      <w:r w:rsidRPr="004F2B88">
        <w:t>10.1056/NEJMoa021423</w:t>
      </w:r>
      <w:bookmarkEnd w:id="48"/>
    </w:p>
    <w:p w14:paraId="785AA84A" w14:textId="77777777" w:rsidR="004A1956" w:rsidRPr="004F2B88" w:rsidRDefault="004A1956" w:rsidP="000A7200">
      <w:pPr>
        <w:pStyle w:val="BibliographyIdontwantinthetableofcontents"/>
      </w:pPr>
    </w:p>
    <w:p w14:paraId="513C8258" w14:textId="554DFDD6" w:rsidR="000A7200" w:rsidRDefault="000A7200" w:rsidP="000A7200">
      <w:pPr>
        <w:pStyle w:val="BibliographyIdontwantinthetableofcontents"/>
      </w:pPr>
      <w:bookmarkStart w:id="49" w:name="_Toc507509107"/>
      <w:proofErr w:type="spellStart"/>
      <w:r w:rsidRPr="004F2B88">
        <w:t>Carraro</w:t>
      </w:r>
      <w:proofErr w:type="spellEnd"/>
      <w:r w:rsidRPr="004F2B88">
        <w:t xml:space="preserve">, J., </w:t>
      </w:r>
      <w:proofErr w:type="spellStart"/>
      <w:r w:rsidRPr="004F2B88">
        <w:t>Mansego</w:t>
      </w:r>
      <w:proofErr w:type="spellEnd"/>
      <w:r w:rsidRPr="004F2B88">
        <w:t xml:space="preserve">, M. L., Milagro, F. I., Chaves, L. O., </w:t>
      </w:r>
      <w:proofErr w:type="spellStart"/>
      <w:r w:rsidRPr="004F2B88">
        <w:t>Vidigal</w:t>
      </w:r>
      <w:proofErr w:type="spellEnd"/>
      <w:r w:rsidRPr="004F2B88">
        <w:t xml:space="preserve">, F. C., </w:t>
      </w:r>
      <w:proofErr w:type="spellStart"/>
      <w:r w:rsidRPr="004F2B88">
        <w:t>Bressan</w:t>
      </w:r>
      <w:proofErr w:type="spellEnd"/>
      <w:r w:rsidRPr="004F2B88">
        <w:t>, J., &amp; Martínez, J. A. (2016). LINE-1 and inflammatory gene methylation levels are early biomarkers of metabolic changes: Association with adiposity.</w:t>
      </w:r>
      <w:r w:rsidRPr="004F2B88">
        <w:rPr>
          <w:i/>
        </w:rPr>
        <w:t xml:space="preserve"> Biomarkers. </w:t>
      </w:r>
      <w:r w:rsidRPr="004F2B88">
        <w:t xml:space="preserve">1-8. </w:t>
      </w:r>
      <w:r w:rsidR="00550545">
        <w:t>http://www.doi.org/</w:t>
      </w:r>
      <w:r w:rsidRPr="004F2B88">
        <w:t>10.3109/1354750X.2016.1171904</w:t>
      </w:r>
      <w:bookmarkEnd w:id="49"/>
    </w:p>
    <w:p w14:paraId="6B2EE5D4" w14:textId="77777777" w:rsidR="004A1956" w:rsidRPr="004F2B88" w:rsidRDefault="004A1956" w:rsidP="000A7200">
      <w:pPr>
        <w:pStyle w:val="BibliographyIdontwantinthetableofcontents"/>
      </w:pPr>
    </w:p>
    <w:p w14:paraId="19615A4A" w14:textId="02B60AFC" w:rsidR="000A7200" w:rsidRDefault="000A7200" w:rsidP="000A7200">
      <w:pPr>
        <w:pStyle w:val="BibliographyIdontwantinthetableofcontents"/>
      </w:pPr>
      <w:bookmarkStart w:id="50" w:name="_Toc507509108"/>
      <w:r w:rsidRPr="004F2B88">
        <w:t xml:space="preserve">CDC - </w:t>
      </w:r>
      <w:r w:rsidRPr="00DC7D4B">
        <w:rPr>
          <w:i/>
        </w:rPr>
        <w:t>breast cancer statistics</w:t>
      </w:r>
      <w:r w:rsidRPr="004F2B88">
        <w:t xml:space="preserve">. (2017). Retrieved from </w:t>
      </w:r>
      <w:r w:rsidR="004A1956" w:rsidRPr="00DC7D4B">
        <w:t>https://www.cdc.gov/cancer/breast/statistics/index.htm</w:t>
      </w:r>
      <w:bookmarkEnd w:id="50"/>
    </w:p>
    <w:p w14:paraId="1145DF10" w14:textId="77777777" w:rsidR="004A1956" w:rsidRPr="004F2B88" w:rsidRDefault="004A1956" w:rsidP="000A7200">
      <w:pPr>
        <w:pStyle w:val="BibliographyIdontwantinthetableofcontents"/>
      </w:pPr>
    </w:p>
    <w:p w14:paraId="46D18713" w14:textId="79D081F7" w:rsidR="000A7200" w:rsidRDefault="000A7200" w:rsidP="000A7200">
      <w:pPr>
        <w:pStyle w:val="BibliographyIdontwantinthetableofcontents"/>
      </w:pPr>
      <w:bookmarkStart w:id="51" w:name="_Toc507509109"/>
      <w:r w:rsidRPr="004F2B88">
        <w:lastRenderedPageBreak/>
        <w:t>Chen, P., Li, C., Li, X., Li, J., Chu, R., &amp; Wang, H. (2014). Higher dietary folate intake reduces the breast cancer risk: A systematic review and meta-analysis.</w:t>
      </w:r>
      <w:r w:rsidRPr="004F2B88">
        <w:rPr>
          <w:i/>
        </w:rPr>
        <w:t xml:space="preserve"> British Journal of Cancer, 110</w:t>
      </w:r>
      <w:r w:rsidRPr="004F2B88">
        <w:t xml:space="preserve">(9), 2327-2338. </w:t>
      </w:r>
      <w:r w:rsidR="00550545">
        <w:t>http://www.doi.org/</w:t>
      </w:r>
      <w:r w:rsidRPr="004F2B88">
        <w:t>10.1038/bjc.2014.155</w:t>
      </w:r>
      <w:bookmarkEnd w:id="51"/>
    </w:p>
    <w:p w14:paraId="6AB338EA" w14:textId="77777777" w:rsidR="004A1956" w:rsidRPr="004F2B88" w:rsidRDefault="004A1956" w:rsidP="000A7200">
      <w:pPr>
        <w:pStyle w:val="BibliographyIdontwantinthetableofcontents"/>
      </w:pPr>
    </w:p>
    <w:p w14:paraId="6F37B499" w14:textId="4567D475" w:rsidR="000A7200" w:rsidRDefault="000A7200" w:rsidP="000A7200">
      <w:pPr>
        <w:pStyle w:val="BibliographyIdontwantinthetableofcontents"/>
      </w:pPr>
      <w:r w:rsidRPr="004F2B88">
        <w:t xml:space="preserve">Cho, E., Spiegelman, D., Hunter, D. J., Chen, W. Y., Zhang, S. M., Colditz, G. A., &amp; Willett, W. C. (2003). Premenopausal intakes of vitamins A, C, and E, folate, and carotenoids, and risk of breast cancer. Cancer Epidemiology, </w:t>
      </w:r>
      <w:r w:rsidRPr="004F2B88">
        <w:rPr>
          <w:i/>
        </w:rPr>
        <w:t>Biomarkers &amp; Prevention: A Publication of the American Association for Cancer Research, Cosponsored by the American Society of Preventive Oncology</w:t>
      </w:r>
      <w:r w:rsidRPr="004F2B88">
        <w:t>, 12(8), 713-720.</w:t>
      </w:r>
    </w:p>
    <w:p w14:paraId="3B4E5DE0" w14:textId="77777777" w:rsidR="004A1956" w:rsidRPr="004F2B88" w:rsidRDefault="004A1956" w:rsidP="000A7200">
      <w:pPr>
        <w:pStyle w:val="BibliographyIdontwantinthetableofcontents"/>
      </w:pPr>
    </w:p>
    <w:p w14:paraId="47184379" w14:textId="3B30490A" w:rsidR="000A7200" w:rsidRDefault="000A7200" w:rsidP="000A7200">
      <w:pPr>
        <w:pStyle w:val="BibliographyIdontwantinthetableofcontents"/>
      </w:pPr>
      <w:bookmarkStart w:id="52" w:name="_Toc507509110"/>
      <w:r w:rsidRPr="004F2B88">
        <w:t xml:space="preserve">Cho, Y. H., Shen, J., Gammon, M. D., Zhang, Y., Wang, Q., Gonzalez, K., . . . </w:t>
      </w:r>
      <w:proofErr w:type="spellStart"/>
      <w:r w:rsidRPr="004F2B88">
        <w:t>Santella</w:t>
      </w:r>
      <w:proofErr w:type="spellEnd"/>
      <w:r w:rsidRPr="004F2B88">
        <w:t>, R. M. (2012). Prognostic significance of gene-specific promoter hypermethylation in breast cancer patients.</w:t>
      </w:r>
      <w:r w:rsidRPr="004F2B88">
        <w:rPr>
          <w:i/>
        </w:rPr>
        <w:t xml:space="preserve"> Breast Cancer Research and Treatment, 131</w:t>
      </w:r>
      <w:r w:rsidRPr="004F2B88">
        <w:t xml:space="preserve">(1), 197-205. </w:t>
      </w:r>
      <w:r w:rsidR="00550545">
        <w:t>http://www.doi.org/</w:t>
      </w:r>
      <w:r w:rsidRPr="004F2B88">
        <w:t>10.1007/s10549-011-1712-y</w:t>
      </w:r>
      <w:bookmarkEnd w:id="52"/>
    </w:p>
    <w:p w14:paraId="2E852253" w14:textId="77777777" w:rsidR="004A1956" w:rsidRPr="004F2B88" w:rsidRDefault="004A1956" w:rsidP="000A7200">
      <w:pPr>
        <w:pStyle w:val="BibliographyIdontwantinthetableofcontents"/>
      </w:pPr>
    </w:p>
    <w:p w14:paraId="08E15665" w14:textId="4AC5CC0C" w:rsidR="000A7200" w:rsidRDefault="000A7200" w:rsidP="000A7200">
      <w:pPr>
        <w:pStyle w:val="BibliographyIdontwantinthetableofcontents"/>
      </w:pPr>
      <w:r w:rsidRPr="004F2B88">
        <w:t xml:space="preserve">Cho, Y. H., </w:t>
      </w:r>
      <w:proofErr w:type="spellStart"/>
      <w:r w:rsidRPr="004F2B88">
        <w:t>Yazici</w:t>
      </w:r>
      <w:proofErr w:type="spellEnd"/>
      <w:r w:rsidRPr="004F2B88">
        <w:t xml:space="preserve">, H., Wu, H.-C. C., Terry, M. B., Gonzalez, K., Qu, M., </w:t>
      </w:r>
      <w:proofErr w:type="spellStart"/>
      <w:r w:rsidRPr="004F2B88">
        <w:t>Dalay</w:t>
      </w:r>
      <w:proofErr w:type="spellEnd"/>
      <w:r w:rsidRPr="004F2B88">
        <w:t>, N., et al. (2010). Aberrant promoter hypermethylation and genomic hypomethylation in tumor, adjacent normal tissues and blood from breast cancer patients. </w:t>
      </w:r>
      <w:r w:rsidRPr="004F2B88">
        <w:rPr>
          <w:i/>
          <w:iCs/>
        </w:rPr>
        <w:t>Anticancer research</w:t>
      </w:r>
      <w:r w:rsidRPr="004F2B88">
        <w:t>, </w:t>
      </w:r>
      <w:r w:rsidRPr="004F2B88">
        <w:rPr>
          <w:i/>
          <w:iCs/>
        </w:rPr>
        <w:t>30</w:t>
      </w:r>
      <w:r w:rsidRPr="004F2B88">
        <w:t>(7), 2489–96.</w:t>
      </w:r>
    </w:p>
    <w:p w14:paraId="2131B563" w14:textId="77777777" w:rsidR="004A1956" w:rsidRPr="004F2B88" w:rsidRDefault="004A1956" w:rsidP="000A7200">
      <w:pPr>
        <w:pStyle w:val="BibliographyIdontwantinthetableofcontents"/>
      </w:pPr>
    </w:p>
    <w:p w14:paraId="47BC2793" w14:textId="23B61806" w:rsidR="000A7200" w:rsidRDefault="000A7200" w:rsidP="000A7200">
      <w:pPr>
        <w:pStyle w:val="BibliographyIdontwantinthetableofcontents"/>
      </w:pPr>
      <w:bookmarkStart w:id="53" w:name="_Toc507509111"/>
      <w:r w:rsidRPr="004F2B88">
        <w:t xml:space="preserve">Choi, J., James, S. R., Link, P. A., McCann, S. E., Hong, C., Davis, W., . . . </w:t>
      </w:r>
      <w:proofErr w:type="spellStart"/>
      <w:r w:rsidRPr="004F2B88">
        <w:t>Karpf</w:t>
      </w:r>
      <w:proofErr w:type="spellEnd"/>
      <w:r w:rsidRPr="004F2B88">
        <w:t>, A. R. (2009). Association between global DNA hypomethylation in leukocytes and risk of breast cancer.</w:t>
      </w:r>
      <w:r w:rsidRPr="004F2B88">
        <w:rPr>
          <w:i/>
        </w:rPr>
        <w:t xml:space="preserve"> Carcinogenesis, 30</w:t>
      </w:r>
      <w:r w:rsidRPr="004F2B88">
        <w:t xml:space="preserve">(11), 1889-1897. </w:t>
      </w:r>
      <w:r w:rsidR="00550545">
        <w:t>http://www.doi.org/</w:t>
      </w:r>
      <w:r w:rsidRPr="004F2B88">
        <w:t>10.1093/carcin/bgp143</w:t>
      </w:r>
      <w:bookmarkEnd w:id="53"/>
    </w:p>
    <w:p w14:paraId="5C49F29D" w14:textId="77777777" w:rsidR="004A1956" w:rsidRPr="004F2B88" w:rsidRDefault="004A1956" w:rsidP="000A7200">
      <w:pPr>
        <w:pStyle w:val="BibliographyIdontwantinthetableofcontents"/>
      </w:pPr>
    </w:p>
    <w:p w14:paraId="184705CD" w14:textId="56D37C50" w:rsidR="000A7200" w:rsidRDefault="000A7200" w:rsidP="000A7200">
      <w:pPr>
        <w:pStyle w:val="BibliographyIdontwantinthetableofcontents"/>
      </w:pPr>
      <w:bookmarkStart w:id="54" w:name="_Toc507509112"/>
      <w:r w:rsidRPr="004F2B88">
        <w:t xml:space="preserve">Crider, K. S., Yang, T. P., Berry, R. J., &amp; Bailey, L. B. (2012). Folate and DNA methylation: A review of molecular mechanisms and the evidence for folate's role. </w:t>
      </w:r>
      <w:r w:rsidRPr="004F2B88">
        <w:rPr>
          <w:i/>
        </w:rPr>
        <w:t>Advances in Nutrition</w:t>
      </w:r>
      <w:r w:rsidRPr="004F2B88">
        <w:t xml:space="preserve"> </w:t>
      </w:r>
      <w:r w:rsidRPr="004F2B88">
        <w:rPr>
          <w:i/>
        </w:rPr>
        <w:t>(Bethesda, Md.)</w:t>
      </w:r>
      <w:r w:rsidRPr="004F2B88">
        <w:t xml:space="preserve">, 3(1), 21-38. </w:t>
      </w:r>
      <w:r w:rsidR="00550545">
        <w:t>http://www.doi.org/</w:t>
      </w:r>
      <w:r w:rsidRPr="004F2B88">
        <w:t>10.3945/an.111.000992</w:t>
      </w:r>
    </w:p>
    <w:p w14:paraId="291B14E4" w14:textId="77777777" w:rsidR="004A1956" w:rsidRPr="004F2B88" w:rsidRDefault="004A1956" w:rsidP="000A7200">
      <w:pPr>
        <w:pStyle w:val="BibliographyIdontwantinthetableofcontents"/>
      </w:pPr>
    </w:p>
    <w:p w14:paraId="77B64350" w14:textId="76BF5C02" w:rsidR="000A7200" w:rsidRDefault="000A7200" w:rsidP="000A7200">
      <w:pPr>
        <w:pStyle w:val="BibliographyIdontwantinthetableofcontents"/>
      </w:pPr>
      <w:proofErr w:type="spellStart"/>
      <w:r w:rsidRPr="004F2B88">
        <w:t>Crujeiras</w:t>
      </w:r>
      <w:proofErr w:type="spellEnd"/>
      <w:r w:rsidRPr="004F2B88">
        <w:t>, A. B., Diaz-</w:t>
      </w:r>
      <w:proofErr w:type="spellStart"/>
      <w:r w:rsidRPr="004F2B88">
        <w:t>Lagares</w:t>
      </w:r>
      <w:proofErr w:type="spellEnd"/>
      <w:r w:rsidRPr="004F2B88">
        <w:t xml:space="preserve">, A., Stefansson, O. A., Macias-Gonzalez, M., Sandoval, J., Cueva, J., . . . </w:t>
      </w:r>
      <w:proofErr w:type="spellStart"/>
      <w:r w:rsidRPr="004F2B88">
        <w:t>Esteller</w:t>
      </w:r>
      <w:proofErr w:type="spellEnd"/>
      <w:r w:rsidRPr="004F2B88">
        <w:t>, M. (2017). Obesity and menopause modify the epigenomic profile of breast cancer.</w:t>
      </w:r>
      <w:r w:rsidRPr="004F2B88">
        <w:rPr>
          <w:i/>
        </w:rPr>
        <w:t xml:space="preserve"> Endocrine-Related Cancer, 24</w:t>
      </w:r>
      <w:r w:rsidRPr="004F2B88">
        <w:t xml:space="preserve">(7), 351-363. </w:t>
      </w:r>
      <w:r w:rsidR="00550545">
        <w:t>http://www.doi.org/</w:t>
      </w:r>
      <w:r w:rsidRPr="004F2B88">
        <w:t>10.1530/ERC-16-0565</w:t>
      </w:r>
      <w:bookmarkEnd w:id="54"/>
    </w:p>
    <w:p w14:paraId="4FFEBE13" w14:textId="77777777" w:rsidR="004A1956" w:rsidRPr="004F2B88" w:rsidRDefault="004A1956" w:rsidP="000A7200">
      <w:pPr>
        <w:pStyle w:val="BibliographyIdontwantinthetableofcontents"/>
      </w:pPr>
    </w:p>
    <w:p w14:paraId="26415CF5" w14:textId="0DCC078E" w:rsidR="000A7200" w:rsidRDefault="000A7200" w:rsidP="000A7200">
      <w:pPr>
        <w:pStyle w:val="BibliographyIdontwantinthetableofcontents"/>
      </w:pPr>
      <w:bookmarkStart w:id="55" w:name="_Toc507509113"/>
      <w:r w:rsidRPr="004F2B88">
        <w:t xml:space="preserve">Da Silva, V. R., Hausman, D. B., </w:t>
      </w:r>
      <w:proofErr w:type="spellStart"/>
      <w:r w:rsidRPr="004F2B88">
        <w:t>Kauwell</w:t>
      </w:r>
      <w:proofErr w:type="spellEnd"/>
      <w:r w:rsidRPr="004F2B88">
        <w:t>, G. P. A., Sokolow, A., Tackett, R. L., Rathbun, S. L., &amp; Bailey, L. B. (2013). Obesity affects short-term folate pharmacokinetics in women of childbearing age.</w:t>
      </w:r>
      <w:r w:rsidRPr="004F2B88">
        <w:rPr>
          <w:i/>
        </w:rPr>
        <w:t xml:space="preserve"> International Journal of Obesity (2005), 37</w:t>
      </w:r>
      <w:r w:rsidRPr="004F2B88">
        <w:t xml:space="preserve">(12), 1608. </w:t>
      </w:r>
      <w:r w:rsidR="00550545">
        <w:t>http://www.doi.org/</w:t>
      </w:r>
      <w:r w:rsidRPr="004F2B88">
        <w:t>10.1038/ijo.2013.41</w:t>
      </w:r>
      <w:bookmarkEnd w:id="55"/>
    </w:p>
    <w:p w14:paraId="662AD2DC" w14:textId="77777777" w:rsidR="004A1956" w:rsidRPr="004F2B88" w:rsidRDefault="004A1956" w:rsidP="000A7200">
      <w:pPr>
        <w:pStyle w:val="BibliographyIdontwantinthetableofcontents"/>
      </w:pPr>
    </w:p>
    <w:p w14:paraId="3497F773" w14:textId="3313EDD2" w:rsidR="000A7200" w:rsidRDefault="000A7200" w:rsidP="000A7200">
      <w:pPr>
        <w:pStyle w:val="BibliographyIdontwantinthetableofcontents"/>
      </w:pPr>
      <w:bookmarkStart w:id="56" w:name="_Toc507509114"/>
      <w:r w:rsidRPr="004F2B88">
        <w:lastRenderedPageBreak/>
        <w:t>Danforth, D. N. (2016). Genomic changes in normal breast tissue in women at normal risk or at high risk for breast cancer.</w:t>
      </w:r>
      <w:r w:rsidRPr="004F2B88">
        <w:rPr>
          <w:i/>
        </w:rPr>
        <w:t xml:space="preserve"> Breast Cancer: Basic and Clinical Research, 10</w:t>
      </w:r>
      <w:r w:rsidRPr="004F2B88">
        <w:t xml:space="preserve">, 109-146. </w:t>
      </w:r>
      <w:r w:rsidR="00550545">
        <w:t>http://www.doi.org/</w:t>
      </w:r>
      <w:r w:rsidRPr="004F2B88">
        <w:t>10.4137/BCBCR.S39384</w:t>
      </w:r>
      <w:bookmarkEnd w:id="56"/>
    </w:p>
    <w:p w14:paraId="56EA29CD" w14:textId="77777777" w:rsidR="004A1956" w:rsidRPr="004F2B88" w:rsidRDefault="004A1956" w:rsidP="000A7200">
      <w:pPr>
        <w:pStyle w:val="BibliographyIdontwantinthetableofcontents"/>
      </w:pPr>
    </w:p>
    <w:p w14:paraId="44FCC574" w14:textId="308A73FB" w:rsidR="000A7200" w:rsidRDefault="000A7200" w:rsidP="000A7200">
      <w:pPr>
        <w:pStyle w:val="BibliographyIdontwantinthetableofcontents"/>
      </w:pPr>
      <w:bookmarkStart w:id="57" w:name="_Toc507509115"/>
      <w:r w:rsidRPr="004F2B88">
        <w:t xml:space="preserve">De la Rocha, C., Pérez-Mojica, J. E., León, S. Z.-D., Cervantes-Paz, B., </w:t>
      </w:r>
      <w:proofErr w:type="spellStart"/>
      <w:r w:rsidRPr="004F2B88">
        <w:t>Tristán</w:t>
      </w:r>
      <w:proofErr w:type="spellEnd"/>
      <w:r w:rsidRPr="004F2B88">
        <w:t xml:space="preserve">-Flores, F. E., Rodríguez-Ríos, D., … Lund, G. (2016). Associations between whole peripheral blood fatty acids and DNA methylation in humans. </w:t>
      </w:r>
      <w:r w:rsidRPr="004F2B88">
        <w:rPr>
          <w:i/>
        </w:rPr>
        <w:t>Scientific Reports,</w:t>
      </w:r>
      <w:r w:rsidRPr="004F2B88">
        <w:t xml:space="preserve"> 6, 25867. </w:t>
      </w:r>
      <w:r w:rsidR="004A1956" w:rsidRPr="00550545">
        <w:t>http://doi.org/10.1038/srep25867</w:t>
      </w:r>
      <w:r w:rsidRPr="004F2B88">
        <w:t xml:space="preserve"> </w:t>
      </w:r>
    </w:p>
    <w:p w14:paraId="78262EF1" w14:textId="77777777" w:rsidR="004A1956" w:rsidRPr="004F2B88" w:rsidRDefault="004A1956" w:rsidP="000A7200">
      <w:pPr>
        <w:pStyle w:val="BibliographyIdontwantinthetableofcontents"/>
      </w:pPr>
    </w:p>
    <w:p w14:paraId="302FC257" w14:textId="2E1BAF05" w:rsidR="000A7200" w:rsidRDefault="000A7200" w:rsidP="000A7200">
      <w:pPr>
        <w:pStyle w:val="BibliographyIdontwantinthetableofcontents"/>
      </w:pPr>
      <w:proofErr w:type="spellStart"/>
      <w:r w:rsidRPr="004F2B88">
        <w:t>Deroo</w:t>
      </w:r>
      <w:proofErr w:type="spellEnd"/>
      <w:r w:rsidRPr="004F2B88">
        <w:t xml:space="preserve">, L. A., </w:t>
      </w:r>
      <w:proofErr w:type="spellStart"/>
      <w:r w:rsidRPr="004F2B88">
        <w:t>Bolick</w:t>
      </w:r>
      <w:proofErr w:type="spellEnd"/>
      <w:r w:rsidRPr="004F2B88">
        <w:t xml:space="preserve">, S. C. E., Xu, Z., </w:t>
      </w:r>
      <w:proofErr w:type="spellStart"/>
      <w:r w:rsidRPr="004F2B88">
        <w:t>Umbach</w:t>
      </w:r>
      <w:proofErr w:type="spellEnd"/>
      <w:r w:rsidRPr="004F2B88">
        <w:t>, D. M., Shore, D., Weinberg, C. R., . . . Taylor, J. A. (2014). Global DNA methylation and one-carbon metabolism gene polymorphisms and the risk of breast cancer in the sister study.</w:t>
      </w:r>
      <w:r w:rsidRPr="004F2B88">
        <w:rPr>
          <w:i/>
        </w:rPr>
        <w:t xml:space="preserve"> Carcinogenesis, 35</w:t>
      </w:r>
      <w:r w:rsidRPr="004F2B88">
        <w:t xml:space="preserve">(2), 333-338. </w:t>
      </w:r>
      <w:r w:rsidR="00550545">
        <w:t>http://www.doi.org/</w:t>
      </w:r>
      <w:r w:rsidRPr="004F2B88">
        <w:t>10.1093/carcin/bgt342</w:t>
      </w:r>
      <w:bookmarkEnd w:id="57"/>
    </w:p>
    <w:p w14:paraId="16F1DFD4" w14:textId="77777777" w:rsidR="004A1956" w:rsidRPr="004F2B88" w:rsidRDefault="004A1956" w:rsidP="000A7200">
      <w:pPr>
        <w:pStyle w:val="BibliographyIdontwantinthetableofcontents"/>
      </w:pPr>
    </w:p>
    <w:p w14:paraId="333F5D39" w14:textId="27C7A5B3" w:rsidR="000A7200" w:rsidRDefault="000A7200" w:rsidP="000A7200">
      <w:pPr>
        <w:pStyle w:val="BibliographyIdontwantinthetableofcontents"/>
      </w:pPr>
      <w:bookmarkStart w:id="58" w:name="_Toc507509116"/>
      <w:r w:rsidRPr="004F2B88">
        <w:t xml:space="preserve">El </w:t>
      </w:r>
      <w:proofErr w:type="spellStart"/>
      <w:r w:rsidRPr="004F2B88">
        <w:t>Saghir</w:t>
      </w:r>
      <w:proofErr w:type="spellEnd"/>
      <w:r w:rsidRPr="004F2B88">
        <w:t xml:space="preserve">, N. S., </w:t>
      </w:r>
      <w:proofErr w:type="spellStart"/>
      <w:r w:rsidRPr="004F2B88">
        <w:t>Seoud</w:t>
      </w:r>
      <w:proofErr w:type="spellEnd"/>
      <w:r w:rsidRPr="004F2B88">
        <w:t xml:space="preserve">, M., Khalil, M. K., </w:t>
      </w:r>
      <w:proofErr w:type="spellStart"/>
      <w:r w:rsidRPr="004F2B88">
        <w:t>Charafeddine</w:t>
      </w:r>
      <w:proofErr w:type="spellEnd"/>
      <w:r w:rsidRPr="004F2B88">
        <w:t xml:space="preserve">, M., Salem, Z. K., </w:t>
      </w:r>
      <w:proofErr w:type="spellStart"/>
      <w:r w:rsidRPr="004F2B88">
        <w:t>Geara</w:t>
      </w:r>
      <w:proofErr w:type="spellEnd"/>
      <w:r w:rsidRPr="004F2B88">
        <w:t xml:space="preserve">, F. B., &amp; </w:t>
      </w:r>
      <w:proofErr w:type="spellStart"/>
      <w:r w:rsidRPr="004F2B88">
        <w:t>Shamseddine</w:t>
      </w:r>
      <w:proofErr w:type="spellEnd"/>
      <w:r w:rsidRPr="004F2B88">
        <w:t>, A. I. (2006). Effects of young age at presentation on survival in breast cancer.</w:t>
      </w:r>
      <w:r w:rsidRPr="004F2B88">
        <w:rPr>
          <w:i/>
        </w:rPr>
        <w:t xml:space="preserve"> BMC Cancer, 6</w:t>
      </w:r>
      <w:r w:rsidRPr="004F2B88">
        <w:t xml:space="preserve">, 194. </w:t>
      </w:r>
      <w:r w:rsidR="00550545">
        <w:t>http://www.doi.org/</w:t>
      </w:r>
      <w:r w:rsidRPr="004F2B88">
        <w:t>10.1186/1471-2407-6-194</w:t>
      </w:r>
      <w:bookmarkEnd w:id="58"/>
    </w:p>
    <w:p w14:paraId="0BAAD68D" w14:textId="77777777" w:rsidR="004A1956" w:rsidRPr="004F2B88" w:rsidRDefault="004A1956" w:rsidP="000A7200">
      <w:pPr>
        <w:pStyle w:val="BibliographyIdontwantinthetableofcontents"/>
      </w:pPr>
    </w:p>
    <w:p w14:paraId="20E8107A" w14:textId="12A39985" w:rsidR="000A7200" w:rsidRDefault="000A7200" w:rsidP="000A7200">
      <w:pPr>
        <w:pStyle w:val="BibliographyIdontwantinthetableofcontents"/>
      </w:pPr>
      <w:bookmarkStart w:id="59" w:name="_Toc507509117"/>
      <w:proofErr w:type="spellStart"/>
      <w:r w:rsidRPr="004F2B88">
        <w:t>Esteller</w:t>
      </w:r>
      <w:proofErr w:type="spellEnd"/>
      <w:r w:rsidRPr="004F2B88">
        <w:t>, M. (2008). Epigenetics in cancer.</w:t>
      </w:r>
      <w:r w:rsidRPr="004F2B88">
        <w:rPr>
          <w:i/>
        </w:rPr>
        <w:t xml:space="preserve"> The New England Journal of Medicine, 358</w:t>
      </w:r>
      <w:r w:rsidRPr="004F2B88">
        <w:t xml:space="preserve">(11), 1148-1159. </w:t>
      </w:r>
      <w:r w:rsidR="00550545">
        <w:t>http://www.doi.org/</w:t>
      </w:r>
      <w:r w:rsidRPr="004F2B88">
        <w:t>10.1056/NEJMra072067</w:t>
      </w:r>
      <w:bookmarkEnd w:id="59"/>
    </w:p>
    <w:p w14:paraId="37A765A2" w14:textId="77777777" w:rsidR="004A1956" w:rsidRPr="004F2B88" w:rsidRDefault="004A1956" w:rsidP="000A7200">
      <w:pPr>
        <w:pStyle w:val="BibliographyIdontwantinthetableofcontents"/>
      </w:pPr>
    </w:p>
    <w:p w14:paraId="01CCD7B7" w14:textId="6136C5B1" w:rsidR="000A7200" w:rsidRDefault="000A7200" w:rsidP="000A7200">
      <w:pPr>
        <w:pStyle w:val="BibliographyIdontwantinthetableofcontents"/>
      </w:pPr>
      <w:bookmarkStart w:id="60" w:name="_Toc507509118"/>
      <w:r w:rsidRPr="004F2B88">
        <w:t xml:space="preserve">Feinberg, A. P., Irizarry, R. A., </w:t>
      </w:r>
      <w:proofErr w:type="spellStart"/>
      <w:r w:rsidRPr="004F2B88">
        <w:t>Fradin</w:t>
      </w:r>
      <w:proofErr w:type="spellEnd"/>
      <w:r w:rsidRPr="004F2B88">
        <w:t xml:space="preserve">, D., </w:t>
      </w:r>
      <w:proofErr w:type="spellStart"/>
      <w:r w:rsidRPr="004F2B88">
        <w:t>Aryee</w:t>
      </w:r>
      <w:proofErr w:type="spellEnd"/>
      <w:r w:rsidRPr="004F2B88">
        <w:t xml:space="preserve">, M. J., Murakami, P., </w:t>
      </w:r>
      <w:proofErr w:type="spellStart"/>
      <w:r w:rsidRPr="004F2B88">
        <w:t>Aspelund</w:t>
      </w:r>
      <w:proofErr w:type="spellEnd"/>
      <w:r w:rsidRPr="004F2B88">
        <w:t xml:space="preserve">, T., . . . </w:t>
      </w:r>
      <w:proofErr w:type="spellStart"/>
      <w:r w:rsidRPr="004F2B88">
        <w:t>Fallin</w:t>
      </w:r>
      <w:proofErr w:type="spellEnd"/>
      <w:r w:rsidRPr="004F2B88">
        <w:t>, M. D. (2010). Personalized epigenomic signatures that are stable over time and covary with body mass index.</w:t>
      </w:r>
      <w:r w:rsidRPr="004F2B88">
        <w:rPr>
          <w:i/>
        </w:rPr>
        <w:t xml:space="preserve"> Science Translational Medicine, 2</w:t>
      </w:r>
      <w:r w:rsidRPr="004F2B88">
        <w:t xml:space="preserve">(49), 49ra67. </w:t>
      </w:r>
      <w:r w:rsidR="00550545">
        <w:t>http://www.doi.org/</w:t>
      </w:r>
      <w:r w:rsidRPr="004F2B88">
        <w:t>10.1126/scitranslmed.3001262</w:t>
      </w:r>
      <w:bookmarkEnd w:id="60"/>
    </w:p>
    <w:p w14:paraId="687CCAFC" w14:textId="77777777" w:rsidR="004A1956" w:rsidRPr="004F2B88" w:rsidRDefault="004A1956" w:rsidP="000A7200">
      <w:pPr>
        <w:pStyle w:val="BibliographyIdontwantinthetableofcontents"/>
      </w:pPr>
    </w:p>
    <w:p w14:paraId="2A7C2E38" w14:textId="16CB6A58" w:rsidR="000A7200" w:rsidRDefault="000A7200" w:rsidP="000A7200">
      <w:pPr>
        <w:pStyle w:val="BibliographyIdontwantinthetableofcontents"/>
      </w:pPr>
      <w:proofErr w:type="spellStart"/>
      <w:r w:rsidRPr="004F2B88">
        <w:t>Frasca</w:t>
      </w:r>
      <w:proofErr w:type="spellEnd"/>
      <w:r w:rsidRPr="004F2B88">
        <w:t xml:space="preserve">, D., Blomberg, B. B., &amp; </w:t>
      </w:r>
      <w:proofErr w:type="spellStart"/>
      <w:r w:rsidRPr="004F2B88">
        <w:t>Paganelli</w:t>
      </w:r>
      <w:proofErr w:type="spellEnd"/>
      <w:r w:rsidRPr="004F2B88">
        <w:t xml:space="preserve">, R. (2017). Aging, Obesity, and Inflammatory Age-Related Diseases. </w:t>
      </w:r>
      <w:r w:rsidRPr="004F2B88">
        <w:rPr>
          <w:i/>
        </w:rPr>
        <w:t>Frontiers in Immunology</w:t>
      </w:r>
      <w:r w:rsidRPr="004F2B88">
        <w:t xml:space="preserve">, 8, 1745. </w:t>
      </w:r>
      <w:r w:rsidR="004A1956" w:rsidRPr="00550545">
        <w:t>http://doi.org/10.3389/fimmu.2017.01745</w:t>
      </w:r>
    </w:p>
    <w:p w14:paraId="203F8889" w14:textId="77777777" w:rsidR="004A1956" w:rsidRPr="004F2B88" w:rsidRDefault="004A1956" w:rsidP="000A7200">
      <w:pPr>
        <w:pStyle w:val="BibliographyIdontwantinthetableofcontents"/>
      </w:pPr>
    </w:p>
    <w:p w14:paraId="7905F0A9" w14:textId="70B5DC13" w:rsidR="000A7200" w:rsidRDefault="000A7200" w:rsidP="000A7200">
      <w:pPr>
        <w:pStyle w:val="BibliographyIdontwantinthetableofcontents"/>
      </w:pPr>
      <w:bookmarkStart w:id="61" w:name="_Toc507509119"/>
      <w:proofErr w:type="spellStart"/>
      <w:r w:rsidRPr="004F2B88">
        <w:t>Freudenheim</w:t>
      </w:r>
      <w:proofErr w:type="spellEnd"/>
      <w:r w:rsidRPr="004F2B88">
        <w:t xml:space="preserve">, J. L., Marshall, J. R., Vena, J. E., Laughlin, R., </w:t>
      </w:r>
      <w:proofErr w:type="spellStart"/>
      <w:r w:rsidRPr="004F2B88">
        <w:t>Brasure</w:t>
      </w:r>
      <w:proofErr w:type="spellEnd"/>
      <w:r w:rsidRPr="004F2B88">
        <w:t>, J. R., Swanson, M. K., . . . Graham, S. (1996). Premenopausal breast cancer risk and intake of vegetables, fruits, and related nutrients.</w:t>
      </w:r>
      <w:r w:rsidRPr="004F2B88">
        <w:rPr>
          <w:i/>
        </w:rPr>
        <w:t xml:space="preserve"> Journal of the National Cancer Institute, 88</w:t>
      </w:r>
      <w:r w:rsidRPr="004F2B88">
        <w:t>(6), 340-348.</w:t>
      </w:r>
      <w:bookmarkEnd w:id="61"/>
      <w:r w:rsidRPr="004F2B88">
        <w:t xml:space="preserve"> </w:t>
      </w:r>
    </w:p>
    <w:p w14:paraId="0BC8C615" w14:textId="77777777" w:rsidR="004A1956" w:rsidRPr="004F2B88" w:rsidRDefault="004A1956" w:rsidP="000A7200">
      <w:pPr>
        <w:pStyle w:val="BibliographyIdontwantinthetableofcontents"/>
      </w:pPr>
    </w:p>
    <w:p w14:paraId="73EE7DD3" w14:textId="30E4C30A" w:rsidR="000A7200" w:rsidRDefault="000A7200" w:rsidP="000A7200">
      <w:pPr>
        <w:pStyle w:val="BibliographyIdontwantinthetableofcontents"/>
      </w:pPr>
      <w:bookmarkStart w:id="62" w:name="_Toc507509120"/>
      <w:proofErr w:type="spellStart"/>
      <w:r w:rsidRPr="004F2B88">
        <w:t>Friso</w:t>
      </w:r>
      <w:proofErr w:type="spellEnd"/>
      <w:r w:rsidRPr="004F2B88">
        <w:t xml:space="preserve">, S., </w:t>
      </w:r>
      <w:proofErr w:type="spellStart"/>
      <w:r w:rsidRPr="004F2B88">
        <w:t>Udali</w:t>
      </w:r>
      <w:proofErr w:type="spellEnd"/>
      <w:r w:rsidRPr="004F2B88">
        <w:t xml:space="preserve">, S., De </w:t>
      </w:r>
      <w:proofErr w:type="spellStart"/>
      <w:r w:rsidRPr="004F2B88">
        <w:t>Santis</w:t>
      </w:r>
      <w:proofErr w:type="spellEnd"/>
      <w:r w:rsidRPr="004F2B88">
        <w:t>, D., &amp; Choi, S. (2017). One-carbon metabolism and epigenetics.</w:t>
      </w:r>
      <w:r w:rsidRPr="004F2B88">
        <w:rPr>
          <w:i/>
        </w:rPr>
        <w:t xml:space="preserve"> Molecular Aspects of Medicine, </w:t>
      </w:r>
      <w:r w:rsidR="00550545">
        <w:t>54, 28-36. http://doi.org/</w:t>
      </w:r>
      <w:r w:rsidRPr="004F2B88">
        <w:t>10.1016/j.mam.2016.11.007</w:t>
      </w:r>
      <w:bookmarkStart w:id="63" w:name="_Toc507509121"/>
      <w:bookmarkEnd w:id="62"/>
    </w:p>
    <w:p w14:paraId="7FB49EA6" w14:textId="77777777" w:rsidR="004A1956" w:rsidRPr="004F2B88" w:rsidRDefault="004A1956" w:rsidP="000A7200">
      <w:pPr>
        <w:pStyle w:val="BibliographyIdontwantinthetableofcontents"/>
      </w:pPr>
    </w:p>
    <w:p w14:paraId="1F5E005D" w14:textId="0972455F" w:rsidR="000A7200" w:rsidRDefault="000A7200" w:rsidP="000A7200">
      <w:pPr>
        <w:pStyle w:val="BibliographyIdontwantinthetableofcontents"/>
      </w:pPr>
      <w:r w:rsidRPr="004F2B88">
        <w:t xml:space="preserve">Harris, H. R., </w:t>
      </w:r>
      <w:proofErr w:type="spellStart"/>
      <w:r w:rsidRPr="004F2B88">
        <w:t>Bergkvist</w:t>
      </w:r>
      <w:proofErr w:type="spellEnd"/>
      <w:r w:rsidRPr="004F2B88">
        <w:t xml:space="preserve">, L., &amp; </w:t>
      </w:r>
      <w:proofErr w:type="spellStart"/>
      <w:r w:rsidRPr="004F2B88">
        <w:t>Wolk</w:t>
      </w:r>
      <w:proofErr w:type="spellEnd"/>
      <w:r w:rsidRPr="004F2B88">
        <w:t xml:space="preserve">, A. (2012). Folate intake and breast cancer mortality in a cohort of Swedish women. </w:t>
      </w:r>
      <w:r w:rsidRPr="004F2B88">
        <w:rPr>
          <w:i/>
        </w:rPr>
        <w:t>Breast cancer research and treatment</w:t>
      </w:r>
      <w:r w:rsidRPr="004F2B88">
        <w:t>, 132(1), 243–50.</w:t>
      </w:r>
    </w:p>
    <w:p w14:paraId="7FDBF572" w14:textId="77777777" w:rsidR="004A1956" w:rsidRPr="004F2B88" w:rsidRDefault="004A1956" w:rsidP="000A7200">
      <w:pPr>
        <w:pStyle w:val="BibliographyIdontwantinthetableofcontents"/>
      </w:pPr>
    </w:p>
    <w:p w14:paraId="7440BB3C" w14:textId="27D90079" w:rsidR="000A7200" w:rsidRDefault="000A7200" w:rsidP="000A7200">
      <w:pPr>
        <w:pStyle w:val="BibliographyIdontwantinthetableofcontents"/>
      </w:pPr>
      <w:r w:rsidRPr="004F2B88">
        <w:t xml:space="preserve">Harris, H. R., Willett, W. C., Vaidya, R. L., &amp; </w:t>
      </w:r>
      <w:proofErr w:type="spellStart"/>
      <w:r w:rsidRPr="004F2B88">
        <w:t>Michels</w:t>
      </w:r>
      <w:proofErr w:type="spellEnd"/>
      <w:r w:rsidRPr="004F2B88">
        <w:t>, K. B. (2017). An adolescent and early adulthood dietary pattern associated with inflammation and the incidence of breast cancer.</w:t>
      </w:r>
      <w:r w:rsidRPr="004F2B88">
        <w:rPr>
          <w:i/>
        </w:rPr>
        <w:t xml:space="preserve"> Cancer Research, 77</w:t>
      </w:r>
      <w:r w:rsidRPr="004F2B88">
        <w:t xml:space="preserve">(5), 1179-1187. </w:t>
      </w:r>
      <w:r w:rsidR="00550545">
        <w:t>http://www.</w:t>
      </w:r>
      <w:r w:rsidRPr="004F2B88">
        <w:t>doi</w:t>
      </w:r>
      <w:r w:rsidR="00550545">
        <w:t>.org/</w:t>
      </w:r>
      <w:r w:rsidRPr="004F2B88">
        <w:t>10.1158/0008-5472.CAN-16-2273</w:t>
      </w:r>
      <w:bookmarkEnd w:id="63"/>
    </w:p>
    <w:p w14:paraId="0E274006" w14:textId="77777777" w:rsidR="004A1956" w:rsidRPr="004F2B88" w:rsidRDefault="004A1956" w:rsidP="000A7200">
      <w:pPr>
        <w:pStyle w:val="BibliographyIdontwantinthetableofcontents"/>
      </w:pPr>
    </w:p>
    <w:p w14:paraId="725BE9A0" w14:textId="3F6AC844" w:rsidR="000A7200" w:rsidRDefault="000A7200" w:rsidP="000A7200">
      <w:pPr>
        <w:pStyle w:val="BibliographyIdontwantinthetableofcontents"/>
      </w:pPr>
      <w:bookmarkStart w:id="64" w:name="_Toc507509122"/>
      <w:r w:rsidRPr="004F2B88">
        <w:t xml:space="preserve">Herman, J. G., &amp; </w:t>
      </w:r>
      <w:proofErr w:type="spellStart"/>
      <w:r w:rsidRPr="004F2B88">
        <w:t>Baylin</w:t>
      </w:r>
      <w:proofErr w:type="spellEnd"/>
      <w:r w:rsidRPr="004F2B88">
        <w:t>, S. B. (2003). Gene silencing in cancer in association with promoter hypermethylation.</w:t>
      </w:r>
      <w:r w:rsidRPr="004F2B88">
        <w:rPr>
          <w:i/>
        </w:rPr>
        <w:t xml:space="preserve"> New England Journal of Medicine, 349</w:t>
      </w:r>
      <w:r w:rsidRPr="004F2B88">
        <w:t xml:space="preserve">(21), 2042-2054. </w:t>
      </w:r>
      <w:r w:rsidR="00550545">
        <w:t>http://www.doi.org/</w:t>
      </w:r>
      <w:r w:rsidRPr="004F2B88">
        <w:t>10.1056/NEJMra023075</w:t>
      </w:r>
      <w:bookmarkEnd w:id="64"/>
    </w:p>
    <w:p w14:paraId="60B55992" w14:textId="77777777" w:rsidR="004A1956" w:rsidRPr="004F2B88" w:rsidRDefault="004A1956" w:rsidP="000A7200">
      <w:pPr>
        <w:pStyle w:val="BibliographyIdontwantinthetableofcontents"/>
      </w:pPr>
    </w:p>
    <w:p w14:paraId="4B1E90A4" w14:textId="5D91E77B" w:rsidR="000A7200" w:rsidRDefault="000A7200" w:rsidP="000A7200">
      <w:pPr>
        <w:pStyle w:val="BibliographyIdontwantinthetableofcontents"/>
      </w:pPr>
      <w:bookmarkStart w:id="65" w:name="_Toc507509123"/>
      <w:r w:rsidRPr="004F2B88">
        <w:t xml:space="preserve">Holm, K., </w:t>
      </w:r>
      <w:proofErr w:type="spellStart"/>
      <w:r w:rsidRPr="004F2B88">
        <w:t>Hegardt</w:t>
      </w:r>
      <w:proofErr w:type="spellEnd"/>
      <w:r w:rsidRPr="004F2B88">
        <w:t xml:space="preserve">, C., </w:t>
      </w:r>
      <w:proofErr w:type="spellStart"/>
      <w:r w:rsidRPr="004F2B88">
        <w:t>Staaf</w:t>
      </w:r>
      <w:proofErr w:type="spellEnd"/>
      <w:r w:rsidRPr="004F2B88">
        <w:t xml:space="preserve">, J., </w:t>
      </w:r>
      <w:proofErr w:type="spellStart"/>
      <w:r w:rsidRPr="004F2B88">
        <w:t>Vallon-Christersson</w:t>
      </w:r>
      <w:proofErr w:type="spellEnd"/>
      <w:r w:rsidRPr="004F2B88">
        <w:t xml:space="preserve">, J., </w:t>
      </w:r>
      <w:proofErr w:type="spellStart"/>
      <w:r w:rsidRPr="004F2B88">
        <w:t>Jönsson</w:t>
      </w:r>
      <w:proofErr w:type="spellEnd"/>
      <w:r w:rsidRPr="004F2B88">
        <w:t xml:space="preserve">, G., Olsson, H., . . . </w:t>
      </w:r>
      <w:proofErr w:type="spellStart"/>
      <w:r w:rsidRPr="004F2B88">
        <w:t>Ringnér</w:t>
      </w:r>
      <w:proofErr w:type="spellEnd"/>
      <w:r w:rsidRPr="004F2B88">
        <w:t>, M. (2010). Molecular subtypes of breast cancer are associated with characteristic DNA methylation patterns.</w:t>
      </w:r>
      <w:r w:rsidRPr="004F2B88">
        <w:rPr>
          <w:i/>
        </w:rPr>
        <w:t xml:space="preserve"> Breast Cancer Research, BCR, 12</w:t>
      </w:r>
      <w:r w:rsidRPr="004F2B88">
        <w:t xml:space="preserve">(3), R36. </w:t>
      </w:r>
      <w:r w:rsidR="00550545">
        <w:t>http://www.doi.org/</w:t>
      </w:r>
      <w:r w:rsidRPr="004F2B88">
        <w:t>10.1186/bcr2590</w:t>
      </w:r>
      <w:bookmarkEnd w:id="65"/>
    </w:p>
    <w:p w14:paraId="5A9EECF2" w14:textId="77777777" w:rsidR="004A1956" w:rsidRPr="004F2B88" w:rsidRDefault="004A1956" w:rsidP="000A7200">
      <w:pPr>
        <w:pStyle w:val="BibliographyIdontwantinthetableofcontents"/>
      </w:pPr>
    </w:p>
    <w:p w14:paraId="6E9FC49C" w14:textId="692C0D68" w:rsidR="000A7200" w:rsidRDefault="000A7200" w:rsidP="000A7200">
      <w:pPr>
        <w:pStyle w:val="BibliographyIdontwantinthetableofcontents"/>
      </w:pPr>
      <w:bookmarkStart w:id="66" w:name="_Toc507509124"/>
      <w:r w:rsidRPr="004F2B88">
        <w:t xml:space="preserve">Huang, T., Tobias, D. K., Hruby, A., Rifai, N., </w:t>
      </w:r>
      <w:proofErr w:type="spellStart"/>
      <w:r w:rsidRPr="004F2B88">
        <w:t>Tworoger</w:t>
      </w:r>
      <w:proofErr w:type="spellEnd"/>
      <w:r w:rsidRPr="004F2B88">
        <w:t>, S. S., &amp; Hu, F. B. (2016). An increase in dietary quality is associated with favorable plasma biomarkers of the brain-adipose axis in apparently healthy US women.</w:t>
      </w:r>
      <w:r w:rsidRPr="004F2B88">
        <w:rPr>
          <w:i/>
        </w:rPr>
        <w:t xml:space="preserve"> The Journal of Nutrition, </w:t>
      </w:r>
      <w:r w:rsidR="00550545">
        <w:t>http://www.doi.org/</w:t>
      </w:r>
      <w:r w:rsidRPr="004F2B88">
        <w:t>10.3945/jn.115.229666</w:t>
      </w:r>
      <w:bookmarkEnd w:id="66"/>
    </w:p>
    <w:p w14:paraId="754DCEF7" w14:textId="77777777" w:rsidR="004A1956" w:rsidRPr="004F2B88" w:rsidRDefault="004A1956" w:rsidP="000A7200">
      <w:pPr>
        <w:pStyle w:val="BibliographyIdontwantinthetableofcontents"/>
      </w:pPr>
    </w:p>
    <w:p w14:paraId="02467722" w14:textId="07F2A5E2" w:rsidR="000A7200" w:rsidRDefault="000A7200" w:rsidP="000A7200">
      <w:pPr>
        <w:pStyle w:val="BibliographyIdontwantinthetableofcontents"/>
      </w:pPr>
      <w:bookmarkStart w:id="67" w:name="_Toc507509125"/>
      <w:r w:rsidRPr="004F2B88">
        <w:t>Huang, Y. T., Chu, S., Loucks, E. B., Lin, C. L., Eaton, C. B., Buka, S. L., &amp; Kelsey, K. T. (2016). Epigenome-wide profiling of DNA methylation in paired samples of adipose tissue and blood.</w:t>
      </w:r>
      <w:r w:rsidRPr="004F2B88">
        <w:rPr>
          <w:i/>
        </w:rPr>
        <w:t xml:space="preserve"> Epigenetics,</w:t>
      </w:r>
      <w:r w:rsidRPr="004F2B88">
        <w:t xml:space="preserve">1-10. </w:t>
      </w:r>
      <w:r w:rsidR="00550545">
        <w:t>http://www.doi.org/</w:t>
      </w:r>
      <w:r w:rsidRPr="004F2B88">
        <w:t>10.1080/15592294.2016.1146853</w:t>
      </w:r>
      <w:bookmarkEnd w:id="67"/>
    </w:p>
    <w:p w14:paraId="646AD003" w14:textId="77777777" w:rsidR="004A1956" w:rsidRPr="004F2B88" w:rsidRDefault="004A1956" w:rsidP="000A7200">
      <w:pPr>
        <w:pStyle w:val="BibliographyIdontwantinthetableofcontents"/>
      </w:pPr>
    </w:p>
    <w:p w14:paraId="6454FA8A" w14:textId="2E1E985B" w:rsidR="000A7200" w:rsidRDefault="000A7200" w:rsidP="000A7200">
      <w:pPr>
        <w:pStyle w:val="BibliographyIdontwantinthetableofcontents"/>
      </w:pPr>
      <w:bookmarkStart w:id="68" w:name="_Toc507509126"/>
      <w:proofErr w:type="spellStart"/>
      <w:r w:rsidRPr="004F2B88">
        <w:t>Irahara</w:t>
      </w:r>
      <w:proofErr w:type="spellEnd"/>
      <w:r w:rsidRPr="004F2B88">
        <w:t xml:space="preserve">, N., </w:t>
      </w:r>
      <w:proofErr w:type="spellStart"/>
      <w:r w:rsidRPr="004F2B88">
        <w:t>Nosho</w:t>
      </w:r>
      <w:proofErr w:type="spellEnd"/>
      <w:r w:rsidRPr="004F2B88">
        <w:t xml:space="preserve">, K., Baba, Y., &amp; </w:t>
      </w:r>
      <w:proofErr w:type="spellStart"/>
      <w:r w:rsidRPr="004F2B88">
        <w:t>Shima</w:t>
      </w:r>
      <w:proofErr w:type="spellEnd"/>
      <w:r w:rsidRPr="004F2B88">
        <w:t>, K. (2010). Precision of pyrosequencing assay to measure LINE-1 methylation in colon cancer, normal colonic mucosa, and peripheral blood cells.</w:t>
      </w:r>
      <w:r w:rsidRPr="004F2B88">
        <w:rPr>
          <w:i/>
        </w:rPr>
        <w:t xml:space="preserve"> The Journal of Molecular Medicine, </w:t>
      </w:r>
      <w:r w:rsidR="00550545">
        <w:t>http://www.doi.org/</w:t>
      </w:r>
      <w:r w:rsidRPr="004F2B88">
        <w:t>10.2353/jmoldx.2010.090106</w:t>
      </w:r>
      <w:bookmarkEnd w:id="68"/>
    </w:p>
    <w:p w14:paraId="56C17BCE" w14:textId="77777777" w:rsidR="004A1956" w:rsidRPr="004F2B88" w:rsidRDefault="004A1956" w:rsidP="000A7200">
      <w:pPr>
        <w:pStyle w:val="BibliographyIdontwantinthetableofcontents"/>
      </w:pPr>
    </w:p>
    <w:p w14:paraId="2B1C59E7" w14:textId="47E5C66F" w:rsidR="000A7200" w:rsidRDefault="000A7200" w:rsidP="000A7200">
      <w:pPr>
        <w:pStyle w:val="BibliographyIdontwantinthetableofcontents"/>
      </w:pPr>
      <w:bookmarkStart w:id="69" w:name="_Toc507509127"/>
      <w:proofErr w:type="spellStart"/>
      <w:r w:rsidRPr="004F2B88">
        <w:t>Jin</w:t>
      </w:r>
      <w:proofErr w:type="spellEnd"/>
      <w:r w:rsidRPr="004F2B88">
        <w:t xml:space="preserve">, M., Kawakami, K., Fukui, Y., </w:t>
      </w:r>
      <w:proofErr w:type="spellStart"/>
      <w:r w:rsidRPr="004F2B88">
        <w:t>Tsukioka</w:t>
      </w:r>
      <w:proofErr w:type="spellEnd"/>
      <w:r w:rsidRPr="004F2B88">
        <w:t>, S., Oda, M., Watanabe, G., . . . Minamoto, T. (2009). Different histological types of non-small cell lung cancer have distinct folate and DNA methylation levels.</w:t>
      </w:r>
      <w:r w:rsidRPr="004F2B88">
        <w:rPr>
          <w:i/>
        </w:rPr>
        <w:t xml:space="preserve"> Cancer Science, 100</w:t>
      </w:r>
      <w:r w:rsidRPr="004F2B88">
        <w:t xml:space="preserve">(12), 2325-2330. </w:t>
      </w:r>
      <w:r w:rsidR="00550545">
        <w:t>http://www.doi.org/</w:t>
      </w:r>
      <w:r w:rsidRPr="004F2B88">
        <w:t>10.1111/j.1349-7006.2009.01321.x</w:t>
      </w:r>
      <w:bookmarkEnd w:id="69"/>
    </w:p>
    <w:p w14:paraId="5BE8789D" w14:textId="77777777" w:rsidR="004A1956" w:rsidRDefault="004A1956" w:rsidP="000A7200">
      <w:pPr>
        <w:pStyle w:val="BibliographyIdontwantinthetableofcontents"/>
      </w:pPr>
    </w:p>
    <w:p w14:paraId="79B1AE42" w14:textId="44A0F06B" w:rsidR="000A7200" w:rsidRDefault="000A7200" w:rsidP="000A7200">
      <w:pPr>
        <w:pStyle w:val="BibliographyIdontwantinthetableofcontents"/>
      </w:pPr>
      <w:r w:rsidRPr="00581791">
        <w:lastRenderedPageBreak/>
        <w:t xml:space="preserve">Kabat, G. C., Miller, A. B., Jain, M., &amp; Rohan, T. E. (2008). Dietary intake of selected B vitamins in relation to risk of major cancers in women. </w:t>
      </w:r>
      <w:r w:rsidRPr="00581791">
        <w:rPr>
          <w:i/>
        </w:rPr>
        <w:t>British Journal of Cancer</w:t>
      </w:r>
      <w:r w:rsidRPr="00581791">
        <w:t xml:space="preserve">, 99(5), 816–821. </w:t>
      </w:r>
      <w:r w:rsidR="004A1956" w:rsidRPr="00550545">
        <w:t>http://doi.org/10.1038/sj.bjc.6604540</w:t>
      </w:r>
    </w:p>
    <w:p w14:paraId="208F7C4D" w14:textId="77777777" w:rsidR="004A1956" w:rsidRPr="004F2B88" w:rsidRDefault="004A1956" w:rsidP="000A7200">
      <w:pPr>
        <w:pStyle w:val="BibliographyIdontwantinthetableofcontents"/>
      </w:pPr>
    </w:p>
    <w:p w14:paraId="307714C9" w14:textId="6ED797F6" w:rsidR="000A7200" w:rsidRDefault="000A7200" w:rsidP="000A7200">
      <w:pPr>
        <w:pStyle w:val="BibliographyIdontwantinthetableofcontents"/>
      </w:pPr>
      <w:r w:rsidRPr="004F2B88">
        <w:t xml:space="preserve">Kim, Y. I. (1999). Folate and carcinogenesis: Evidence, mechanisms, and implications. </w:t>
      </w:r>
      <w:r w:rsidRPr="004F2B88">
        <w:rPr>
          <w:i/>
        </w:rPr>
        <w:t>The Journal of Nutritional Biochemistry</w:t>
      </w:r>
      <w:r w:rsidRPr="004F2B88">
        <w:t>, 10(2), 66-88.</w:t>
      </w:r>
    </w:p>
    <w:p w14:paraId="5FEDB4F9" w14:textId="77777777" w:rsidR="004A1956" w:rsidRPr="004F2B88" w:rsidRDefault="004A1956" w:rsidP="000A7200">
      <w:pPr>
        <w:pStyle w:val="BibliographyIdontwantinthetableofcontents"/>
      </w:pPr>
    </w:p>
    <w:p w14:paraId="636531C4" w14:textId="1811B8A7" w:rsidR="000A7200" w:rsidRDefault="000A7200" w:rsidP="000A7200">
      <w:pPr>
        <w:pStyle w:val="BibliographyIdontwantinthetableofcontents"/>
      </w:pPr>
      <w:bookmarkStart w:id="70" w:name="_Toc507509128"/>
      <w:proofErr w:type="spellStart"/>
      <w:r w:rsidRPr="004F2B88">
        <w:t>Knothe</w:t>
      </w:r>
      <w:proofErr w:type="spellEnd"/>
      <w:r w:rsidRPr="004F2B88">
        <w:t xml:space="preserve">, C., </w:t>
      </w:r>
      <w:proofErr w:type="spellStart"/>
      <w:r w:rsidRPr="004F2B88">
        <w:t>Shiratori</w:t>
      </w:r>
      <w:proofErr w:type="spellEnd"/>
      <w:r w:rsidRPr="004F2B88">
        <w:t xml:space="preserve">, H., Resch, E., </w:t>
      </w:r>
      <w:proofErr w:type="spellStart"/>
      <w:r w:rsidRPr="004F2B88">
        <w:t>Ultsch</w:t>
      </w:r>
      <w:proofErr w:type="spellEnd"/>
      <w:r w:rsidRPr="004F2B88">
        <w:t xml:space="preserve">, A., </w:t>
      </w:r>
      <w:proofErr w:type="spellStart"/>
      <w:r w:rsidRPr="004F2B88">
        <w:t>Geisslinger</w:t>
      </w:r>
      <w:proofErr w:type="spellEnd"/>
      <w:r w:rsidRPr="004F2B88">
        <w:t xml:space="preserve">, G., </w:t>
      </w:r>
      <w:proofErr w:type="spellStart"/>
      <w:r w:rsidRPr="004F2B88">
        <w:t>Doehring</w:t>
      </w:r>
      <w:proofErr w:type="spellEnd"/>
      <w:r w:rsidRPr="004F2B88">
        <w:t xml:space="preserve">, A., &amp; </w:t>
      </w:r>
      <w:proofErr w:type="spellStart"/>
      <w:r w:rsidRPr="004F2B88">
        <w:t>Jörn</w:t>
      </w:r>
      <w:proofErr w:type="spellEnd"/>
      <w:r w:rsidRPr="004F2B88">
        <w:t xml:space="preserve"> </w:t>
      </w:r>
      <w:proofErr w:type="spellStart"/>
      <w:r w:rsidRPr="004F2B88">
        <w:t>Lötsch</w:t>
      </w:r>
      <w:proofErr w:type="spellEnd"/>
      <w:r w:rsidRPr="004F2B88">
        <w:t>. (2016). Disagreement between two common biomarkers of global DNA methylation.</w:t>
      </w:r>
      <w:r w:rsidRPr="004F2B88">
        <w:rPr>
          <w:i/>
        </w:rPr>
        <w:t xml:space="preserve"> Clinical Epigenetics, 8</w:t>
      </w:r>
      <w:r w:rsidRPr="004F2B88">
        <w:t xml:space="preserve">(1) </w:t>
      </w:r>
      <w:r w:rsidR="00550545">
        <w:t>http://www.doi.org/</w:t>
      </w:r>
      <w:r w:rsidRPr="004F2B88">
        <w:t>10.1186/s13148-016-0227-0</w:t>
      </w:r>
      <w:bookmarkEnd w:id="70"/>
    </w:p>
    <w:p w14:paraId="0A7B46A1" w14:textId="77777777" w:rsidR="004A1956" w:rsidRPr="004F2B88" w:rsidRDefault="004A1956" w:rsidP="000A7200">
      <w:pPr>
        <w:pStyle w:val="BibliographyIdontwantinthetableofcontents"/>
      </w:pPr>
    </w:p>
    <w:p w14:paraId="3C3328BC" w14:textId="2BFB9968" w:rsidR="000A7200" w:rsidRDefault="000A7200" w:rsidP="000A7200">
      <w:pPr>
        <w:pStyle w:val="BibliographyIdontwantinthetableofcontents"/>
      </w:pPr>
      <w:bookmarkStart w:id="71" w:name="_Toc507509130"/>
      <w:proofErr w:type="spellStart"/>
      <w:r w:rsidRPr="004F2B88">
        <w:t>Kurdyukov</w:t>
      </w:r>
      <w:proofErr w:type="spellEnd"/>
      <w:r w:rsidRPr="004F2B88">
        <w:t>, S., &amp; Bullock, M. (2016). DNA methylation analysis: Choosing the right method.</w:t>
      </w:r>
      <w:r w:rsidRPr="004F2B88">
        <w:rPr>
          <w:i/>
        </w:rPr>
        <w:t xml:space="preserve"> Biology, 5</w:t>
      </w:r>
      <w:r w:rsidRPr="004F2B88">
        <w:t xml:space="preserve">(1), 3. </w:t>
      </w:r>
      <w:r w:rsidR="00550545">
        <w:t>http://www.doi.org/</w:t>
      </w:r>
      <w:r w:rsidRPr="004F2B88">
        <w:t>10.3390/biology5010003</w:t>
      </w:r>
      <w:bookmarkEnd w:id="71"/>
    </w:p>
    <w:p w14:paraId="2789B33B" w14:textId="77777777" w:rsidR="004A1956" w:rsidRPr="004F2B88" w:rsidRDefault="004A1956" w:rsidP="000A7200">
      <w:pPr>
        <w:pStyle w:val="BibliographyIdontwantinthetableofcontents"/>
      </w:pPr>
    </w:p>
    <w:p w14:paraId="11AE89CB" w14:textId="1ACAE65E" w:rsidR="000A7200" w:rsidRDefault="000A7200" w:rsidP="000A7200">
      <w:pPr>
        <w:pStyle w:val="BibliographyIdontwantinthetableofcontents"/>
      </w:pPr>
      <w:bookmarkStart w:id="72" w:name="_Toc507509131"/>
      <w:r w:rsidRPr="004F2B88">
        <w:t>Li, B., Lu, Y., Wang, L., &amp; Zhang, C. (2015). Folate intake and breast cancer prognosis: A meta-analysis of prospective observational studies.</w:t>
      </w:r>
      <w:r w:rsidRPr="004F2B88">
        <w:rPr>
          <w:i/>
        </w:rPr>
        <w:t xml:space="preserve"> European Journal of Cancer Prevention: The Official Journal of the European Cancer Prevention </w:t>
      </w:r>
      <w:proofErr w:type="spellStart"/>
      <w:r w:rsidRPr="004F2B88">
        <w:rPr>
          <w:i/>
        </w:rPr>
        <w:t>Organisation</w:t>
      </w:r>
      <w:proofErr w:type="spellEnd"/>
      <w:r w:rsidRPr="004F2B88">
        <w:rPr>
          <w:i/>
        </w:rPr>
        <w:t xml:space="preserve"> (ECP), 24</w:t>
      </w:r>
      <w:r w:rsidRPr="004F2B88">
        <w:t xml:space="preserve">(2), 113-121. </w:t>
      </w:r>
      <w:r w:rsidR="00550545">
        <w:t>http://www.doi.org/</w:t>
      </w:r>
      <w:r w:rsidRPr="004F2B88">
        <w:t>10.1097/CEJ.0000000000000028</w:t>
      </w:r>
      <w:bookmarkEnd w:id="72"/>
    </w:p>
    <w:p w14:paraId="652C503A" w14:textId="77777777" w:rsidR="004A1956" w:rsidRPr="004F2B88" w:rsidRDefault="004A1956" w:rsidP="000A7200">
      <w:pPr>
        <w:pStyle w:val="BibliographyIdontwantinthetableofcontents"/>
      </w:pPr>
    </w:p>
    <w:p w14:paraId="6FE8EDE3" w14:textId="3F742E91" w:rsidR="000A7200" w:rsidRDefault="000A7200" w:rsidP="000A7200">
      <w:pPr>
        <w:pStyle w:val="BibliographyIdontwantinthetableofcontents"/>
      </w:pPr>
      <w:bookmarkStart w:id="73" w:name="_Toc507509132"/>
      <w:r w:rsidRPr="004F2B88">
        <w:t xml:space="preserve">Lin J, Lee IM, Cook NR, </w:t>
      </w:r>
      <w:proofErr w:type="spellStart"/>
      <w:r w:rsidRPr="004F2B88">
        <w:t>Selhub</w:t>
      </w:r>
      <w:proofErr w:type="spellEnd"/>
      <w:r w:rsidRPr="004F2B88">
        <w:t xml:space="preserve"> J, Manson JE, </w:t>
      </w:r>
      <w:proofErr w:type="spellStart"/>
      <w:r w:rsidRPr="004F2B88">
        <w:t>Buring</w:t>
      </w:r>
      <w:proofErr w:type="spellEnd"/>
      <w:r w:rsidRPr="004F2B88">
        <w:t xml:space="preserve"> JE, Zhang SM. Plasma folate, vitamin B-6, vitamin B-12, and risk of breast cancer in women. </w:t>
      </w:r>
      <w:r w:rsidRPr="008D233D">
        <w:rPr>
          <w:i/>
        </w:rPr>
        <w:t xml:space="preserve">Am J </w:t>
      </w:r>
      <w:proofErr w:type="spellStart"/>
      <w:r w:rsidRPr="008D233D">
        <w:rPr>
          <w:i/>
        </w:rPr>
        <w:t>Clin</w:t>
      </w:r>
      <w:proofErr w:type="spellEnd"/>
      <w:r w:rsidRPr="008D233D">
        <w:rPr>
          <w:i/>
        </w:rPr>
        <w:t xml:space="preserve"> </w:t>
      </w:r>
      <w:proofErr w:type="spellStart"/>
      <w:r w:rsidRPr="008D233D">
        <w:rPr>
          <w:i/>
        </w:rPr>
        <w:t>Nutr</w:t>
      </w:r>
      <w:proofErr w:type="spellEnd"/>
      <w:r w:rsidRPr="004F2B88">
        <w:t>. 2008 87(3):734-43.</w:t>
      </w:r>
      <w:bookmarkEnd w:id="73"/>
    </w:p>
    <w:p w14:paraId="672B37DB" w14:textId="77777777" w:rsidR="008D233D" w:rsidRDefault="008D233D" w:rsidP="000A7200">
      <w:pPr>
        <w:pStyle w:val="BibliographyIdontwantinthetableofcontents"/>
      </w:pPr>
    </w:p>
    <w:p w14:paraId="7F4EC828" w14:textId="1592E552" w:rsidR="004A1956" w:rsidRDefault="008D233D" w:rsidP="000A7200">
      <w:pPr>
        <w:pStyle w:val="BibliographyIdontwantinthetableofcontents"/>
      </w:pPr>
      <w:r w:rsidRPr="008D233D">
        <w:t xml:space="preserve">Marques-Rocha, J. L., Milagro, F. I., </w:t>
      </w:r>
      <w:proofErr w:type="spellStart"/>
      <w:r w:rsidRPr="008D233D">
        <w:t>Mansego</w:t>
      </w:r>
      <w:proofErr w:type="spellEnd"/>
      <w:r w:rsidRPr="008D233D">
        <w:t xml:space="preserve">, M. L., </w:t>
      </w:r>
      <w:proofErr w:type="spellStart"/>
      <w:r w:rsidRPr="008D233D">
        <w:t>Mourão</w:t>
      </w:r>
      <w:proofErr w:type="spellEnd"/>
      <w:r w:rsidRPr="008D233D">
        <w:t xml:space="preserve">, D. M., Martínez, J. A., &amp; </w:t>
      </w:r>
      <w:proofErr w:type="spellStart"/>
      <w:r w:rsidRPr="008D233D">
        <w:t>Bressan</w:t>
      </w:r>
      <w:proofErr w:type="spellEnd"/>
      <w:r w:rsidRPr="008D233D">
        <w:t xml:space="preserve">, J. (2016). LINE-1methylation is positively associated with healthier lifestyle but inversely related to body fat mass in healthy young individuals. </w:t>
      </w:r>
      <w:r w:rsidRPr="008D233D">
        <w:rPr>
          <w:i/>
        </w:rPr>
        <w:t>Epigenetics</w:t>
      </w:r>
      <w:r w:rsidRPr="008D233D">
        <w:t>, 11(1), 49-60. 10.1080/15592294.2015.1135286</w:t>
      </w:r>
    </w:p>
    <w:p w14:paraId="619C8847" w14:textId="77777777" w:rsidR="008D233D" w:rsidRPr="004F2B88" w:rsidRDefault="008D233D" w:rsidP="000A7200">
      <w:pPr>
        <w:pStyle w:val="BibliographyIdontwantinthetableofcontents"/>
      </w:pPr>
    </w:p>
    <w:p w14:paraId="55FAFFB2" w14:textId="2C6FF40B" w:rsidR="000A7200" w:rsidRDefault="000A7200" w:rsidP="000A7200">
      <w:pPr>
        <w:pStyle w:val="BibliographyIdontwantinthetableofcontents"/>
      </w:pPr>
      <w:proofErr w:type="spellStart"/>
      <w:r w:rsidRPr="004F2B88">
        <w:t>Maunsell</w:t>
      </w:r>
      <w:proofErr w:type="spellEnd"/>
      <w:r w:rsidRPr="004F2B88">
        <w:t xml:space="preserve">, E., </w:t>
      </w:r>
      <w:proofErr w:type="spellStart"/>
      <w:r w:rsidRPr="004F2B88">
        <w:t>Drolet</w:t>
      </w:r>
      <w:proofErr w:type="spellEnd"/>
      <w:r w:rsidRPr="004F2B88">
        <w:t xml:space="preserve">, M., Brisson, J., Robert, J., &amp; </w:t>
      </w:r>
      <w:proofErr w:type="spellStart"/>
      <w:r w:rsidRPr="004F2B88">
        <w:t>Deschênes</w:t>
      </w:r>
      <w:proofErr w:type="spellEnd"/>
      <w:r w:rsidRPr="004F2B88">
        <w:t xml:space="preserve">, L. (2002). Dietary change after breast cancer: Extent, predictors, and relation with psychological distress. </w:t>
      </w:r>
      <w:r w:rsidRPr="004F2B88">
        <w:rPr>
          <w:i/>
        </w:rPr>
        <w:t>Journal of Clinical Oncology: Official Journal of the American Society of Clinical Oncology</w:t>
      </w:r>
      <w:r w:rsidRPr="004F2B88">
        <w:t xml:space="preserve">, 20(4), 1017-1025. </w:t>
      </w:r>
      <w:r w:rsidR="00550545">
        <w:t>http://www.doi.org/</w:t>
      </w:r>
      <w:r w:rsidRPr="004F2B88">
        <w:t>10.1200/JCO.2002.20.4.1017</w:t>
      </w:r>
    </w:p>
    <w:p w14:paraId="6097C6F8" w14:textId="77777777" w:rsidR="004A1956" w:rsidRPr="004F2B88" w:rsidRDefault="004A1956" w:rsidP="000A7200">
      <w:pPr>
        <w:pStyle w:val="BibliographyIdontwantinthetableofcontents"/>
      </w:pPr>
    </w:p>
    <w:p w14:paraId="19302E9A" w14:textId="2DCE54FC" w:rsidR="000A7200" w:rsidRDefault="000A7200" w:rsidP="000A7200">
      <w:pPr>
        <w:pStyle w:val="BibliographyIdontwantinthetableofcontents"/>
      </w:pPr>
      <w:bookmarkStart w:id="74" w:name="_Toc507509133"/>
      <w:r w:rsidRPr="004F2B88">
        <w:t xml:space="preserve">McCullough, L. E., Chen, J., Cho, Y. H., </w:t>
      </w:r>
      <w:proofErr w:type="spellStart"/>
      <w:r w:rsidRPr="004F2B88">
        <w:t>Khankari</w:t>
      </w:r>
      <w:proofErr w:type="spellEnd"/>
      <w:r w:rsidRPr="004F2B88">
        <w:t xml:space="preserve">, N. K., Bradshaw, P. T., White, A. J., . . . Gammon, M. D. (2016). DNA methylation modifies the association between </w:t>
      </w:r>
      <w:r w:rsidRPr="004F2B88">
        <w:lastRenderedPageBreak/>
        <w:t xml:space="preserve">obesity and survival after breast cancer diagnosis. </w:t>
      </w:r>
      <w:r w:rsidRPr="008D233D">
        <w:rPr>
          <w:i/>
        </w:rPr>
        <w:t>Breast Cancer Research and Treatment</w:t>
      </w:r>
      <w:r w:rsidRPr="004F2B88">
        <w:t xml:space="preserve">, 156(1), 183-194. </w:t>
      </w:r>
      <w:r w:rsidR="00550545">
        <w:t>http://www.doi.org/</w:t>
      </w:r>
      <w:r w:rsidRPr="004F2B88">
        <w:t>10.1007/s10549-016-3724-0</w:t>
      </w:r>
      <w:bookmarkEnd w:id="74"/>
    </w:p>
    <w:p w14:paraId="09F1EF4C" w14:textId="77777777" w:rsidR="004A1956" w:rsidRPr="004F2B88" w:rsidRDefault="004A1956" w:rsidP="000A7200">
      <w:pPr>
        <w:pStyle w:val="BibliographyIdontwantinthetableofcontents"/>
      </w:pPr>
    </w:p>
    <w:p w14:paraId="687882BD" w14:textId="37B4F09F" w:rsidR="000A7200" w:rsidRDefault="000A7200" w:rsidP="000A7200">
      <w:pPr>
        <w:pStyle w:val="BibliographyIdontwantinthetableofcontents"/>
      </w:pPr>
      <w:bookmarkStart w:id="75" w:name="_Toc507509134"/>
      <w:r w:rsidRPr="004F2B88">
        <w:t xml:space="preserve">Meeks, K. A. C., </w:t>
      </w:r>
      <w:proofErr w:type="spellStart"/>
      <w:r w:rsidRPr="004F2B88">
        <w:t>Henneman</w:t>
      </w:r>
      <w:proofErr w:type="spellEnd"/>
      <w:r w:rsidRPr="004F2B88">
        <w:t xml:space="preserve">, P., </w:t>
      </w:r>
      <w:proofErr w:type="spellStart"/>
      <w:r w:rsidRPr="004F2B88">
        <w:t>Venema</w:t>
      </w:r>
      <w:proofErr w:type="spellEnd"/>
      <w:r w:rsidRPr="004F2B88">
        <w:t xml:space="preserve">, A., Burr, T., </w:t>
      </w:r>
      <w:proofErr w:type="spellStart"/>
      <w:r w:rsidRPr="004F2B88">
        <w:t>Galbete</w:t>
      </w:r>
      <w:proofErr w:type="spellEnd"/>
      <w:r w:rsidRPr="004F2B88">
        <w:t xml:space="preserve">, C., </w:t>
      </w:r>
      <w:proofErr w:type="spellStart"/>
      <w:r w:rsidRPr="004F2B88">
        <w:t>Danquah</w:t>
      </w:r>
      <w:proofErr w:type="spellEnd"/>
      <w:r w:rsidRPr="004F2B88">
        <w:t>, I., . . . Adeyemo, A. (2017). An epigenome-wide association study in whole blood of measures of adiposity among Ghanaians: The RODAM study.</w:t>
      </w:r>
      <w:r w:rsidRPr="004F2B88">
        <w:rPr>
          <w:i/>
        </w:rPr>
        <w:t xml:space="preserve"> Clinical Epigenetics, 9</w:t>
      </w:r>
      <w:r w:rsidRPr="004F2B88">
        <w:t xml:space="preserve">, 103. </w:t>
      </w:r>
      <w:r w:rsidR="00550545">
        <w:t>http://www.doi.org/</w:t>
      </w:r>
      <w:r w:rsidRPr="004F2B88">
        <w:t>10.1186/s13148-017-0403-x</w:t>
      </w:r>
      <w:bookmarkEnd w:id="75"/>
    </w:p>
    <w:p w14:paraId="2A2886F9" w14:textId="77777777" w:rsidR="004A1956" w:rsidRPr="004F2B88" w:rsidRDefault="004A1956" w:rsidP="000A7200">
      <w:pPr>
        <w:pStyle w:val="BibliographyIdontwantinthetableofcontents"/>
      </w:pPr>
    </w:p>
    <w:p w14:paraId="723C80B9" w14:textId="0083D757" w:rsidR="000A7200" w:rsidRDefault="000A7200" w:rsidP="000A7200">
      <w:pPr>
        <w:pStyle w:val="BibliographyIdontwantinthetableofcontents"/>
      </w:pPr>
      <w:bookmarkStart w:id="76" w:name="_Toc507509135"/>
      <w:r w:rsidRPr="004F2B88">
        <w:t>Munsell, M. F., Sprague, B. L., Berry, D. A., Chisholm, G., &amp; Trentham-Dietz, A. (2014). Body mass index and breast cancer risk according to postmenopausal estrogen-progestin use and hormone receptor status.</w:t>
      </w:r>
      <w:r w:rsidRPr="004F2B88">
        <w:rPr>
          <w:i/>
        </w:rPr>
        <w:t xml:space="preserve"> Epidemiologic Reviews, 36</w:t>
      </w:r>
      <w:r w:rsidRPr="004F2B88">
        <w:t xml:space="preserve">, 114-136. </w:t>
      </w:r>
      <w:r w:rsidR="00550545">
        <w:t>http://www.doi.org/</w:t>
      </w:r>
      <w:r w:rsidRPr="004F2B88">
        <w:t>10.1093/epirev/mxt010</w:t>
      </w:r>
      <w:bookmarkEnd w:id="76"/>
    </w:p>
    <w:p w14:paraId="1D6420A0" w14:textId="77777777" w:rsidR="004A1956" w:rsidRPr="004F2B88" w:rsidRDefault="004A1956" w:rsidP="000A7200">
      <w:pPr>
        <w:pStyle w:val="BibliographyIdontwantinthetableofcontents"/>
      </w:pPr>
    </w:p>
    <w:p w14:paraId="162320E9" w14:textId="762A13F8" w:rsidR="000A7200" w:rsidRDefault="000A7200" w:rsidP="000A7200">
      <w:pPr>
        <w:pStyle w:val="BibliographyIdontwantinthetableofcontents"/>
      </w:pPr>
      <w:bookmarkStart w:id="77" w:name="_Toc507509136"/>
      <w:r w:rsidRPr="004F2B88">
        <w:t xml:space="preserve">Nelson, H. D., </w:t>
      </w:r>
      <w:proofErr w:type="spellStart"/>
      <w:r w:rsidRPr="004F2B88">
        <w:t>Zakher</w:t>
      </w:r>
      <w:proofErr w:type="spellEnd"/>
      <w:r w:rsidRPr="004F2B88">
        <w:t xml:space="preserve">, B., Cantor, A., Fu, R., Griffin, J., O'Meara, E. S., . . . </w:t>
      </w:r>
      <w:proofErr w:type="spellStart"/>
      <w:r w:rsidRPr="004F2B88">
        <w:t>Miglioretti</w:t>
      </w:r>
      <w:proofErr w:type="spellEnd"/>
      <w:r w:rsidRPr="004F2B88">
        <w:t>, D. L. (2012). Risk factors for breast cancer for women aged 40 to 49 years: A systematic review and meta-analysis.</w:t>
      </w:r>
      <w:r w:rsidRPr="004F2B88">
        <w:rPr>
          <w:i/>
        </w:rPr>
        <w:t xml:space="preserve"> Annals of Internal Medicine, 156</w:t>
      </w:r>
      <w:r w:rsidRPr="004F2B88">
        <w:t xml:space="preserve">(9), 635-648. </w:t>
      </w:r>
      <w:hyperlink r:id="rId20" w:history="1">
        <w:r w:rsidR="00C07CE1" w:rsidRPr="00715C60">
          <w:rPr>
            <w:rStyle w:val="Hyperlink"/>
          </w:rPr>
          <w:t>http://www.doi.org/10.7326/0003-4819-156-9-201205010-00006</w:t>
        </w:r>
      </w:hyperlink>
      <w:bookmarkEnd w:id="77"/>
    </w:p>
    <w:p w14:paraId="0AA2A80F" w14:textId="474CF5F2" w:rsidR="00C07CE1" w:rsidRDefault="00C07CE1" w:rsidP="000A7200">
      <w:pPr>
        <w:pStyle w:val="BibliographyIdontwantinthetableofcontents"/>
      </w:pPr>
    </w:p>
    <w:p w14:paraId="6E8431A2" w14:textId="7985F17E" w:rsidR="00C07CE1" w:rsidRDefault="00C07CE1" w:rsidP="00C07CE1">
      <w:pPr>
        <w:pStyle w:val="BibliographyIdontwantinthetableofcontents"/>
      </w:pPr>
      <w:proofErr w:type="spellStart"/>
      <w:r w:rsidRPr="00C07CE1">
        <w:t>O’Broin</w:t>
      </w:r>
      <w:proofErr w:type="spellEnd"/>
      <w:r w:rsidRPr="00C07CE1">
        <w:t xml:space="preserve">, S., &amp; Kelleher, B. (1992). Microbiological assay on </w:t>
      </w:r>
      <w:proofErr w:type="spellStart"/>
      <w:r w:rsidRPr="00C07CE1">
        <w:t>microtitre</w:t>
      </w:r>
      <w:proofErr w:type="spellEnd"/>
      <w:r w:rsidRPr="00C07CE1">
        <w:t xml:space="preserve"> plates of folate in serum and red cells. </w:t>
      </w:r>
      <w:r w:rsidRPr="00C07CE1">
        <w:rPr>
          <w:i/>
          <w:iCs/>
        </w:rPr>
        <w:t>Journal of Clinical Pathology</w:t>
      </w:r>
      <w:r w:rsidRPr="00C07CE1">
        <w:t>, </w:t>
      </w:r>
      <w:r w:rsidRPr="00C07CE1">
        <w:rPr>
          <w:i/>
          <w:iCs/>
        </w:rPr>
        <w:t>45</w:t>
      </w:r>
      <w:r w:rsidRPr="00C07CE1">
        <w:t>(4), 344–347.</w:t>
      </w:r>
    </w:p>
    <w:p w14:paraId="256AFF76" w14:textId="77777777" w:rsidR="004A1956" w:rsidRPr="004F2B88" w:rsidRDefault="004A1956" w:rsidP="000A7200">
      <w:pPr>
        <w:pStyle w:val="BibliographyIdontwantinthetableofcontents"/>
      </w:pPr>
    </w:p>
    <w:p w14:paraId="5CB24D1B" w14:textId="5A8C04CA" w:rsidR="000A7200" w:rsidRDefault="000A7200" w:rsidP="000A7200">
      <w:pPr>
        <w:pStyle w:val="BibliographyIdontwantinthetableofcontents"/>
      </w:pPr>
      <w:bookmarkStart w:id="78" w:name="_Toc507509138"/>
      <w:r w:rsidRPr="004F2B88">
        <w:t xml:space="preserve">Park, S. Y., </w:t>
      </w:r>
      <w:proofErr w:type="spellStart"/>
      <w:r w:rsidRPr="004F2B88">
        <w:t>Seo</w:t>
      </w:r>
      <w:proofErr w:type="spellEnd"/>
      <w:r w:rsidRPr="004F2B88">
        <w:t xml:space="preserve">, A. N., Jung, H. Y., </w:t>
      </w:r>
      <w:proofErr w:type="spellStart"/>
      <w:r w:rsidRPr="004F2B88">
        <w:t>Gwak</w:t>
      </w:r>
      <w:proofErr w:type="spellEnd"/>
      <w:r w:rsidRPr="004F2B88">
        <w:t xml:space="preserve">, J. M., Jung, N., Cho, N. Y., &amp; Kang, G. H. (2014a). </w:t>
      </w:r>
      <w:proofErr w:type="spellStart"/>
      <w:r w:rsidRPr="004F2B88">
        <w:t>Alu</w:t>
      </w:r>
      <w:proofErr w:type="spellEnd"/>
      <w:r w:rsidRPr="004F2B88">
        <w:t xml:space="preserve"> and LINE-1 hypomethylation is associated with HER2 enriched subtype of breast cancer. </w:t>
      </w:r>
      <w:proofErr w:type="spellStart"/>
      <w:r w:rsidRPr="004F2B88">
        <w:rPr>
          <w:i/>
        </w:rPr>
        <w:t>PloS</w:t>
      </w:r>
      <w:proofErr w:type="spellEnd"/>
      <w:r w:rsidRPr="004F2B88">
        <w:rPr>
          <w:i/>
        </w:rPr>
        <w:t xml:space="preserve"> One,</w:t>
      </w:r>
      <w:r w:rsidRPr="004F2B88">
        <w:t xml:space="preserve"> 9(6) </w:t>
      </w:r>
      <w:r w:rsidR="00550545">
        <w:t>http://www.doi.org/</w:t>
      </w:r>
      <w:r w:rsidRPr="004F2B88">
        <w:t xml:space="preserve">10.1371/journal.pone.0100429 </w:t>
      </w:r>
    </w:p>
    <w:p w14:paraId="25F07AE5" w14:textId="77777777" w:rsidR="004A1956" w:rsidRPr="004F2B88" w:rsidRDefault="004A1956" w:rsidP="000A7200">
      <w:pPr>
        <w:pStyle w:val="BibliographyIdontwantinthetableofcontents"/>
      </w:pPr>
    </w:p>
    <w:p w14:paraId="3F44E312" w14:textId="54A13357" w:rsidR="000A7200" w:rsidRDefault="000A7200" w:rsidP="000A7200">
      <w:pPr>
        <w:pStyle w:val="BibliographyIdontwantinthetableofcontents"/>
      </w:pPr>
      <w:r w:rsidRPr="004F2B88">
        <w:t xml:space="preserve">Park, Y. M., White, A. J., Nichols, H. B., O'Brien, K. M., Weinberg, C. R., &amp; Sandler, D. P. (2017). The association between metabolic health, obesity phenotype and the risk of breast cancer. </w:t>
      </w:r>
      <w:r w:rsidRPr="004F2B88">
        <w:rPr>
          <w:i/>
        </w:rPr>
        <w:t>International Journal of Cancer,</w:t>
      </w:r>
      <w:r w:rsidRPr="004F2B88">
        <w:t xml:space="preserve"> 140(12), 2657-2666. </w:t>
      </w:r>
      <w:r w:rsidR="00550545">
        <w:t>http://www.doi.org/</w:t>
      </w:r>
      <w:r w:rsidRPr="004F2B88">
        <w:t>10.1002/ijc.30684</w:t>
      </w:r>
    </w:p>
    <w:p w14:paraId="1C98CF7C" w14:textId="77777777" w:rsidR="004A1956" w:rsidRPr="004F2B88" w:rsidRDefault="004A1956" w:rsidP="000A7200">
      <w:pPr>
        <w:pStyle w:val="BibliographyIdontwantinthetableofcontents"/>
      </w:pPr>
    </w:p>
    <w:p w14:paraId="50C7F058" w14:textId="51467CDB" w:rsidR="000A7200" w:rsidRDefault="000A7200" w:rsidP="000A7200">
      <w:pPr>
        <w:pStyle w:val="BibliographyIdontwantinthetableofcontents"/>
      </w:pPr>
      <w:proofErr w:type="spellStart"/>
      <w:r w:rsidRPr="004F2B88">
        <w:t>Peplonska</w:t>
      </w:r>
      <w:proofErr w:type="spellEnd"/>
      <w:r w:rsidRPr="004F2B88">
        <w:t xml:space="preserve">, B., </w:t>
      </w:r>
      <w:proofErr w:type="spellStart"/>
      <w:r w:rsidRPr="004F2B88">
        <w:t>Bukowska</w:t>
      </w:r>
      <w:proofErr w:type="spellEnd"/>
      <w:r w:rsidRPr="004F2B88">
        <w:t xml:space="preserve">, A., </w:t>
      </w:r>
      <w:proofErr w:type="spellStart"/>
      <w:r w:rsidRPr="004F2B88">
        <w:t>Wieczorek</w:t>
      </w:r>
      <w:proofErr w:type="spellEnd"/>
      <w:r w:rsidRPr="004F2B88">
        <w:t xml:space="preserve">, E., </w:t>
      </w:r>
      <w:proofErr w:type="spellStart"/>
      <w:r w:rsidRPr="004F2B88">
        <w:t>Przybek</w:t>
      </w:r>
      <w:proofErr w:type="spellEnd"/>
      <w:r w:rsidRPr="004F2B88">
        <w:t xml:space="preserve">, M., </w:t>
      </w:r>
      <w:proofErr w:type="spellStart"/>
      <w:r w:rsidRPr="004F2B88">
        <w:t>Zienolddiny</w:t>
      </w:r>
      <w:proofErr w:type="spellEnd"/>
      <w:r w:rsidRPr="004F2B88">
        <w:t xml:space="preserve">, S., &amp; </w:t>
      </w:r>
      <w:proofErr w:type="spellStart"/>
      <w:r w:rsidRPr="004F2B88">
        <w:t>Reszka</w:t>
      </w:r>
      <w:proofErr w:type="spellEnd"/>
      <w:r w:rsidRPr="004F2B88">
        <w:t xml:space="preserve">, E. (2017b). Rotating night work, lifestyle factors, obesity and promoter methylation in BRCA1 and BRCA2 genes among nurses and midwives. </w:t>
      </w:r>
      <w:proofErr w:type="spellStart"/>
      <w:r w:rsidRPr="004F2B88">
        <w:rPr>
          <w:i/>
        </w:rPr>
        <w:t>PloS</w:t>
      </w:r>
      <w:proofErr w:type="spellEnd"/>
      <w:r w:rsidRPr="004F2B88">
        <w:rPr>
          <w:i/>
        </w:rPr>
        <w:t xml:space="preserve"> One</w:t>
      </w:r>
      <w:r w:rsidRPr="004F2B88">
        <w:t xml:space="preserve">, 12(6), e0178792. </w:t>
      </w:r>
      <w:r w:rsidR="00550545">
        <w:t>http://www.doi.org/</w:t>
      </w:r>
      <w:r w:rsidRPr="004F2B88">
        <w:t xml:space="preserve">10.1371/journal.pone.0178792 </w:t>
      </w:r>
    </w:p>
    <w:p w14:paraId="54EC5C72" w14:textId="77777777" w:rsidR="004A1956" w:rsidRPr="004F2B88" w:rsidRDefault="004A1956" w:rsidP="000A7200">
      <w:pPr>
        <w:pStyle w:val="BibliographyIdontwantinthetableofcontents"/>
      </w:pPr>
    </w:p>
    <w:p w14:paraId="215C52C3" w14:textId="2168852D" w:rsidR="000A7200" w:rsidRDefault="000A7200" w:rsidP="000A7200">
      <w:pPr>
        <w:pStyle w:val="BibliographyIdontwantinthetableofcontents"/>
      </w:pPr>
      <w:r w:rsidRPr="004F2B88">
        <w:t xml:space="preserve">Price, R. J., </w:t>
      </w:r>
      <w:proofErr w:type="spellStart"/>
      <w:r w:rsidRPr="004F2B88">
        <w:t>Lillycrop</w:t>
      </w:r>
      <w:proofErr w:type="spellEnd"/>
      <w:r w:rsidRPr="004F2B88">
        <w:t xml:space="preserve">, K. A., &amp; </w:t>
      </w:r>
      <w:proofErr w:type="spellStart"/>
      <w:r w:rsidRPr="004F2B88">
        <w:t>Burdge</w:t>
      </w:r>
      <w:proofErr w:type="spellEnd"/>
      <w:r w:rsidRPr="004F2B88">
        <w:t>, G. C. (2015). Folic acid supplementation in vitro induces cell type-specific changes in BRCA1 and BRCA 2 mRNA expression but does not alter DNA methylation of their promoters or DNA repair.</w:t>
      </w:r>
      <w:r w:rsidRPr="004F2B88">
        <w:rPr>
          <w:i/>
        </w:rPr>
        <w:t xml:space="preserve"> Nutrition </w:t>
      </w:r>
      <w:r w:rsidRPr="004F2B88">
        <w:rPr>
          <w:i/>
        </w:rPr>
        <w:lastRenderedPageBreak/>
        <w:t>Research (New York, N.Y.), 35</w:t>
      </w:r>
      <w:r w:rsidRPr="004F2B88">
        <w:t xml:space="preserve">(6), 532-544. </w:t>
      </w:r>
      <w:r w:rsidR="00550545">
        <w:t>http://www.doi.org/</w:t>
      </w:r>
      <w:r w:rsidRPr="004F2B88">
        <w:t>10.1016/j.nutres.2015.04.009</w:t>
      </w:r>
      <w:bookmarkEnd w:id="78"/>
    </w:p>
    <w:p w14:paraId="3C182E6F" w14:textId="77777777" w:rsidR="004A1956" w:rsidRPr="004F2B88" w:rsidRDefault="004A1956" w:rsidP="000A7200">
      <w:pPr>
        <w:pStyle w:val="BibliographyIdontwantinthetableofcontents"/>
      </w:pPr>
    </w:p>
    <w:p w14:paraId="6DDFC0CE" w14:textId="2C2307C3" w:rsidR="000A7200" w:rsidRDefault="000A7200" w:rsidP="000A7200">
      <w:pPr>
        <w:pStyle w:val="BibliographyIdontwantinthetableofcontents"/>
      </w:pPr>
      <w:r w:rsidRPr="004F2B88">
        <w:t xml:space="preserve">Price, R. J., </w:t>
      </w:r>
      <w:proofErr w:type="spellStart"/>
      <w:r w:rsidRPr="004F2B88">
        <w:t>Lillycrop</w:t>
      </w:r>
      <w:proofErr w:type="spellEnd"/>
      <w:r w:rsidRPr="004F2B88">
        <w:t xml:space="preserve">, K. A., &amp; </w:t>
      </w:r>
      <w:proofErr w:type="spellStart"/>
      <w:r w:rsidRPr="004F2B88">
        <w:t>Burdge</w:t>
      </w:r>
      <w:proofErr w:type="spellEnd"/>
      <w:r w:rsidRPr="004F2B88">
        <w:t xml:space="preserve">, G. C. (2016). Folic acid induces cell type-specific changes in the transcriptome of breast cancer cell lines: a proof-of-concept study. </w:t>
      </w:r>
      <w:r w:rsidRPr="004F2B88">
        <w:rPr>
          <w:i/>
        </w:rPr>
        <w:t>Journal of Nutritional Science</w:t>
      </w:r>
      <w:r w:rsidRPr="004F2B88">
        <w:t xml:space="preserve">, 5, e17. </w:t>
      </w:r>
      <w:r w:rsidR="004A1956" w:rsidRPr="004A1956">
        <w:t>http://</w:t>
      </w:r>
      <w:r w:rsidR="00E1474A">
        <w:t>www.</w:t>
      </w:r>
      <w:r w:rsidR="004A1956" w:rsidRPr="004A1956">
        <w:t>doi.org/10.1017/jns.2016.8</w:t>
      </w:r>
    </w:p>
    <w:p w14:paraId="3187B6E5" w14:textId="77777777" w:rsidR="004A1956" w:rsidRPr="004F2B88" w:rsidRDefault="004A1956" w:rsidP="000A7200">
      <w:pPr>
        <w:pStyle w:val="BibliographyIdontwantinthetableofcontents"/>
      </w:pPr>
    </w:p>
    <w:p w14:paraId="3BF480FE" w14:textId="5DA772B1" w:rsidR="000A7200" w:rsidRDefault="000A7200" w:rsidP="000A7200">
      <w:pPr>
        <w:pStyle w:val="BibliographyIdontwantinthetableofcontents"/>
      </w:pPr>
      <w:bookmarkStart w:id="79" w:name="_Toc507509139"/>
      <w:proofErr w:type="spellStart"/>
      <w:r w:rsidRPr="004F2B88">
        <w:t>Renehan</w:t>
      </w:r>
      <w:proofErr w:type="spellEnd"/>
      <w:r w:rsidRPr="004F2B88">
        <w:t xml:space="preserve">, A. G., Tyson, M., Egger, M., Heller, R. F., &amp; </w:t>
      </w:r>
      <w:proofErr w:type="spellStart"/>
      <w:r w:rsidRPr="004F2B88">
        <w:t>Zwahlen</w:t>
      </w:r>
      <w:proofErr w:type="spellEnd"/>
      <w:r w:rsidRPr="004F2B88">
        <w:t>, M. (2008). Body-mass index and incidence of cancer: A systematic review and meta-analysis of prospective observational studies.</w:t>
      </w:r>
      <w:r w:rsidRPr="004F2B88">
        <w:rPr>
          <w:i/>
        </w:rPr>
        <w:t xml:space="preserve"> Lancet (London, England), 371</w:t>
      </w:r>
      <w:r w:rsidRPr="004F2B88">
        <w:t xml:space="preserve">(9612), 569-578. </w:t>
      </w:r>
      <w:r w:rsidR="00550545">
        <w:t>http://www.doi.org/</w:t>
      </w:r>
      <w:r w:rsidRPr="004F2B88">
        <w:t>10.1016/S0140-6736(08)60269-X</w:t>
      </w:r>
      <w:bookmarkStart w:id="80" w:name="_Toc507509140"/>
      <w:bookmarkEnd w:id="79"/>
    </w:p>
    <w:p w14:paraId="13D7B8D1" w14:textId="77777777" w:rsidR="004A1956" w:rsidRDefault="004A1956" w:rsidP="000A7200">
      <w:pPr>
        <w:pStyle w:val="BibliographyIdontwantinthetableofcontents"/>
      </w:pPr>
    </w:p>
    <w:p w14:paraId="2E056851" w14:textId="7D877093" w:rsidR="000A7200" w:rsidRDefault="000A7200" w:rsidP="000A7200">
      <w:pPr>
        <w:pStyle w:val="BibliographyIdontwantinthetableofcontents"/>
      </w:pPr>
      <w:r>
        <w:t>Rohan, T. E.,</w:t>
      </w:r>
      <w:r w:rsidRPr="00CA6FC2">
        <w:t xml:space="preserve"> </w:t>
      </w:r>
      <w:r>
        <w:t>Jain M. G.</w:t>
      </w:r>
      <w:r w:rsidRPr="00CA6FC2">
        <w:t>, Howe,</w:t>
      </w:r>
      <w:r>
        <w:t xml:space="preserve"> G. R. Miller, A. B.,</w:t>
      </w:r>
      <w:r w:rsidRPr="00CA6FC2">
        <w:t xml:space="preserve"> </w:t>
      </w:r>
      <w:r>
        <w:t xml:space="preserve">(2000). </w:t>
      </w:r>
      <w:r w:rsidRPr="00CA6FC2">
        <w:t>Dietary Folate Consumption and Breast Cancer Risk, JN</w:t>
      </w:r>
      <w:r w:rsidR="00AC6B0F">
        <w:t>CI,</w:t>
      </w:r>
      <w:r w:rsidRPr="00CA6FC2">
        <w:t xml:space="preserve"> </w:t>
      </w:r>
      <w:r w:rsidRPr="00CA6FC2">
        <w:rPr>
          <w:i/>
        </w:rPr>
        <w:t>Journal of the National Cancer Institute</w:t>
      </w:r>
      <w:r w:rsidRPr="00CA6FC2">
        <w:t xml:space="preserve">, </w:t>
      </w:r>
      <w:r>
        <w:t>92 (</w:t>
      </w:r>
      <w:r w:rsidRPr="00CA6FC2">
        <w:t>3</w:t>
      </w:r>
      <w:r>
        <w:t xml:space="preserve">), </w:t>
      </w:r>
      <w:r w:rsidRPr="00CA6FC2">
        <w:t xml:space="preserve">266–269, </w:t>
      </w:r>
      <w:r w:rsidR="00E1474A">
        <w:t>http</w:t>
      </w:r>
      <w:r w:rsidR="004A1956" w:rsidRPr="004A1956">
        <w:t>://</w:t>
      </w:r>
      <w:r w:rsidR="00E1474A">
        <w:t>www.</w:t>
      </w:r>
      <w:r w:rsidR="004A1956" w:rsidRPr="004A1956">
        <w:t>doi.org/10.1093/jnci/92.3.266</w:t>
      </w:r>
    </w:p>
    <w:p w14:paraId="005A0499" w14:textId="77777777" w:rsidR="004A1956" w:rsidRPr="004F2B88" w:rsidRDefault="004A1956" w:rsidP="000A7200">
      <w:pPr>
        <w:pStyle w:val="BibliographyIdontwantinthetableofcontents"/>
      </w:pPr>
    </w:p>
    <w:p w14:paraId="207FAF50" w14:textId="0681D5E9" w:rsidR="000A7200" w:rsidRDefault="000A7200" w:rsidP="000A7200">
      <w:pPr>
        <w:pStyle w:val="BibliographyIdontwantinthetableofcontents"/>
      </w:pPr>
      <w:r w:rsidRPr="004F2B88">
        <w:t xml:space="preserve">Rossi, E., Hung, J., Beilby, J. P., </w:t>
      </w:r>
      <w:proofErr w:type="spellStart"/>
      <w:r w:rsidRPr="004F2B88">
        <w:t>Knuiman</w:t>
      </w:r>
      <w:proofErr w:type="spellEnd"/>
      <w:r w:rsidRPr="004F2B88">
        <w:t xml:space="preserve">, M. W., </w:t>
      </w:r>
      <w:proofErr w:type="spellStart"/>
      <w:r w:rsidRPr="004F2B88">
        <w:t>Divitini</w:t>
      </w:r>
      <w:proofErr w:type="spellEnd"/>
      <w:r w:rsidRPr="004F2B88">
        <w:t xml:space="preserve">, M. L., &amp; Bartholomew, H. (2006). Folate levels and cancer morbidity and mortality: Prospective cohort study from </w:t>
      </w:r>
      <w:proofErr w:type="spellStart"/>
      <w:r w:rsidRPr="004F2B88">
        <w:t>busselton</w:t>
      </w:r>
      <w:proofErr w:type="spellEnd"/>
      <w:r w:rsidRPr="004F2B88">
        <w:t xml:space="preserve">, western </w:t>
      </w:r>
      <w:proofErr w:type="spellStart"/>
      <w:r w:rsidRPr="004F2B88">
        <w:t>australia</w:t>
      </w:r>
      <w:proofErr w:type="spellEnd"/>
      <w:r w:rsidRPr="004F2B88">
        <w:t xml:space="preserve">. </w:t>
      </w:r>
      <w:r w:rsidRPr="004F2B88">
        <w:rPr>
          <w:i/>
        </w:rPr>
        <w:t>Annals of Epidemiology,</w:t>
      </w:r>
      <w:r w:rsidRPr="004F2B88">
        <w:t xml:space="preserve"> 16(3), 206-212. </w:t>
      </w:r>
      <w:r w:rsidR="00550545">
        <w:t>http://www.doi.org/</w:t>
      </w:r>
      <w:r w:rsidRPr="004F2B88">
        <w:t>10.1016/j.annepidem.2005.03.010</w:t>
      </w:r>
    </w:p>
    <w:p w14:paraId="319F1AAB" w14:textId="77777777" w:rsidR="004A1956" w:rsidRPr="004F2B88" w:rsidRDefault="004A1956" w:rsidP="000A7200">
      <w:pPr>
        <w:pStyle w:val="BibliographyIdontwantinthetableofcontents"/>
      </w:pPr>
    </w:p>
    <w:p w14:paraId="5D755944" w14:textId="3FCEE67E" w:rsidR="000A7200" w:rsidRDefault="000A7200" w:rsidP="000A7200">
      <w:pPr>
        <w:pStyle w:val="BibliographyIdontwantinthetableofcontents"/>
      </w:pPr>
      <w:proofErr w:type="spellStart"/>
      <w:r w:rsidRPr="004F2B88">
        <w:t>Salminen</w:t>
      </w:r>
      <w:proofErr w:type="spellEnd"/>
      <w:r w:rsidRPr="004F2B88">
        <w:t xml:space="preserve">, E. K., </w:t>
      </w:r>
      <w:proofErr w:type="spellStart"/>
      <w:r w:rsidRPr="004F2B88">
        <w:t>Lagström</w:t>
      </w:r>
      <w:proofErr w:type="spellEnd"/>
      <w:r w:rsidRPr="004F2B88">
        <w:t xml:space="preserve">, H. K., </w:t>
      </w:r>
      <w:proofErr w:type="spellStart"/>
      <w:r w:rsidRPr="004F2B88">
        <w:t>Heikkilä</w:t>
      </w:r>
      <w:proofErr w:type="spellEnd"/>
      <w:r w:rsidRPr="004F2B88">
        <w:t xml:space="preserve">, S., &amp; </w:t>
      </w:r>
      <w:proofErr w:type="spellStart"/>
      <w:r w:rsidRPr="004F2B88">
        <w:t>Salminen</w:t>
      </w:r>
      <w:proofErr w:type="spellEnd"/>
      <w:r w:rsidRPr="004F2B88">
        <w:t xml:space="preserve">, S. (2000). Does breast cancer change patients' dietary habits? </w:t>
      </w:r>
      <w:r w:rsidRPr="004F2B88">
        <w:rPr>
          <w:i/>
        </w:rPr>
        <w:t>European Journal of Clinical Nutrition</w:t>
      </w:r>
      <w:r w:rsidRPr="004F2B88">
        <w:t>, 54(11), 844-848.</w:t>
      </w:r>
    </w:p>
    <w:p w14:paraId="7F6D377A" w14:textId="77777777" w:rsidR="004A1956" w:rsidRPr="004F2B88" w:rsidRDefault="004A1956" w:rsidP="000A7200">
      <w:pPr>
        <w:pStyle w:val="BibliographyIdontwantinthetableofcontents"/>
      </w:pPr>
    </w:p>
    <w:p w14:paraId="79EE714C" w14:textId="6BDB32C3" w:rsidR="000A7200" w:rsidRDefault="000A7200" w:rsidP="000A7200">
      <w:pPr>
        <w:pStyle w:val="BibliographyIdontwantinthetableofcontents"/>
      </w:pPr>
      <w:r w:rsidRPr="004F2B88">
        <w:t>Sang-</w:t>
      </w:r>
      <w:proofErr w:type="spellStart"/>
      <w:r w:rsidRPr="004F2B88">
        <w:t>Woon</w:t>
      </w:r>
      <w:proofErr w:type="spellEnd"/>
      <w:r w:rsidRPr="004F2B88">
        <w:t xml:space="preserve"> Choi, &amp; </w:t>
      </w:r>
      <w:proofErr w:type="spellStart"/>
      <w:r w:rsidRPr="004F2B88">
        <w:t>Friso</w:t>
      </w:r>
      <w:proofErr w:type="spellEnd"/>
      <w:r w:rsidRPr="004F2B88">
        <w:t>, S. (2010). Epigenetics: A new bridge between nutrition and health.</w:t>
      </w:r>
      <w:r w:rsidRPr="004F2B88">
        <w:rPr>
          <w:i/>
        </w:rPr>
        <w:t xml:space="preserve"> Advances in Nutrition: An International Review Journal; Epigenetics: A New Bridge between Nutrition and Health, 1</w:t>
      </w:r>
      <w:r w:rsidRPr="004F2B88">
        <w:t xml:space="preserve">(1), 8-16. </w:t>
      </w:r>
      <w:r w:rsidR="00550545">
        <w:t>http://www.doi.org/</w:t>
      </w:r>
      <w:r w:rsidRPr="004F2B88">
        <w:t>10.3945/an.110.1004</w:t>
      </w:r>
      <w:bookmarkEnd w:id="80"/>
    </w:p>
    <w:p w14:paraId="508F289A" w14:textId="77777777" w:rsidR="004A1956" w:rsidRPr="004F2B88" w:rsidRDefault="004A1956" w:rsidP="000A7200">
      <w:pPr>
        <w:pStyle w:val="BibliographyIdontwantinthetableofcontents"/>
      </w:pPr>
    </w:p>
    <w:p w14:paraId="4B7D6A84" w14:textId="3861D215" w:rsidR="000A7200" w:rsidRDefault="000A7200" w:rsidP="000A7200">
      <w:pPr>
        <w:pStyle w:val="BibliographyIdontwantinthetableofcontents"/>
      </w:pPr>
      <w:bookmarkStart w:id="81" w:name="_Toc507509141"/>
      <w:r w:rsidRPr="004F2B88">
        <w:t xml:space="preserve">Sellers, T. A., Alberts, S. R., </w:t>
      </w:r>
      <w:proofErr w:type="spellStart"/>
      <w:r w:rsidRPr="004F2B88">
        <w:t>Vierkant</w:t>
      </w:r>
      <w:proofErr w:type="spellEnd"/>
      <w:r w:rsidRPr="004F2B88">
        <w:t xml:space="preserve">, R. A., </w:t>
      </w:r>
      <w:proofErr w:type="spellStart"/>
      <w:r w:rsidRPr="004F2B88">
        <w:t>Grabrick</w:t>
      </w:r>
      <w:proofErr w:type="spellEnd"/>
      <w:r w:rsidRPr="004F2B88">
        <w:t xml:space="preserve">, D. M., </w:t>
      </w:r>
      <w:proofErr w:type="spellStart"/>
      <w:r w:rsidRPr="004F2B88">
        <w:t>Cerhan</w:t>
      </w:r>
      <w:proofErr w:type="spellEnd"/>
      <w:r w:rsidRPr="004F2B88">
        <w:t xml:space="preserve">, J. R., Vachon, C. M., . . . Potter, J. D. (2002). High-folate diets and breast cancer survival in a prospective cohort study. </w:t>
      </w:r>
      <w:r w:rsidRPr="004F2B88">
        <w:rPr>
          <w:i/>
        </w:rPr>
        <w:t>Nutrition and Cancer</w:t>
      </w:r>
      <w:r w:rsidRPr="004F2B88">
        <w:t xml:space="preserve">, 44(2), 139-144. </w:t>
      </w:r>
      <w:r w:rsidR="00550545">
        <w:t>http://www.doi.org/</w:t>
      </w:r>
      <w:r w:rsidRPr="004F2B88">
        <w:t>10.1207/S15327914NC4402_03</w:t>
      </w:r>
    </w:p>
    <w:p w14:paraId="173FFB94" w14:textId="77777777" w:rsidR="004A1956" w:rsidRPr="004F2B88" w:rsidRDefault="004A1956" w:rsidP="000A7200">
      <w:pPr>
        <w:pStyle w:val="BibliographyIdontwantinthetableofcontents"/>
      </w:pPr>
    </w:p>
    <w:p w14:paraId="256C382D" w14:textId="7A80B3AF" w:rsidR="000A7200" w:rsidRDefault="000A7200" w:rsidP="000A7200">
      <w:pPr>
        <w:pStyle w:val="BibliographyIdontwantinthetableofcontents"/>
      </w:pPr>
      <w:proofErr w:type="spellStart"/>
      <w:r w:rsidRPr="004F2B88">
        <w:t>Selhub</w:t>
      </w:r>
      <w:proofErr w:type="spellEnd"/>
      <w:r w:rsidRPr="004F2B88">
        <w:t>, J., &amp; Rosenberg, I. H. (2016). Excessive folic acid intake and relation to adverse health outcome.</w:t>
      </w:r>
      <w:r w:rsidRPr="004F2B88">
        <w:rPr>
          <w:i/>
        </w:rPr>
        <w:t xml:space="preserve"> </w:t>
      </w:r>
      <w:proofErr w:type="spellStart"/>
      <w:r w:rsidRPr="004F2B88">
        <w:rPr>
          <w:i/>
        </w:rPr>
        <w:t>Biochimie</w:t>
      </w:r>
      <w:proofErr w:type="spellEnd"/>
      <w:r w:rsidRPr="004F2B88">
        <w:rPr>
          <w:i/>
        </w:rPr>
        <w:t>, 126</w:t>
      </w:r>
      <w:r w:rsidRPr="004F2B88">
        <w:t xml:space="preserve">, 71-78. </w:t>
      </w:r>
      <w:r w:rsidR="00550545">
        <w:t>http://www.doi.org/</w:t>
      </w:r>
      <w:r w:rsidRPr="004F2B88">
        <w:t>10.1016/j.biochi.2016.04.010</w:t>
      </w:r>
      <w:bookmarkEnd w:id="81"/>
    </w:p>
    <w:p w14:paraId="38E8334A" w14:textId="77777777" w:rsidR="004A1956" w:rsidRPr="004F2B88" w:rsidRDefault="004A1956" w:rsidP="000A7200">
      <w:pPr>
        <w:pStyle w:val="BibliographyIdontwantinthetableofcontents"/>
      </w:pPr>
    </w:p>
    <w:p w14:paraId="43B3D13E" w14:textId="4A607CD5" w:rsidR="000A7200" w:rsidRDefault="000A7200" w:rsidP="000A7200">
      <w:pPr>
        <w:pStyle w:val="BibliographyIdontwantinthetableofcontents"/>
      </w:pPr>
      <w:bookmarkStart w:id="82" w:name="_Toc507509142"/>
      <w:r w:rsidRPr="004F2B88">
        <w:t xml:space="preserve">Siegel, R. L., Miller, K. D., &amp; </w:t>
      </w:r>
      <w:proofErr w:type="spellStart"/>
      <w:r w:rsidRPr="004F2B88">
        <w:t>Jemal</w:t>
      </w:r>
      <w:proofErr w:type="spellEnd"/>
      <w:r w:rsidRPr="004F2B88">
        <w:t>, A. (2017). Cancer statistics, 2017.</w:t>
      </w:r>
      <w:r w:rsidRPr="004F2B88">
        <w:rPr>
          <w:i/>
        </w:rPr>
        <w:t xml:space="preserve"> CA: A Cancer Journal for Clinicians, 67</w:t>
      </w:r>
      <w:r w:rsidRPr="004F2B88">
        <w:t xml:space="preserve">(1), 7-30. </w:t>
      </w:r>
      <w:r w:rsidR="00550545">
        <w:t>http://www.doi.org/</w:t>
      </w:r>
      <w:r w:rsidRPr="004F2B88">
        <w:t>10.3322/caac.21387</w:t>
      </w:r>
      <w:bookmarkEnd w:id="82"/>
    </w:p>
    <w:p w14:paraId="25D9EF44" w14:textId="77777777" w:rsidR="004A1956" w:rsidRPr="004F2B88" w:rsidRDefault="004A1956" w:rsidP="000A7200">
      <w:pPr>
        <w:pStyle w:val="BibliographyIdontwantinthetableofcontents"/>
      </w:pPr>
    </w:p>
    <w:p w14:paraId="646F0885" w14:textId="5AA4F798" w:rsidR="000A7200" w:rsidRDefault="000A7200" w:rsidP="000A7200">
      <w:pPr>
        <w:pStyle w:val="BibliographyIdontwantinthetableofcontents"/>
      </w:pPr>
      <w:bookmarkStart w:id="83" w:name="_Toc507509143"/>
      <w:proofErr w:type="spellStart"/>
      <w:r w:rsidRPr="004F2B88">
        <w:t>Silvera</w:t>
      </w:r>
      <w:proofErr w:type="spellEnd"/>
      <w:r w:rsidRPr="004F2B88">
        <w:t>, S. A. N., Jain, M., Howe, G. R., Miller, A. B., &amp; Rohan, T. E. (2006). Energy balance and breast cancer risk: A prospective cohort study.</w:t>
      </w:r>
      <w:r w:rsidRPr="004F2B88">
        <w:rPr>
          <w:i/>
        </w:rPr>
        <w:t xml:space="preserve"> Breast Cancer Research and Treatment, 97</w:t>
      </w:r>
      <w:r w:rsidRPr="004F2B88">
        <w:t xml:space="preserve">(1), 97-106. </w:t>
      </w:r>
      <w:r w:rsidR="00E1474A">
        <w:t>http://</w:t>
      </w:r>
      <w:r w:rsidR="00550545">
        <w:t>www.doi.org/</w:t>
      </w:r>
      <w:r w:rsidRPr="004F2B88">
        <w:t>10.1007/s10549-005-9098-3</w:t>
      </w:r>
      <w:bookmarkEnd w:id="83"/>
    </w:p>
    <w:p w14:paraId="55550536" w14:textId="77777777" w:rsidR="004A1956" w:rsidRPr="004F2B88" w:rsidRDefault="004A1956" w:rsidP="000A7200">
      <w:pPr>
        <w:pStyle w:val="BibliographyIdontwantinthetableofcontents"/>
      </w:pPr>
    </w:p>
    <w:p w14:paraId="12A6BDB8" w14:textId="7D7F9749" w:rsidR="000A7200" w:rsidRDefault="000A7200" w:rsidP="000A7200">
      <w:pPr>
        <w:pStyle w:val="BibliographyIdontwantinthetableofcontents"/>
      </w:pPr>
      <w:bookmarkStart w:id="84" w:name="_Toc507509144"/>
      <w:r w:rsidRPr="004F2B88">
        <w:t xml:space="preserve">Suzuki, R., Iwasaki, M., Hara, A., Inoue, M., </w:t>
      </w:r>
      <w:proofErr w:type="spellStart"/>
      <w:r w:rsidRPr="004F2B88">
        <w:t>Sasazuki</w:t>
      </w:r>
      <w:proofErr w:type="spellEnd"/>
      <w:r w:rsidRPr="004F2B88">
        <w:t xml:space="preserve">, S., Sawada, N., . . . </w:t>
      </w:r>
      <w:proofErr w:type="spellStart"/>
      <w:r w:rsidRPr="004F2B88">
        <w:t>Tsugane</w:t>
      </w:r>
      <w:proofErr w:type="spellEnd"/>
      <w:r w:rsidRPr="004F2B88">
        <w:t>, S. (2013). Fruit and vegetable intake and breast cancer risk defined by estrogen and progesterone receptor status: The japan public health center-based prospective study.</w:t>
      </w:r>
      <w:r w:rsidRPr="004F2B88">
        <w:rPr>
          <w:i/>
        </w:rPr>
        <w:t xml:space="preserve"> Cancer Causes &amp; Control: CCC, 24</w:t>
      </w:r>
      <w:r w:rsidRPr="004F2B88">
        <w:t xml:space="preserve">(12), 2117-2128. </w:t>
      </w:r>
      <w:r w:rsidR="00550545">
        <w:t>http://www.doi.org/</w:t>
      </w:r>
      <w:r w:rsidRPr="004F2B88">
        <w:t>10.1007/s10552-013-0289-7</w:t>
      </w:r>
      <w:bookmarkEnd w:id="84"/>
    </w:p>
    <w:p w14:paraId="685609E0" w14:textId="77777777" w:rsidR="004A1956" w:rsidRPr="004F2B88" w:rsidRDefault="004A1956" w:rsidP="000A7200">
      <w:pPr>
        <w:pStyle w:val="BibliographyIdontwantinthetableofcontents"/>
      </w:pPr>
    </w:p>
    <w:p w14:paraId="21C908CC" w14:textId="5D844515" w:rsidR="000A7200" w:rsidRDefault="000A7200" w:rsidP="000A7200">
      <w:pPr>
        <w:pStyle w:val="BibliographyIdontwantinthetableofcontents"/>
      </w:pPr>
      <w:bookmarkStart w:id="85" w:name="_Toc507509145"/>
      <w:r w:rsidRPr="004F2B88">
        <w:t xml:space="preserve">Tamimi, R. M., Spiegelman, D., Smith-Warner, S. A., Wang, M., </w:t>
      </w:r>
      <w:proofErr w:type="spellStart"/>
      <w:r w:rsidRPr="004F2B88">
        <w:t>Pazaris</w:t>
      </w:r>
      <w:proofErr w:type="spellEnd"/>
      <w:r w:rsidRPr="004F2B88">
        <w:t>, M., Willett, W. C., . . . Hunter, D. J. (2016). Population attributable risk of modifiable and nonmodifiable breast cancer risk factors in postmenopausal breast cancer.</w:t>
      </w:r>
      <w:r w:rsidRPr="004F2B88">
        <w:rPr>
          <w:i/>
        </w:rPr>
        <w:t xml:space="preserve"> American Journal of Epidemiology, 184</w:t>
      </w:r>
      <w:r w:rsidRPr="004F2B88">
        <w:t xml:space="preserve">(12), 884-893. </w:t>
      </w:r>
      <w:r w:rsidR="00550545">
        <w:t>http://www.doi.org/</w:t>
      </w:r>
      <w:r w:rsidRPr="004F2B88">
        <w:t>10.1093/aje/kww145</w:t>
      </w:r>
      <w:bookmarkEnd w:id="85"/>
    </w:p>
    <w:p w14:paraId="7FDE6C02" w14:textId="77777777" w:rsidR="004A1956" w:rsidRPr="004F2B88" w:rsidRDefault="004A1956" w:rsidP="000A7200">
      <w:pPr>
        <w:pStyle w:val="BibliographyIdontwantinthetableofcontents"/>
      </w:pPr>
    </w:p>
    <w:p w14:paraId="3863427E" w14:textId="1F5059B2" w:rsidR="000A7200" w:rsidRDefault="000A7200" w:rsidP="000A7200">
      <w:pPr>
        <w:pStyle w:val="BibliographyIdontwantinthetableofcontents"/>
      </w:pPr>
      <w:bookmarkStart w:id="86" w:name="_Toc507509146"/>
      <w:r w:rsidRPr="004F2B88">
        <w:t xml:space="preserve">Tang, Q., Cheng, J., Cao, X., </w:t>
      </w:r>
      <w:proofErr w:type="spellStart"/>
      <w:r w:rsidRPr="004F2B88">
        <w:t>Su</w:t>
      </w:r>
      <w:r w:rsidR="00E51ECB">
        <w:t>rowy</w:t>
      </w:r>
      <w:proofErr w:type="spellEnd"/>
      <w:r w:rsidR="00E51ECB">
        <w:t xml:space="preserve">, H., &amp; </w:t>
      </w:r>
      <w:proofErr w:type="spellStart"/>
      <w:r w:rsidR="00E51ECB">
        <w:t>Burwinkel</w:t>
      </w:r>
      <w:proofErr w:type="spellEnd"/>
      <w:r w:rsidR="00E51ECB">
        <w:t>, B. (2016</w:t>
      </w:r>
      <w:r w:rsidRPr="004F2B88">
        <w:t>). Blood-based DNA methylation as biomarker for breast cancer: A systematic review.</w:t>
      </w:r>
      <w:r w:rsidRPr="004F2B88">
        <w:rPr>
          <w:i/>
        </w:rPr>
        <w:t xml:space="preserve"> Clinical Epigenetics, 8</w:t>
      </w:r>
      <w:r w:rsidRPr="004F2B88">
        <w:t xml:space="preserve">(1) </w:t>
      </w:r>
      <w:r w:rsidR="00550545">
        <w:t>http://www.doi.org/</w:t>
      </w:r>
      <w:r w:rsidRPr="004F2B88">
        <w:t>10.1186/s13148-016-0282-6</w:t>
      </w:r>
      <w:bookmarkEnd w:id="86"/>
    </w:p>
    <w:p w14:paraId="79300FE3" w14:textId="77777777" w:rsidR="004A1956" w:rsidRPr="004F2B88" w:rsidRDefault="004A1956" w:rsidP="000A7200">
      <w:pPr>
        <w:pStyle w:val="BibliographyIdontwantinthetableofcontents"/>
      </w:pPr>
    </w:p>
    <w:p w14:paraId="52FAA115" w14:textId="2CA027B9" w:rsidR="000A7200" w:rsidRDefault="000A7200" w:rsidP="000A7200">
      <w:pPr>
        <w:pStyle w:val="BibliographyIdontwantinthetableofcontents"/>
      </w:pPr>
      <w:bookmarkStart w:id="87" w:name="_Toc507509148"/>
      <w:r w:rsidRPr="004F2B88">
        <w:t xml:space="preserve">Tinker, S. C., </w:t>
      </w:r>
      <w:proofErr w:type="spellStart"/>
      <w:r w:rsidRPr="004F2B88">
        <w:t>Hamner</w:t>
      </w:r>
      <w:proofErr w:type="spellEnd"/>
      <w:r w:rsidRPr="004F2B88">
        <w:t>, H. C., Berry, R. J., Bailey, L. B., &amp; Pfeiffer, C. M. (2012). Does obesity modify the association of supplemental folic acid with folate status among nonpregnant women of childbearing age in the united states?</w:t>
      </w:r>
      <w:r w:rsidRPr="004F2B88">
        <w:rPr>
          <w:i/>
        </w:rPr>
        <w:t xml:space="preserve"> Birth Defects Research. Part A, Clinical and Molecular Teratology, 94</w:t>
      </w:r>
      <w:r w:rsidRPr="004F2B88">
        <w:t xml:space="preserve">(10), 749-755. </w:t>
      </w:r>
      <w:r w:rsidR="00550545">
        <w:t>http://www.doi.org/</w:t>
      </w:r>
      <w:r w:rsidRPr="004F2B88">
        <w:t>10.1002/bdra.23024</w:t>
      </w:r>
      <w:bookmarkEnd w:id="87"/>
    </w:p>
    <w:p w14:paraId="6CEB8A18" w14:textId="77777777" w:rsidR="004A1956" w:rsidRPr="004F2B88" w:rsidRDefault="004A1956" w:rsidP="000A7200">
      <w:pPr>
        <w:pStyle w:val="BibliographyIdontwantinthetableofcontents"/>
      </w:pPr>
    </w:p>
    <w:p w14:paraId="74027D24" w14:textId="640B9F18" w:rsidR="000A7200" w:rsidRDefault="000A7200" w:rsidP="000A7200">
      <w:pPr>
        <w:pStyle w:val="BibliographyIdontwantinthetableofcontents"/>
      </w:pPr>
      <w:r w:rsidRPr="004F2B88">
        <w:t xml:space="preserve">Wang, Y. C., McPherson, K., Marsh, T., </w:t>
      </w:r>
      <w:proofErr w:type="spellStart"/>
      <w:r w:rsidRPr="004F2B88">
        <w:t>Gortmaker</w:t>
      </w:r>
      <w:proofErr w:type="spellEnd"/>
      <w:r w:rsidRPr="004F2B88">
        <w:t xml:space="preserve">, S. L., &amp; Brown, M. (2011). Health and economic burden of the projected obesity trends in the USA and the UK. </w:t>
      </w:r>
      <w:r w:rsidRPr="004F2B88">
        <w:rPr>
          <w:i/>
        </w:rPr>
        <w:t>Lancet</w:t>
      </w:r>
      <w:r w:rsidRPr="004F2B88">
        <w:t xml:space="preserve"> (</w:t>
      </w:r>
      <w:r w:rsidRPr="004F2B88">
        <w:rPr>
          <w:i/>
        </w:rPr>
        <w:t xml:space="preserve">London, England), </w:t>
      </w:r>
      <w:r w:rsidRPr="004F2B88">
        <w:t xml:space="preserve">378(9793), 815-825. </w:t>
      </w:r>
      <w:r w:rsidR="00550545">
        <w:t>http://www.doi.org/</w:t>
      </w:r>
      <w:r w:rsidRPr="004F2B88">
        <w:t xml:space="preserve">10.1016/S0140-6736(11)60814-3 </w:t>
      </w:r>
    </w:p>
    <w:p w14:paraId="32C21748" w14:textId="77777777" w:rsidR="004A1956" w:rsidRPr="004F2B88" w:rsidRDefault="004A1956" w:rsidP="000A7200">
      <w:pPr>
        <w:pStyle w:val="BibliographyIdontwantinthetableofcontents"/>
      </w:pPr>
    </w:p>
    <w:p w14:paraId="1E87B81B" w14:textId="2E30EBB2" w:rsidR="000A7200" w:rsidRDefault="000A7200" w:rsidP="000A7200">
      <w:pPr>
        <w:pStyle w:val="BibliographyIdontwantinthetableofcontents"/>
      </w:pPr>
      <w:r w:rsidRPr="004F2B88">
        <w:t>Wu</w:t>
      </w:r>
      <w:r w:rsidR="007D39F3">
        <w:t>,</w:t>
      </w:r>
      <w:r w:rsidRPr="004F2B88">
        <w:t xml:space="preserve"> K</w:t>
      </w:r>
      <w:r w:rsidR="007D39F3">
        <w:t>.</w:t>
      </w:r>
      <w:r w:rsidRPr="004F2B88">
        <w:t xml:space="preserve">, </w:t>
      </w:r>
      <w:proofErr w:type="spellStart"/>
      <w:r w:rsidRPr="004F2B88">
        <w:t>Helzlsouer</w:t>
      </w:r>
      <w:proofErr w:type="spellEnd"/>
      <w:r w:rsidRPr="004F2B88">
        <w:t xml:space="preserve"> K</w:t>
      </w:r>
      <w:r w:rsidR="007D39F3">
        <w:t>.</w:t>
      </w:r>
      <w:r w:rsidRPr="004F2B88">
        <w:t>J</w:t>
      </w:r>
      <w:r w:rsidR="007D39F3">
        <w:t>.</w:t>
      </w:r>
      <w:r w:rsidRPr="004F2B88">
        <w:t>, Comstock G</w:t>
      </w:r>
      <w:r w:rsidR="007D39F3">
        <w:t>.</w:t>
      </w:r>
      <w:r w:rsidRPr="004F2B88">
        <w:t>W</w:t>
      </w:r>
      <w:r w:rsidR="007D39F3">
        <w:t>.</w:t>
      </w:r>
      <w:r w:rsidRPr="004F2B88">
        <w:t>, Hoffman S</w:t>
      </w:r>
      <w:r w:rsidR="007D39F3">
        <w:t>.</w:t>
      </w:r>
      <w:r w:rsidRPr="004F2B88">
        <w:t>C</w:t>
      </w:r>
      <w:r w:rsidR="007D39F3">
        <w:t>.</w:t>
      </w:r>
      <w:r w:rsidRPr="004F2B88">
        <w:t>, Nadeau M</w:t>
      </w:r>
      <w:r w:rsidR="007D39F3">
        <w:t>.</w:t>
      </w:r>
      <w:r w:rsidRPr="004F2B88">
        <w:t>R</w:t>
      </w:r>
      <w:r w:rsidR="007D39F3">
        <w:t>.</w:t>
      </w:r>
      <w:r w:rsidRPr="004F2B88">
        <w:t xml:space="preserve">, </w:t>
      </w:r>
      <w:proofErr w:type="spellStart"/>
      <w:r w:rsidRPr="004F2B88">
        <w:t>Selhub</w:t>
      </w:r>
      <w:proofErr w:type="spellEnd"/>
      <w:r w:rsidRPr="004F2B88">
        <w:t xml:space="preserve"> J</w:t>
      </w:r>
      <w:r w:rsidR="007D39F3">
        <w:t>.</w:t>
      </w:r>
      <w:r w:rsidRPr="004F2B88">
        <w:t xml:space="preserve"> (1999) A prospective study on folate, B12, and pyridoxal 5</w:t>
      </w:r>
      <w:r w:rsidRPr="004F2B88">
        <w:rPr>
          <w:rFonts w:ascii="Times New Roman" w:hAnsi="Times New Roman"/>
        </w:rPr>
        <w:t>′</w:t>
      </w:r>
      <w:r w:rsidRPr="004F2B88">
        <w:t xml:space="preserve">-phosphate (B6) and breast cancer. </w:t>
      </w:r>
      <w:r w:rsidRPr="004F2B88">
        <w:rPr>
          <w:i/>
        </w:rPr>
        <w:t xml:space="preserve">Cancer Epidemiol Biomarkers </w:t>
      </w:r>
      <w:proofErr w:type="spellStart"/>
      <w:r w:rsidRPr="004F2B88">
        <w:rPr>
          <w:i/>
        </w:rPr>
        <w:t>Prev</w:t>
      </w:r>
      <w:proofErr w:type="spellEnd"/>
      <w:r w:rsidRPr="004F2B88">
        <w:t>, 8: 209–217.</w:t>
      </w:r>
    </w:p>
    <w:p w14:paraId="3F8BDA26" w14:textId="77777777" w:rsidR="004A1956" w:rsidRPr="004F2B88" w:rsidRDefault="004A1956" w:rsidP="000A7200">
      <w:pPr>
        <w:pStyle w:val="BibliographyIdontwantinthetableofcontents"/>
      </w:pPr>
    </w:p>
    <w:p w14:paraId="57AE982F" w14:textId="26649FC6" w:rsidR="000A7200" w:rsidRDefault="000A7200" w:rsidP="000A7200">
      <w:pPr>
        <w:pStyle w:val="BibliographyIdontwantinthetableofcontents"/>
      </w:pPr>
      <w:bookmarkStart w:id="88" w:name="_Toc507509150"/>
      <w:r w:rsidRPr="004F2B88">
        <w:t xml:space="preserve">Zhang, F. F., Cardarelli, R., Carroll, J., Fulda, K. G., Kaur, M., Gonzalez, K., . . . </w:t>
      </w:r>
      <w:proofErr w:type="spellStart"/>
      <w:r w:rsidRPr="004F2B88">
        <w:t>Morabia</w:t>
      </w:r>
      <w:proofErr w:type="spellEnd"/>
      <w:r w:rsidRPr="004F2B88">
        <w:t>, A. (2011). Significant differences in global genomic DNA methylation by gender and race/ethnicity in peripheral blood.</w:t>
      </w:r>
      <w:r w:rsidRPr="004F2B88">
        <w:rPr>
          <w:i/>
        </w:rPr>
        <w:t xml:space="preserve"> Epigenetics, 6</w:t>
      </w:r>
      <w:r w:rsidRPr="004F2B88">
        <w:t xml:space="preserve">(5), 623-629. </w:t>
      </w:r>
      <w:r w:rsidR="00550545">
        <w:t>http://www.doi.org/</w:t>
      </w:r>
      <w:r w:rsidRPr="004F2B88">
        <w:t>10.4161/epi.6.5.15335</w:t>
      </w:r>
      <w:bookmarkEnd w:id="88"/>
    </w:p>
    <w:p w14:paraId="7E9739D7" w14:textId="77777777" w:rsidR="004A1956" w:rsidRPr="004F2B88" w:rsidRDefault="004A1956" w:rsidP="000A7200">
      <w:pPr>
        <w:pStyle w:val="BibliographyIdontwantinthetableofcontents"/>
      </w:pPr>
    </w:p>
    <w:p w14:paraId="60111BA3" w14:textId="54C0E602" w:rsidR="000A7200" w:rsidRDefault="000A7200" w:rsidP="000A7200">
      <w:pPr>
        <w:pStyle w:val="BibliographyIdontwantinthetableofcontents"/>
      </w:pPr>
      <w:bookmarkStart w:id="89" w:name="_Toc507509151"/>
      <w:r w:rsidRPr="004F2B88">
        <w:t xml:space="preserve">Zhang, L., &amp; Long, X. (2015). Association of BRCA1 promoter methylation with sporadic breast cancers: Evidence from 40 studies </w:t>
      </w:r>
      <w:r w:rsidRPr="004F2B88">
        <w:rPr>
          <w:i/>
        </w:rPr>
        <w:t>Nature Publishing Group</w:t>
      </w:r>
      <w:r w:rsidRPr="004F2B88">
        <w:t xml:space="preserve">. </w:t>
      </w:r>
      <w:r w:rsidR="00550545">
        <w:t>http://www.doi.org/</w:t>
      </w:r>
      <w:r w:rsidRPr="004F2B88">
        <w:t>10.1038/srep17869</w:t>
      </w:r>
      <w:bookmarkEnd w:id="89"/>
    </w:p>
    <w:p w14:paraId="6F45867C" w14:textId="77777777" w:rsidR="004A1956" w:rsidRPr="004F2B88" w:rsidRDefault="004A1956" w:rsidP="000A7200">
      <w:pPr>
        <w:pStyle w:val="BibliographyIdontwantinthetableofcontents"/>
      </w:pPr>
    </w:p>
    <w:p w14:paraId="0B5E30E2" w14:textId="75805E2A" w:rsidR="000A7200" w:rsidRDefault="000A7200" w:rsidP="000A7200">
      <w:pPr>
        <w:pStyle w:val="BibliographyIdontwantinthetableofcontents"/>
      </w:pPr>
      <w:bookmarkStart w:id="90" w:name="_Toc507509152"/>
      <w:r w:rsidRPr="004F2B88">
        <w:t xml:space="preserve">Zhang, S., Hunter, D. J., Hankinson, S. E., </w:t>
      </w:r>
      <w:proofErr w:type="spellStart"/>
      <w:r w:rsidRPr="004F2B88">
        <w:t>Giovannucci</w:t>
      </w:r>
      <w:proofErr w:type="spellEnd"/>
      <w:r w:rsidRPr="004F2B88">
        <w:t>, E. L., Rosner, B. A., Colditz, G. A., . . . Willett, W. C. (1999). A prospective study of folate intake and the risk of breast cancer.</w:t>
      </w:r>
      <w:r w:rsidRPr="004F2B88">
        <w:rPr>
          <w:i/>
        </w:rPr>
        <w:t xml:space="preserve"> Jama, 281</w:t>
      </w:r>
      <w:r w:rsidRPr="004F2B88">
        <w:t>(17), 1632-1637.</w:t>
      </w:r>
      <w:bookmarkEnd w:id="90"/>
      <w:r w:rsidRPr="004F2B88">
        <w:t xml:space="preserve"> </w:t>
      </w:r>
    </w:p>
    <w:p w14:paraId="58A963D2" w14:textId="77777777" w:rsidR="004A1956" w:rsidRPr="004F2B88" w:rsidRDefault="004A1956" w:rsidP="000A7200">
      <w:pPr>
        <w:pStyle w:val="BibliographyIdontwantinthetableofcontents"/>
      </w:pPr>
    </w:p>
    <w:p w14:paraId="1CC06A65" w14:textId="3CA36171" w:rsidR="00A76F77" w:rsidRDefault="000A7200" w:rsidP="000A7200">
      <w:pPr>
        <w:pStyle w:val="BibliographyIdontwantinthetableofcontents"/>
      </w:pPr>
      <w:r w:rsidRPr="004F2B88">
        <w:t xml:space="preserve">Zhang, Y., Shi, W., Gao, H., Zhou, L., </w:t>
      </w:r>
      <w:proofErr w:type="spellStart"/>
      <w:r w:rsidRPr="004F2B88">
        <w:t>Hou</w:t>
      </w:r>
      <w:proofErr w:type="spellEnd"/>
      <w:r w:rsidRPr="004F2B88">
        <w:t xml:space="preserve">, A., &amp; Zhou, Y. (2014). Folate intake and the risk of breast cancer: A dose-response meta-analysis of prospective studies. </w:t>
      </w:r>
      <w:proofErr w:type="spellStart"/>
      <w:r w:rsidRPr="004F2B88">
        <w:rPr>
          <w:i/>
        </w:rPr>
        <w:t>PloS</w:t>
      </w:r>
      <w:proofErr w:type="spellEnd"/>
      <w:r w:rsidRPr="004F2B88">
        <w:rPr>
          <w:i/>
        </w:rPr>
        <w:t xml:space="preserve"> One</w:t>
      </w:r>
      <w:r w:rsidRPr="004F2B88">
        <w:t xml:space="preserve">, 9(6), e100044. </w:t>
      </w:r>
      <w:r w:rsidR="00550545">
        <w:t>http://www.doi.org/</w:t>
      </w:r>
      <w:r w:rsidRPr="004F2B88">
        <w:t>10.1371/journal.pone.0100044</w:t>
      </w:r>
    </w:p>
    <w:p w14:paraId="76039D14" w14:textId="77777777" w:rsidR="004A1956" w:rsidRDefault="004A1956" w:rsidP="000A7200">
      <w:pPr>
        <w:pStyle w:val="BibliographyIdontwantinthetableofcontents"/>
      </w:pPr>
    </w:p>
    <w:sectPr w:rsidR="004A1956" w:rsidSect="00E6181D">
      <w:endnotePr>
        <w:numFmt w:val="decimal"/>
        <w:numRestart w:val="eachSect"/>
      </w:endnotePr>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A91F7D" w14:textId="77777777" w:rsidR="00417371" w:rsidRPr="00F208C9" w:rsidRDefault="00417371" w:rsidP="00D05CAC">
      <w:pPr>
        <w:jc w:val="center"/>
        <w:rPr>
          <w:b/>
        </w:rPr>
      </w:pPr>
      <w:r w:rsidRPr="00F208C9">
        <w:rPr>
          <w:b/>
        </w:rPr>
        <w:t>Notes</w:t>
      </w:r>
    </w:p>
  </w:endnote>
  <w:endnote w:type="continuationSeparator" w:id="0">
    <w:p w14:paraId="58F29116" w14:textId="77777777" w:rsidR="00417371" w:rsidRDefault="00417371" w:rsidP="00D05CAC">
      <w:r>
        <w:t xml:space="preserve"> </w:t>
      </w:r>
    </w:p>
    <w:p w14:paraId="6CB4E2CA" w14:textId="77777777" w:rsidR="00417371" w:rsidRDefault="00417371" w:rsidP="00D05C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imes">
    <w:panose1 w:val="02000500000000000000"/>
    <w:charset w:val="00"/>
    <w:family w:val="auto"/>
    <w:pitch w:val="variable"/>
    <w:sig w:usb0="E00002FF" w:usb1="5000205A"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NewRomanPSMT">
    <w:altName w:val="Times New Roman"/>
    <w:panose1 w:val="02020603050405020304"/>
    <w:charset w:val="00"/>
    <w:family w:val="roman"/>
    <w:pitch w:val="variable"/>
    <w:sig w:usb0="E0002AE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90FA1D" w14:textId="77777777" w:rsidR="00E5730B" w:rsidRDefault="00E5730B" w:rsidP="00D05CAC">
    <w:pPr>
      <w:pStyle w:val="Footer"/>
      <w:jc w:val="center"/>
    </w:pPr>
    <w:r>
      <w:fldChar w:fldCharType="begin"/>
    </w:r>
    <w:r>
      <w:instrText xml:space="preserve"> PAGE   \* MERGEFORMAT </w:instrText>
    </w:r>
    <w:r>
      <w:fldChar w:fldCharType="separate"/>
    </w:r>
    <w:r>
      <w:rPr>
        <w:noProof/>
      </w:rPr>
      <w:t>viii</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BDC4FC" w14:textId="77777777" w:rsidR="00E5730B" w:rsidRPr="006F711D" w:rsidRDefault="00E5730B" w:rsidP="00D05CAC">
    <w:pPr>
      <w:pStyle w:val="Footer"/>
      <w:jc w:val="center"/>
      <w:rPr>
        <w:rStyle w:val="PageNumber"/>
      </w:rPr>
    </w:pPr>
    <w:r w:rsidRPr="006F711D">
      <w:rPr>
        <w:rStyle w:val="PageNumber"/>
      </w:rPr>
      <w:fldChar w:fldCharType="begin"/>
    </w:r>
    <w:r w:rsidRPr="006F711D">
      <w:rPr>
        <w:rStyle w:val="PageNumber"/>
      </w:rPr>
      <w:instrText xml:space="preserve"> PAGE   \* MERGEFORMAT </w:instrText>
    </w:r>
    <w:r w:rsidRPr="006F711D">
      <w:rPr>
        <w:rStyle w:val="PageNumber"/>
      </w:rPr>
      <w:fldChar w:fldCharType="separate"/>
    </w:r>
    <w:r>
      <w:rPr>
        <w:rStyle w:val="PageNumber"/>
        <w:noProof/>
      </w:rPr>
      <w:t>10</w:t>
    </w:r>
    <w:r w:rsidRPr="006F711D">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C21179" w14:textId="77777777" w:rsidR="00417371" w:rsidRDefault="00417371" w:rsidP="00D05CAC">
      <w:r>
        <w:separator/>
      </w:r>
    </w:p>
  </w:footnote>
  <w:footnote w:type="continuationSeparator" w:id="0">
    <w:p w14:paraId="7CEABA31" w14:textId="77777777" w:rsidR="00417371" w:rsidRDefault="00417371" w:rsidP="00D05C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81FDE8" w14:textId="77777777" w:rsidR="00E5730B" w:rsidRDefault="00E5730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5C8170" w14:textId="77777777" w:rsidR="00E5730B" w:rsidRDefault="00E5730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F8824B4C"/>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C8EF10"/>
    <w:lvl w:ilvl="0">
      <w:start w:val="1"/>
      <w:numFmt w:val="decimal"/>
      <w:lvlText w:val="%1."/>
      <w:lvlJc w:val="left"/>
      <w:pPr>
        <w:tabs>
          <w:tab w:val="num" w:pos="1800"/>
        </w:tabs>
        <w:ind w:left="1800" w:hanging="360"/>
      </w:pPr>
      <w:rPr>
        <w:rFonts w:cs="Times New Roman"/>
      </w:rPr>
    </w:lvl>
  </w:abstractNum>
  <w:abstractNum w:abstractNumId="2" w15:restartNumberingAfterBreak="0">
    <w:nsid w:val="FFFFFF7D"/>
    <w:multiLevelType w:val="singleLevel"/>
    <w:tmpl w:val="F8B4AB16"/>
    <w:lvl w:ilvl="0">
      <w:start w:val="1"/>
      <w:numFmt w:val="decimal"/>
      <w:lvlText w:val="%1."/>
      <w:lvlJc w:val="left"/>
      <w:pPr>
        <w:tabs>
          <w:tab w:val="num" w:pos="1440"/>
        </w:tabs>
        <w:ind w:left="1440" w:hanging="360"/>
      </w:pPr>
      <w:rPr>
        <w:rFonts w:cs="Times New Roman"/>
      </w:rPr>
    </w:lvl>
  </w:abstractNum>
  <w:abstractNum w:abstractNumId="3" w15:restartNumberingAfterBreak="0">
    <w:nsid w:val="FFFFFF7E"/>
    <w:multiLevelType w:val="singleLevel"/>
    <w:tmpl w:val="0A0A9258"/>
    <w:lvl w:ilvl="0">
      <w:start w:val="1"/>
      <w:numFmt w:val="decimal"/>
      <w:lvlText w:val="%1."/>
      <w:lvlJc w:val="left"/>
      <w:pPr>
        <w:tabs>
          <w:tab w:val="num" w:pos="1080"/>
        </w:tabs>
        <w:ind w:left="1080" w:hanging="360"/>
      </w:pPr>
      <w:rPr>
        <w:rFonts w:cs="Times New Roman"/>
      </w:rPr>
    </w:lvl>
  </w:abstractNum>
  <w:abstractNum w:abstractNumId="4" w15:restartNumberingAfterBreak="0">
    <w:nsid w:val="FFFFFF7F"/>
    <w:multiLevelType w:val="singleLevel"/>
    <w:tmpl w:val="BCBAB5CA"/>
    <w:lvl w:ilvl="0">
      <w:start w:val="1"/>
      <w:numFmt w:val="decimal"/>
      <w:lvlText w:val="%1."/>
      <w:lvlJc w:val="left"/>
      <w:pPr>
        <w:tabs>
          <w:tab w:val="num" w:pos="720"/>
        </w:tabs>
        <w:ind w:left="720" w:hanging="360"/>
      </w:pPr>
      <w:rPr>
        <w:rFonts w:cs="Times New Roman"/>
      </w:rPr>
    </w:lvl>
  </w:abstractNum>
  <w:abstractNum w:abstractNumId="5" w15:restartNumberingAfterBreak="0">
    <w:nsid w:val="FFFFFF80"/>
    <w:multiLevelType w:val="singleLevel"/>
    <w:tmpl w:val="015EDB02"/>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6FE04172"/>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486815B8"/>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ABEE4036"/>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898A1974"/>
    <w:lvl w:ilvl="0">
      <w:start w:val="1"/>
      <w:numFmt w:val="decimal"/>
      <w:lvlText w:val="%1."/>
      <w:lvlJc w:val="left"/>
      <w:pPr>
        <w:tabs>
          <w:tab w:val="num" w:pos="360"/>
        </w:tabs>
        <w:ind w:left="360" w:hanging="360"/>
      </w:pPr>
      <w:rPr>
        <w:rFonts w:cs="Times New Roman"/>
      </w:rPr>
    </w:lvl>
  </w:abstractNum>
  <w:abstractNum w:abstractNumId="10" w15:restartNumberingAfterBreak="0">
    <w:nsid w:val="FFFFFF89"/>
    <w:multiLevelType w:val="singleLevel"/>
    <w:tmpl w:val="55761296"/>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5A9602EB"/>
    <w:multiLevelType w:val="hybridMultilevel"/>
    <w:tmpl w:val="52B45410"/>
    <w:lvl w:ilvl="0" w:tplc="000F0409">
      <w:start w:val="1"/>
      <w:numFmt w:val="decimal"/>
      <w:lvlText w:val="%1."/>
      <w:lvlJc w:val="left"/>
      <w:pPr>
        <w:ind w:left="720" w:hanging="360"/>
      </w:pPr>
      <w:rPr>
        <w:rFonts w:cs="Times New Roman" w:hint="default"/>
      </w:rPr>
    </w:lvl>
    <w:lvl w:ilvl="1" w:tplc="00190409" w:tentative="1">
      <w:start w:val="1"/>
      <w:numFmt w:val="lowerLetter"/>
      <w:lvlText w:val="%2."/>
      <w:lvlJc w:val="left"/>
      <w:pPr>
        <w:ind w:left="1440" w:hanging="360"/>
      </w:pPr>
      <w:rPr>
        <w:rFonts w:cs="Times New Roman"/>
      </w:rPr>
    </w:lvl>
    <w:lvl w:ilvl="2" w:tplc="001B0409" w:tentative="1">
      <w:start w:val="1"/>
      <w:numFmt w:val="lowerRoman"/>
      <w:lvlText w:val="%3."/>
      <w:lvlJc w:val="right"/>
      <w:pPr>
        <w:ind w:left="2160" w:hanging="180"/>
      </w:pPr>
      <w:rPr>
        <w:rFonts w:cs="Times New Roman"/>
      </w:rPr>
    </w:lvl>
    <w:lvl w:ilvl="3" w:tplc="000F0409" w:tentative="1">
      <w:start w:val="1"/>
      <w:numFmt w:val="decimal"/>
      <w:lvlText w:val="%4."/>
      <w:lvlJc w:val="left"/>
      <w:pPr>
        <w:ind w:left="2880" w:hanging="360"/>
      </w:pPr>
      <w:rPr>
        <w:rFonts w:cs="Times New Roman"/>
      </w:rPr>
    </w:lvl>
    <w:lvl w:ilvl="4" w:tplc="00190409" w:tentative="1">
      <w:start w:val="1"/>
      <w:numFmt w:val="lowerLetter"/>
      <w:lvlText w:val="%5."/>
      <w:lvlJc w:val="left"/>
      <w:pPr>
        <w:ind w:left="3600" w:hanging="360"/>
      </w:pPr>
      <w:rPr>
        <w:rFonts w:cs="Times New Roman"/>
      </w:rPr>
    </w:lvl>
    <w:lvl w:ilvl="5" w:tplc="001B0409" w:tentative="1">
      <w:start w:val="1"/>
      <w:numFmt w:val="lowerRoman"/>
      <w:lvlText w:val="%6."/>
      <w:lvlJc w:val="right"/>
      <w:pPr>
        <w:ind w:left="4320" w:hanging="180"/>
      </w:pPr>
      <w:rPr>
        <w:rFonts w:cs="Times New Roman"/>
      </w:rPr>
    </w:lvl>
    <w:lvl w:ilvl="6" w:tplc="000F0409" w:tentative="1">
      <w:start w:val="1"/>
      <w:numFmt w:val="decimal"/>
      <w:lvlText w:val="%7."/>
      <w:lvlJc w:val="left"/>
      <w:pPr>
        <w:ind w:left="5040" w:hanging="360"/>
      </w:pPr>
      <w:rPr>
        <w:rFonts w:cs="Times New Roman"/>
      </w:rPr>
    </w:lvl>
    <w:lvl w:ilvl="7" w:tplc="00190409" w:tentative="1">
      <w:start w:val="1"/>
      <w:numFmt w:val="lowerLetter"/>
      <w:lvlText w:val="%8."/>
      <w:lvlJc w:val="left"/>
      <w:pPr>
        <w:ind w:left="5760" w:hanging="360"/>
      </w:pPr>
      <w:rPr>
        <w:rFonts w:cs="Times New Roman"/>
      </w:rPr>
    </w:lvl>
    <w:lvl w:ilvl="8" w:tplc="001B0409" w:tentative="1">
      <w:start w:val="1"/>
      <w:numFmt w:val="lowerRoman"/>
      <w:lvlText w:val="%9."/>
      <w:lvlJc w:val="right"/>
      <w:pPr>
        <w:ind w:left="6480" w:hanging="180"/>
      </w:pPr>
      <w:rPr>
        <w:rFonts w:cs="Times New Roman"/>
      </w:rPr>
    </w:lvl>
  </w:abstractNum>
  <w:abstractNum w:abstractNumId="12" w15:restartNumberingAfterBreak="0">
    <w:nsid w:val="6C8041FF"/>
    <w:multiLevelType w:val="hybridMultilevel"/>
    <w:tmpl w:val="97CE607C"/>
    <w:lvl w:ilvl="0" w:tplc="000F0409">
      <w:start w:val="1"/>
      <w:numFmt w:val="decimal"/>
      <w:lvlText w:val="%1."/>
      <w:lvlJc w:val="left"/>
      <w:pPr>
        <w:ind w:left="720" w:hanging="360"/>
      </w:pPr>
      <w:rPr>
        <w:rFonts w:cs="Times New Roman" w:hint="default"/>
      </w:rPr>
    </w:lvl>
    <w:lvl w:ilvl="1" w:tplc="00190409" w:tentative="1">
      <w:start w:val="1"/>
      <w:numFmt w:val="lowerLetter"/>
      <w:lvlText w:val="%2."/>
      <w:lvlJc w:val="left"/>
      <w:pPr>
        <w:ind w:left="1440" w:hanging="360"/>
      </w:pPr>
      <w:rPr>
        <w:rFonts w:cs="Times New Roman"/>
      </w:rPr>
    </w:lvl>
    <w:lvl w:ilvl="2" w:tplc="001B0409" w:tentative="1">
      <w:start w:val="1"/>
      <w:numFmt w:val="lowerRoman"/>
      <w:lvlText w:val="%3."/>
      <w:lvlJc w:val="right"/>
      <w:pPr>
        <w:ind w:left="2160" w:hanging="180"/>
      </w:pPr>
      <w:rPr>
        <w:rFonts w:cs="Times New Roman"/>
      </w:rPr>
    </w:lvl>
    <w:lvl w:ilvl="3" w:tplc="000F0409" w:tentative="1">
      <w:start w:val="1"/>
      <w:numFmt w:val="decimal"/>
      <w:lvlText w:val="%4."/>
      <w:lvlJc w:val="left"/>
      <w:pPr>
        <w:ind w:left="2880" w:hanging="360"/>
      </w:pPr>
      <w:rPr>
        <w:rFonts w:cs="Times New Roman"/>
      </w:rPr>
    </w:lvl>
    <w:lvl w:ilvl="4" w:tplc="00190409" w:tentative="1">
      <w:start w:val="1"/>
      <w:numFmt w:val="lowerLetter"/>
      <w:lvlText w:val="%5."/>
      <w:lvlJc w:val="left"/>
      <w:pPr>
        <w:ind w:left="3600" w:hanging="360"/>
      </w:pPr>
      <w:rPr>
        <w:rFonts w:cs="Times New Roman"/>
      </w:rPr>
    </w:lvl>
    <w:lvl w:ilvl="5" w:tplc="001B0409" w:tentative="1">
      <w:start w:val="1"/>
      <w:numFmt w:val="lowerRoman"/>
      <w:lvlText w:val="%6."/>
      <w:lvlJc w:val="right"/>
      <w:pPr>
        <w:ind w:left="4320" w:hanging="180"/>
      </w:pPr>
      <w:rPr>
        <w:rFonts w:cs="Times New Roman"/>
      </w:rPr>
    </w:lvl>
    <w:lvl w:ilvl="6" w:tplc="000F0409" w:tentative="1">
      <w:start w:val="1"/>
      <w:numFmt w:val="decimal"/>
      <w:lvlText w:val="%7."/>
      <w:lvlJc w:val="left"/>
      <w:pPr>
        <w:ind w:left="5040" w:hanging="360"/>
      </w:pPr>
      <w:rPr>
        <w:rFonts w:cs="Times New Roman"/>
      </w:rPr>
    </w:lvl>
    <w:lvl w:ilvl="7" w:tplc="00190409" w:tentative="1">
      <w:start w:val="1"/>
      <w:numFmt w:val="lowerLetter"/>
      <w:lvlText w:val="%8."/>
      <w:lvlJc w:val="left"/>
      <w:pPr>
        <w:ind w:left="5760" w:hanging="360"/>
      </w:pPr>
      <w:rPr>
        <w:rFonts w:cs="Times New Roman"/>
      </w:rPr>
    </w:lvl>
    <w:lvl w:ilvl="8" w:tplc="001B0409" w:tentative="1">
      <w:start w:val="1"/>
      <w:numFmt w:val="lowerRoman"/>
      <w:lvlText w:val="%9."/>
      <w:lvlJc w:val="right"/>
      <w:pPr>
        <w:ind w:left="6480" w:hanging="180"/>
      </w:pPr>
      <w:rPr>
        <w:rFonts w:cs="Times New Roman"/>
      </w:r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11"/>
  </w:num>
  <w:num w:numId="12">
    <w:abstractNumId w:val="12"/>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4"/>
  <w:proofState w:spelling="clean" w:grammar="clean"/>
  <w:attachedTemplate r:id="rId1"/>
  <w:defaultTabStop w:val="720"/>
  <w:drawingGridHorizontalSpacing w:val="120"/>
  <w:displayHorizontalDrawingGridEvery w:val="2"/>
  <w:displayVerticalDrawingGridEvery w:val="2"/>
  <w:characterSpacingControl w:val="doNotCompress"/>
  <w:footnotePr>
    <w:footnote w:id="-1"/>
    <w:footnote w:id="0"/>
  </w:footnotePr>
  <w:endnotePr>
    <w:pos w:val="sectEnd"/>
    <w:numFmt w:val="decimal"/>
    <w:numRestart w:val="eachSect"/>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48E"/>
    <w:rsid w:val="00005E2D"/>
    <w:rsid w:val="00013E29"/>
    <w:rsid w:val="00015CB5"/>
    <w:rsid w:val="000262F2"/>
    <w:rsid w:val="00034997"/>
    <w:rsid w:val="00035C45"/>
    <w:rsid w:val="00036F35"/>
    <w:rsid w:val="00050ED5"/>
    <w:rsid w:val="0005468E"/>
    <w:rsid w:val="00056985"/>
    <w:rsid w:val="00075835"/>
    <w:rsid w:val="00076E20"/>
    <w:rsid w:val="00085730"/>
    <w:rsid w:val="00085F38"/>
    <w:rsid w:val="000949C7"/>
    <w:rsid w:val="00095231"/>
    <w:rsid w:val="000958D9"/>
    <w:rsid w:val="00097CD6"/>
    <w:rsid w:val="000A7200"/>
    <w:rsid w:val="000B7179"/>
    <w:rsid w:val="000C41CE"/>
    <w:rsid w:val="000C7DFA"/>
    <w:rsid w:val="000D5AFE"/>
    <w:rsid w:val="000D7989"/>
    <w:rsid w:val="000E1A30"/>
    <w:rsid w:val="000E38EE"/>
    <w:rsid w:val="000E662B"/>
    <w:rsid w:val="000F42D0"/>
    <w:rsid w:val="00105BC3"/>
    <w:rsid w:val="00112A12"/>
    <w:rsid w:val="00112F62"/>
    <w:rsid w:val="00121E1F"/>
    <w:rsid w:val="00141EAD"/>
    <w:rsid w:val="00146982"/>
    <w:rsid w:val="00146FDA"/>
    <w:rsid w:val="0015472C"/>
    <w:rsid w:val="00162081"/>
    <w:rsid w:val="0016796D"/>
    <w:rsid w:val="00172DFB"/>
    <w:rsid w:val="00173EB3"/>
    <w:rsid w:val="00174623"/>
    <w:rsid w:val="0017616F"/>
    <w:rsid w:val="00184108"/>
    <w:rsid w:val="0018455B"/>
    <w:rsid w:val="001864B2"/>
    <w:rsid w:val="00191902"/>
    <w:rsid w:val="001B22A4"/>
    <w:rsid w:val="001C180B"/>
    <w:rsid w:val="001C3AE4"/>
    <w:rsid w:val="001E05F4"/>
    <w:rsid w:val="001E1227"/>
    <w:rsid w:val="001E54B0"/>
    <w:rsid w:val="001F1F5A"/>
    <w:rsid w:val="001F32EC"/>
    <w:rsid w:val="00203042"/>
    <w:rsid w:val="0021155C"/>
    <w:rsid w:val="00217C5D"/>
    <w:rsid w:val="00220575"/>
    <w:rsid w:val="00223F24"/>
    <w:rsid w:val="00231AD1"/>
    <w:rsid w:val="00235712"/>
    <w:rsid w:val="00237646"/>
    <w:rsid w:val="00242818"/>
    <w:rsid w:val="002475DF"/>
    <w:rsid w:val="00247BFA"/>
    <w:rsid w:val="002532CD"/>
    <w:rsid w:val="00256A72"/>
    <w:rsid w:val="0026057E"/>
    <w:rsid w:val="002718EB"/>
    <w:rsid w:val="002963BD"/>
    <w:rsid w:val="00297597"/>
    <w:rsid w:val="002A0A96"/>
    <w:rsid w:val="002A0D50"/>
    <w:rsid w:val="002A1B03"/>
    <w:rsid w:val="002A4B9D"/>
    <w:rsid w:val="002A713B"/>
    <w:rsid w:val="002B5FBA"/>
    <w:rsid w:val="002D27BE"/>
    <w:rsid w:val="002D6A75"/>
    <w:rsid w:val="002E4C47"/>
    <w:rsid w:val="002E52FF"/>
    <w:rsid w:val="003156A6"/>
    <w:rsid w:val="00320095"/>
    <w:rsid w:val="00322191"/>
    <w:rsid w:val="0032360D"/>
    <w:rsid w:val="0033075E"/>
    <w:rsid w:val="00330838"/>
    <w:rsid w:val="003317A3"/>
    <w:rsid w:val="003362BE"/>
    <w:rsid w:val="00337E36"/>
    <w:rsid w:val="003418BD"/>
    <w:rsid w:val="00352399"/>
    <w:rsid w:val="00354F30"/>
    <w:rsid w:val="003660F5"/>
    <w:rsid w:val="00373420"/>
    <w:rsid w:val="00375019"/>
    <w:rsid w:val="0038196E"/>
    <w:rsid w:val="003A0A54"/>
    <w:rsid w:val="003A2360"/>
    <w:rsid w:val="003A3365"/>
    <w:rsid w:val="003B4B00"/>
    <w:rsid w:val="003B7CB8"/>
    <w:rsid w:val="003C0EBC"/>
    <w:rsid w:val="003C1705"/>
    <w:rsid w:val="003C2CD7"/>
    <w:rsid w:val="003C71EB"/>
    <w:rsid w:val="003D5CCA"/>
    <w:rsid w:val="003E406A"/>
    <w:rsid w:val="003F092C"/>
    <w:rsid w:val="003F45F3"/>
    <w:rsid w:val="003F7790"/>
    <w:rsid w:val="003F7F05"/>
    <w:rsid w:val="00406224"/>
    <w:rsid w:val="00407BB7"/>
    <w:rsid w:val="0041231F"/>
    <w:rsid w:val="00417371"/>
    <w:rsid w:val="00421653"/>
    <w:rsid w:val="004331EB"/>
    <w:rsid w:val="0044570D"/>
    <w:rsid w:val="00451FBB"/>
    <w:rsid w:val="00452A60"/>
    <w:rsid w:val="00465B86"/>
    <w:rsid w:val="00472B12"/>
    <w:rsid w:val="00474ADD"/>
    <w:rsid w:val="0047542F"/>
    <w:rsid w:val="00475868"/>
    <w:rsid w:val="00475CA3"/>
    <w:rsid w:val="00477ACD"/>
    <w:rsid w:val="00481DAD"/>
    <w:rsid w:val="00495555"/>
    <w:rsid w:val="004A1388"/>
    <w:rsid w:val="004A1956"/>
    <w:rsid w:val="004A5684"/>
    <w:rsid w:val="004A7029"/>
    <w:rsid w:val="004C4975"/>
    <w:rsid w:val="004D74EE"/>
    <w:rsid w:val="004E3C10"/>
    <w:rsid w:val="004F1AAC"/>
    <w:rsid w:val="004F3392"/>
    <w:rsid w:val="004F5893"/>
    <w:rsid w:val="0051023A"/>
    <w:rsid w:val="00512A4E"/>
    <w:rsid w:val="00521A8B"/>
    <w:rsid w:val="005246C8"/>
    <w:rsid w:val="00533012"/>
    <w:rsid w:val="00533866"/>
    <w:rsid w:val="00534EC4"/>
    <w:rsid w:val="00537E68"/>
    <w:rsid w:val="00541CA6"/>
    <w:rsid w:val="00550083"/>
    <w:rsid w:val="00550545"/>
    <w:rsid w:val="00552D95"/>
    <w:rsid w:val="005530DE"/>
    <w:rsid w:val="00561F7D"/>
    <w:rsid w:val="00563AF8"/>
    <w:rsid w:val="00570999"/>
    <w:rsid w:val="0058702C"/>
    <w:rsid w:val="00595FB7"/>
    <w:rsid w:val="005A3963"/>
    <w:rsid w:val="005A3A71"/>
    <w:rsid w:val="005A52D8"/>
    <w:rsid w:val="005B542C"/>
    <w:rsid w:val="005C49AF"/>
    <w:rsid w:val="005C7427"/>
    <w:rsid w:val="005D3B8F"/>
    <w:rsid w:val="005E1F86"/>
    <w:rsid w:val="005E457E"/>
    <w:rsid w:val="005E6E14"/>
    <w:rsid w:val="005F2255"/>
    <w:rsid w:val="005F2379"/>
    <w:rsid w:val="005F5735"/>
    <w:rsid w:val="005F6480"/>
    <w:rsid w:val="00606848"/>
    <w:rsid w:val="00611F69"/>
    <w:rsid w:val="00624F74"/>
    <w:rsid w:val="006268A9"/>
    <w:rsid w:val="00631CF9"/>
    <w:rsid w:val="006360FD"/>
    <w:rsid w:val="00650315"/>
    <w:rsid w:val="0067291F"/>
    <w:rsid w:val="00674C2A"/>
    <w:rsid w:val="00675817"/>
    <w:rsid w:val="00691193"/>
    <w:rsid w:val="006963E1"/>
    <w:rsid w:val="006A406A"/>
    <w:rsid w:val="006B6D47"/>
    <w:rsid w:val="006C326B"/>
    <w:rsid w:val="006D39A0"/>
    <w:rsid w:val="006D5CDC"/>
    <w:rsid w:val="006D762A"/>
    <w:rsid w:val="006E7997"/>
    <w:rsid w:val="006F2617"/>
    <w:rsid w:val="006F6596"/>
    <w:rsid w:val="006F711D"/>
    <w:rsid w:val="00712A4F"/>
    <w:rsid w:val="00714600"/>
    <w:rsid w:val="00714AD6"/>
    <w:rsid w:val="0072243E"/>
    <w:rsid w:val="00732CB2"/>
    <w:rsid w:val="0074660D"/>
    <w:rsid w:val="00754A3E"/>
    <w:rsid w:val="007612A5"/>
    <w:rsid w:val="007630BC"/>
    <w:rsid w:val="007721F3"/>
    <w:rsid w:val="007736EB"/>
    <w:rsid w:val="00774365"/>
    <w:rsid w:val="00777A38"/>
    <w:rsid w:val="00782DEC"/>
    <w:rsid w:val="00791356"/>
    <w:rsid w:val="007A318B"/>
    <w:rsid w:val="007B5F64"/>
    <w:rsid w:val="007B66EC"/>
    <w:rsid w:val="007B686D"/>
    <w:rsid w:val="007C14FE"/>
    <w:rsid w:val="007D1D00"/>
    <w:rsid w:val="007D39F3"/>
    <w:rsid w:val="007D406E"/>
    <w:rsid w:val="007D5F15"/>
    <w:rsid w:val="007D674A"/>
    <w:rsid w:val="007E031C"/>
    <w:rsid w:val="007E6144"/>
    <w:rsid w:val="007E78D8"/>
    <w:rsid w:val="007F2475"/>
    <w:rsid w:val="0080100A"/>
    <w:rsid w:val="0080406C"/>
    <w:rsid w:val="008112B4"/>
    <w:rsid w:val="00813046"/>
    <w:rsid w:val="008179EB"/>
    <w:rsid w:val="00835EEF"/>
    <w:rsid w:val="00846404"/>
    <w:rsid w:val="00850125"/>
    <w:rsid w:val="00855926"/>
    <w:rsid w:val="00865994"/>
    <w:rsid w:val="00891D07"/>
    <w:rsid w:val="008972A0"/>
    <w:rsid w:val="00897468"/>
    <w:rsid w:val="008A15B6"/>
    <w:rsid w:val="008A2017"/>
    <w:rsid w:val="008A3DD9"/>
    <w:rsid w:val="008B5F77"/>
    <w:rsid w:val="008C4E6E"/>
    <w:rsid w:val="008C547F"/>
    <w:rsid w:val="008D233D"/>
    <w:rsid w:val="008D3BB8"/>
    <w:rsid w:val="008E6EF9"/>
    <w:rsid w:val="008E7E51"/>
    <w:rsid w:val="008F5759"/>
    <w:rsid w:val="008F6509"/>
    <w:rsid w:val="008F7478"/>
    <w:rsid w:val="00915DD9"/>
    <w:rsid w:val="0091614B"/>
    <w:rsid w:val="0092100C"/>
    <w:rsid w:val="00930903"/>
    <w:rsid w:val="00934FD8"/>
    <w:rsid w:val="00942085"/>
    <w:rsid w:val="00944E2B"/>
    <w:rsid w:val="009509F1"/>
    <w:rsid w:val="00950CBB"/>
    <w:rsid w:val="00954933"/>
    <w:rsid w:val="00956D7D"/>
    <w:rsid w:val="009734A0"/>
    <w:rsid w:val="00973A32"/>
    <w:rsid w:val="00974AC6"/>
    <w:rsid w:val="0097550F"/>
    <w:rsid w:val="009771B0"/>
    <w:rsid w:val="00977E00"/>
    <w:rsid w:val="00982968"/>
    <w:rsid w:val="00985D14"/>
    <w:rsid w:val="00986F29"/>
    <w:rsid w:val="00997916"/>
    <w:rsid w:val="009A3B82"/>
    <w:rsid w:val="009A487B"/>
    <w:rsid w:val="009A565A"/>
    <w:rsid w:val="009A7C2C"/>
    <w:rsid w:val="009B3E5A"/>
    <w:rsid w:val="009B567B"/>
    <w:rsid w:val="009C5C6B"/>
    <w:rsid w:val="009D27F4"/>
    <w:rsid w:val="009D5007"/>
    <w:rsid w:val="009D76FB"/>
    <w:rsid w:val="009E6D7A"/>
    <w:rsid w:val="009F3C87"/>
    <w:rsid w:val="00A01788"/>
    <w:rsid w:val="00A02D85"/>
    <w:rsid w:val="00A04FEB"/>
    <w:rsid w:val="00A1172D"/>
    <w:rsid w:val="00A21BD5"/>
    <w:rsid w:val="00A30AFA"/>
    <w:rsid w:val="00A31EE1"/>
    <w:rsid w:val="00A406EA"/>
    <w:rsid w:val="00A407EB"/>
    <w:rsid w:val="00A41C39"/>
    <w:rsid w:val="00A52127"/>
    <w:rsid w:val="00A55D4C"/>
    <w:rsid w:val="00A615DE"/>
    <w:rsid w:val="00A6462D"/>
    <w:rsid w:val="00A76F77"/>
    <w:rsid w:val="00A815F7"/>
    <w:rsid w:val="00A841E2"/>
    <w:rsid w:val="00A864F3"/>
    <w:rsid w:val="00A935ED"/>
    <w:rsid w:val="00A9480E"/>
    <w:rsid w:val="00A95156"/>
    <w:rsid w:val="00AA368E"/>
    <w:rsid w:val="00AA4545"/>
    <w:rsid w:val="00AB0D60"/>
    <w:rsid w:val="00AC1C6C"/>
    <w:rsid w:val="00AC2548"/>
    <w:rsid w:val="00AC5385"/>
    <w:rsid w:val="00AC6B0F"/>
    <w:rsid w:val="00AD3E05"/>
    <w:rsid w:val="00AD4231"/>
    <w:rsid w:val="00AD43F4"/>
    <w:rsid w:val="00AD576E"/>
    <w:rsid w:val="00AD6349"/>
    <w:rsid w:val="00AD7A20"/>
    <w:rsid w:val="00AE058D"/>
    <w:rsid w:val="00AE0AAE"/>
    <w:rsid w:val="00AE2B26"/>
    <w:rsid w:val="00AF2B2C"/>
    <w:rsid w:val="00B072FB"/>
    <w:rsid w:val="00B117FA"/>
    <w:rsid w:val="00B13EB3"/>
    <w:rsid w:val="00B1457A"/>
    <w:rsid w:val="00B22B57"/>
    <w:rsid w:val="00B24691"/>
    <w:rsid w:val="00B30825"/>
    <w:rsid w:val="00B34889"/>
    <w:rsid w:val="00B5154C"/>
    <w:rsid w:val="00B62A53"/>
    <w:rsid w:val="00B67782"/>
    <w:rsid w:val="00B8371C"/>
    <w:rsid w:val="00B839D4"/>
    <w:rsid w:val="00B87335"/>
    <w:rsid w:val="00B92319"/>
    <w:rsid w:val="00BA1B5E"/>
    <w:rsid w:val="00BA5E57"/>
    <w:rsid w:val="00BB5A67"/>
    <w:rsid w:val="00BB61F7"/>
    <w:rsid w:val="00BB7E7C"/>
    <w:rsid w:val="00BC697C"/>
    <w:rsid w:val="00BC73B3"/>
    <w:rsid w:val="00BD21CF"/>
    <w:rsid w:val="00BD25E9"/>
    <w:rsid w:val="00BD2774"/>
    <w:rsid w:val="00BD4602"/>
    <w:rsid w:val="00BF03A3"/>
    <w:rsid w:val="00BF34B1"/>
    <w:rsid w:val="00BF5151"/>
    <w:rsid w:val="00C0158C"/>
    <w:rsid w:val="00C01D9F"/>
    <w:rsid w:val="00C07667"/>
    <w:rsid w:val="00C07CE1"/>
    <w:rsid w:val="00C259E6"/>
    <w:rsid w:val="00C34138"/>
    <w:rsid w:val="00C3601B"/>
    <w:rsid w:val="00C4195D"/>
    <w:rsid w:val="00C426F6"/>
    <w:rsid w:val="00C44215"/>
    <w:rsid w:val="00C455D2"/>
    <w:rsid w:val="00C519A7"/>
    <w:rsid w:val="00C52529"/>
    <w:rsid w:val="00C606C5"/>
    <w:rsid w:val="00C75EEA"/>
    <w:rsid w:val="00C86659"/>
    <w:rsid w:val="00C9585F"/>
    <w:rsid w:val="00CA100A"/>
    <w:rsid w:val="00CE2EB9"/>
    <w:rsid w:val="00CE4324"/>
    <w:rsid w:val="00CF03A1"/>
    <w:rsid w:val="00D030EF"/>
    <w:rsid w:val="00D05CAC"/>
    <w:rsid w:val="00D07305"/>
    <w:rsid w:val="00D127B7"/>
    <w:rsid w:val="00D140A8"/>
    <w:rsid w:val="00D15B5B"/>
    <w:rsid w:val="00D272CC"/>
    <w:rsid w:val="00D33D30"/>
    <w:rsid w:val="00D36232"/>
    <w:rsid w:val="00D421E8"/>
    <w:rsid w:val="00D446D3"/>
    <w:rsid w:val="00D52CB7"/>
    <w:rsid w:val="00D64303"/>
    <w:rsid w:val="00D6567D"/>
    <w:rsid w:val="00D6726D"/>
    <w:rsid w:val="00D80FB0"/>
    <w:rsid w:val="00D919E9"/>
    <w:rsid w:val="00D92013"/>
    <w:rsid w:val="00D9455C"/>
    <w:rsid w:val="00D95086"/>
    <w:rsid w:val="00D9544C"/>
    <w:rsid w:val="00DA71CE"/>
    <w:rsid w:val="00DC3840"/>
    <w:rsid w:val="00DC3DC4"/>
    <w:rsid w:val="00DC7D4B"/>
    <w:rsid w:val="00DD60EC"/>
    <w:rsid w:val="00DD76C7"/>
    <w:rsid w:val="00DE158C"/>
    <w:rsid w:val="00DE19ED"/>
    <w:rsid w:val="00DE248E"/>
    <w:rsid w:val="00DF2891"/>
    <w:rsid w:val="00DF4749"/>
    <w:rsid w:val="00E01B4B"/>
    <w:rsid w:val="00E120F6"/>
    <w:rsid w:val="00E1474A"/>
    <w:rsid w:val="00E24F4A"/>
    <w:rsid w:val="00E32323"/>
    <w:rsid w:val="00E3717C"/>
    <w:rsid w:val="00E45353"/>
    <w:rsid w:val="00E51ECB"/>
    <w:rsid w:val="00E538B1"/>
    <w:rsid w:val="00E5730B"/>
    <w:rsid w:val="00E60E9D"/>
    <w:rsid w:val="00E6181D"/>
    <w:rsid w:val="00E641DC"/>
    <w:rsid w:val="00E70FBE"/>
    <w:rsid w:val="00E77855"/>
    <w:rsid w:val="00EA2924"/>
    <w:rsid w:val="00EA5E08"/>
    <w:rsid w:val="00EA6089"/>
    <w:rsid w:val="00EA6398"/>
    <w:rsid w:val="00EB0888"/>
    <w:rsid w:val="00EB13AC"/>
    <w:rsid w:val="00EB3EC2"/>
    <w:rsid w:val="00EB5AE1"/>
    <w:rsid w:val="00EB7BFF"/>
    <w:rsid w:val="00EC3729"/>
    <w:rsid w:val="00EC4252"/>
    <w:rsid w:val="00EC50BA"/>
    <w:rsid w:val="00EC7258"/>
    <w:rsid w:val="00ED409C"/>
    <w:rsid w:val="00ED6FA5"/>
    <w:rsid w:val="00EE2118"/>
    <w:rsid w:val="00EE3347"/>
    <w:rsid w:val="00EE7323"/>
    <w:rsid w:val="00EF2741"/>
    <w:rsid w:val="00EF31FE"/>
    <w:rsid w:val="00F001C3"/>
    <w:rsid w:val="00F044E6"/>
    <w:rsid w:val="00F04D38"/>
    <w:rsid w:val="00F205E4"/>
    <w:rsid w:val="00F208C9"/>
    <w:rsid w:val="00F21D37"/>
    <w:rsid w:val="00F21FC0"/>
    <w:rsid w:val="00F243B2"/>
    <w:rsid w:val="00F311BF"/>
    <w:rsid w:val="00F32AE4"/>
    <w:rsid w:val="00F73F25"/>
    <w:rsid w:val="00F80C70"/>
    <w:rsid w:val="00F97D63"/>
    <w:rsid w:val="00FB0BFC"/>
    <w:rsid w:val="00FB4F39"/>
    <w:rsid w:val="00FC16E3"/>
    <w:rsid w:val="00FC314B"/>
    <w:rsid w:val="00FC6F19"/>
    <w:rsid w:val="00FD62E8"/>
    <w:rsid w:val="00FD67D8"/>
    <w:rsid w:val="00FE11A6"/>
    <w:rsid w:val="00FF73B9"/>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5ACBB02"/>
  <w14:defaultImageDpi w14:val="0"/>
  <w15:docId w15:val="{48B9A38D-772B-404C-8E34-D4DF86D4C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sz w:val="24"/>
        <w:szCs w:val="24"/>
        <w:lang w:val="en-US" w:eastAsia="en-US" w:bidi="ar-SA"/>
      </w:rPr>
    </w:rPrDefault>
    <w:pPrDefault/>
  </w:docDefaults>
  <w:latentStyles w:defLockedState="0" w:defUIPriority="0" w:defSemiHidden="0" w:defUnhideWhenUsed="0" w:defQFormat="0" w:count="375">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qFormat="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8E6EF9"/>
    <w:pPr>
      <w:suppressAutoHyphens/>
    </w:pPr>
    <w:rPr>
      <w:rFonts w:ascii="Times New Roman" w:hAnsi="Times New Roman"/>
    </w:rPr>
  </w:style>
  <w:style w:type="paragraph" w:styleId="Heading1">
    <w:name w:val="heading 1"/>
    <w:basedOn w:val="Normal"/>
    <w:next w:val="Normal"/>
    <w:link w:val="Heading1Char"/>
    <w:autoRedefine/>
    <w:uiPriority w:val="9"/>
    <w:qFormat/>
    <w:rsid w:val="00C01D9F"/>
    <w:pPr>
      <w:keepNext/>
      <w:spacing w:line="480" w:lineRule="auto"/>
      <w:jc w:val="center"/>
      <w:outlineLvl w:val="0"/>
    </w:pPr>
    <w:rPr>
      <w:bCs/>
      <w:szCs w:val="28"/>
    </w:rPr>
  </w:style>
  <w:style w:type="paragraph" w:styleId="Heading2">
    <w:name w:val="heading 2"/>
    <w:basedOn w:val="Normal"/>
    <w:next w:val="Normal"/>
    <w:link w:val="Heading2Char"/>
    <w:autoRedefine/>
    <w:uiPriority w:val="9"/>
    <w:qFormat/>
    <w:rsid w:val="00C01D9F"/>
    <w:pPr>
      <w:keepNext/>
      <w:spacing w:line="480" w:lineRule="auto"/>
      <w:outlineLvl w:val="1"/>
    </w:pPr>
    <w:rPr>
      <w:b/>
      <w:bCs/>
      <w:szCs w:val="26"/>
    </w:rPr>
  </w:style>
  <w:style w:type="paragraph" w:styleId="Heading3">
    <w:name w:val="heading 3"/>
    <w:basedOn w:val="Normal"/>
    <w:next w:val="NormalIndent"/>
    <w:link w:val="Heading3Char"/>
    <w:autoRedefine/>
    <w:uiPriority w:val="9"/>
    <w:qFormat/>
    <w:rsid w:val="00C01D9F"/>
    <w:pPr>
      <w:keepNext/>
      <w:spacing w:line="480" w:lineRule="auto"/>
      <w:outlineLvl w:val="2"/>
    </w:pPr>
    <w:rPr>
      <w:b/>
      <w:bCs/>
    </w:rPr>
  </w:style>
  <w:style w:type="paragraph" w:styleId="Heading4">
    <w:name w:val="heading 4"/>
    <w:basedOn w:val="Normal"/>
    <w:next w:val="Normal"/>
    <w:link w:val="Heading4Char"/>
    <w:autoRedefine/>
    <w:uiPriority w:val="9"/>
    <w:qFormat/>
    <w:rsid w:val="00AD6349"/>
    <w:pPr>
      <w:keepNext/>
      <w:spacing w:line="480" w:lineRule="auto"/>
      <w:outlineLvl w:val="3"/>
    </w:pPr>
    <w:rPr>
      <w:b/>
      <w:u w:val="single"/>
    </w:rPr>
  </w:style>
  <w:style w:type="paragraph" w:styleId="Heading5">
    <w:name w:val="heading 5"/>
    <w:basedOn w:val="Normal"/>
    <w:next w:val="Normal"/>
    <w:link w:val="Heading5Char"/>
    <w:autoRedefine/>
    <w:uiPriority w:val="9"/>
    <w:qFormat/>
    <w:rsid w:val="00AD6349"/>
    <w:pPr>
      <w:keepNext/>
      <w:spacing w:line="480" w:lineRule="auto"/>
      <w:jc w:val="center"/>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C01D9F"/>
    <w:rPr>
      <w:rFonts w:ascii="Times New Roman" w:hAnsi="Times New Roman"/>
      <w:bCs/>
      <w:szCs w:val="28"/>
    </w:rPr>
  </w:style>
  <w:style w:type="character" w:customStyle="1" w:styleId="Heading2Char">
    <w:name w:val="Heading 2 Char"/>
    <w:basedOn w:val="DefaultParagraphFont"/>
    <w:link w:val="Heading2"/>
    <w:uiPriority w:val="9"/>
    <w:locked/>
    <w:rsid w:val="00C01D9F"/>
    <w:rPr>
      <w:rFonts w:ascii="Times New Roman" w:hAnsi="Times New Roman"/>
      <w:b/>
      <w:bCs/>
      <w:szCs w:val="26"/>
    </w:rPr>
  </w:style>
  <w:style w:type="character" w:customStyle="1" w:styleId="Heading3Char">
    <w:name w:val="Heading 3 Char"/>
    <w:basedOn w:val="DefaultParagraphFont"/>
    <w:link w:val="Heading3"/>
    <w:uiPriority w:val="9"/>
    <w:locked/>
    <w:rsid w:val="00C01D9F"/>
    <w:rPr>
      <w:rFonts w:ascii="Times New Roman" w:hAnsi="Times New Roman"/>
      <w:b/>
      <w:bCs/>
    </w:rPr>
  </w:style>
  <w:style w:type="character" w:customStyle="1" w:styleId="Heading4Char">
    <w:name w:val="Heading 4 Char"/>
    <w:basedOn w:val="DefaultParagraphFont"/>
    <w:link w:val="Heading4"/>
    <w:uiPriority w:val="9"/>
    <w:locked/>
    <w:rsid w:val="00AD6349"/>
    <w:rPr>
      <w:rFonts w:ascii="Times New Roman" w:hAnsi="Times New Roman" w:cs="Times New Roman"/>
      <w:b/>
      <w:u w:val="single"/>
    </w:rPr>
  </w:style>
  <w:style w:type="character" w:customStyle="1" w:styleId="Heading5Char">
    <w:name w:val="Heading 5 Char"/>
    <w:basedOn w:val="DefaultParagraphFont"/>
    <w:link w:val="Heading5"/>
    <w:uiPriority w:val="9"/>
    <w:locked/>
    <w:rsid w:val="00AD6349"/>
    <w:rPr>
      <w:rFonts w:ascii="Times New Roman" w:hAnsi="Times New Roman" w:cs="Times New Roman"/>
      <w:b/>
    </w:rPr>
  </w:style>
  <w:style w:type="paragraph" w:styleId="TOC1">
    <w:name w:val="toc 1"/>
    <w:basedOn w:val="Normal"/>
    <w:next w:val="Normal"/>
    <w:uiPriority w:val="39"/>
    <w:rsid w:val="00D140A8"/>
    <w:pPr>
      <w:tabs>
        <w:tab w:val="left" w:pos="720"/>
        <w:tab w:val="right" w:leader="dot" w:pos="8640"/>
      </w:tabs>
      <w:spacing w:line="480" w:lineRule="auto"/>
    </w:pPr>
  </w:style>
  <w:style w:type="paragraph" w:styleId="TOC2">
    <w:name w:val="toc 2"/>
    <w:basedOn w:val="Normal"/>
    <w:next w:val="Normal"/>
    <w:uiPriority w:val="39"/>
    <w:rsid w:val="008A2017"/>
    <w:pPr>
      <w:tabs>
        <w:tab w:val="left" w:pos="1080"/>
        <w:tab w:val="right" w:leader="dot" w:pos="8640"/>
      </w:tabs>
      <w:ind w:left="1080" w:right="720" w:hanging="360"/>
    </w:pPr>
  </w:style>
  <w:style w:type="paragraph" w:styleId="TOC3">
    <w:name w:val="toc 3"/>
    <w:basedOn w:val="Normal"/>
    <w:next w:val="Normal"/>
    <w:uiPriority w:val="39"/>
    <w:rsid w:val="008F7478"/>
    <w:pPr>
      <w:tabs>
        <w:tab w:val="left" w:pos="1440"/>
        <w:tab w:val="left" w:pos="1800"/>
        <w:tab w:val="right" w:leader="dot" w:pos="8640"/>
      </w:tabs>
      <w:ind w:left="1800" w:right="720" w:hanging="360"/>
    </w:pPr>
  </w:style>
  <w:style w:type="paragraph" w:styleId="TOC4">
    <w:name w:val="toc 4"/>
    <w:basedOn w:val="Normal"/>
    <w:next w:val="Normal"/>
    <w:uiPriority w:val="39"/>
    <w:rsid w:val="008F7478"/>
    <w:pPr>
      <w:tabs>
        <w:tab w:val="left" w:pos="2160"/>
        <w:tab w:val="left" w:pos="2520"/>
        <w:tab w:val="right" w:leader="dot" w:pos="8640"/>
      </w:tabs>
      <w:ind w:left="2520" w:right="720" w:hanging="360"/>
    </w:pPr>
  </w:style>
  <w:style w:type="paragraph" w:styleId="TOC5">
    <w:name w:val="toc 5"/>
    <w:basedOn w:val="Normal"/>
    <w:next w:val="Normal"/>
    <w:uiPriority w:val="39"/>
    <w:rsid w:val="008F7478"/>
    <w:pPr>
      <w:tabs>
        <w:tab w:val="right" w:leader="dot" w:pos="8640"/>
      </w:tabs>
      <w:ind w:left="3240" w:right="720" w:hanging="360"/>
    </w:pPr>
  </w:style>
  <w:style w:type="paragraph" w:styleId="TableofFigures">
    <w:name w:val="table of figures"/>
    <w:basedOn w:val="Normal"/>
    <w:next w:val="Normal"/>
    <w:uiPriority w:val="99"/>
    <w:rsid w:val="008F7478"/>
    <w:pPr>
      <w:tabs>
        <w:tab w:val="left" w:pos="720"/>
        <w:tab w:val="right" w:leader="dot" w:pos="8496"/>
      </w:tabs>
      <w:spacing w:after="280"/>
      <w:ind w:left="1080" w:right="720" w:hanging="720"/>
    </w:pPr>
  </w:style>
  <w:style w:type="paragraph" w:styleId="Bibliography">
    <w:name w:val="Bibliography"/>
    <w:basedOn w:val="Normal"/>
    <w:uiPriority w:val="37"/>
    <w:rsid w:val="008F7478"/>
    <w:pPr>
      <w:keepLines/>
      <w:ind w:left="720" w:hanging="720"/>
    </w:pPr>
  </w:style>
  <w:style w:type="paragraph" w:styleId="Caption">
    <w:name w:val="caption"/>
    <w:basedOn w:val="Normal"/>
    <w:next w:val="Normal"/>
    <w:autoRedefine/>
    <w:uiPriority w:val="35"/>
    <w:qFormat/>
    <w:rsid w:val="008F7478"/>
    <w:pPr>
      <w:keepLines/>
      <w:jc w:val="center"/>
    </w:pPr>
    <w:rPr>
      <w:b/>
    </w:rPr>
  </w:style>
  <w:style w:type="paragraph" w:styleId="EndnoteText">
    <w:name w:val="endnote text"/>
    <w:basedOn w:val="Normal"/>
    <w:link w:val="EndnoteTextChar"/>
    <w:uiPriority w:val="99"/>
    <w:rsid w:val="008F7478"/>
  </w:style>
  <w:style w:type="character" w:customStyle="1" w:styleId="EndnoteTextChar">
    <w:name w:val="Endnote Text Char"/>
    <w:basedOn w:val="DefaultParagraphFont"/>
    <w:link w:val="EndnoteText"/>
    <w:uiPriority w:val="99"/>
    <w:locked/>
    <w:rsid w:val="008F7478"/>
    <w:rPr>
      <w:rFonts w:asciiTheme="minorHAnsi" w:hAnsiTheme="minorHAnsi" w:cs="Times New Roman"/>
    </w:rPr>
  </w:style>
  <w:style w:type="paragraph" w:customStyle="1" w:styleId="paragraph-chapters">
    <w:name w:val="paragraph-chapters"/>
    <w:basedOn w:val="Normal"/>
    <w:rsid w:val="008F7478"/>
    <w:pPr>
      <w:spacing w:line="480" w:lineRule="auto"/>
      <w:ind w:firstLine="720"/>
    </w:pPr>
  </w:style>
  <w:style w:type="character" w:styleId="EndnoteReference">
    <w:name w:val="endnote reference"/>
    <w:basedOn w:val="DefaultParagraphFont"/>
    <w:uiPriority w:val="99"/>
    <w:rsid w:val="008F7478"/>
    <w:rPr>
      <w:rFonts w:ascii="Cambria" w:hAnsi="Cambria" w:cs="Times New Roman"/>
      <w:position w:val="0"/>
      <w:sz w:val="24"/>
      <w:szCs w:val="24"/>
      <w:vertAlign w:val="superscript"/>
    </w:rPr>
  </w:style>
  <w:style w:type="paragraph" w:styleId="TOCHeading">
    <w:name w:val="TOC Heading"/>
    <w:basedOn w:val="Heading1"/>
    <w:next w:val="Normal"/>
    <w:autoRedefine/>
    <w:uiPriority w:val="39"/>
    <w:unhideWhenUsed/>
    <w:qFormat/>
    <w:rsid w:val="00EA6089"/>
    <w:pPr>
      <w:suppressAutoHyphens w:val="0"/>
      <w:spacing w:before="480" w:line="276" w:lineRule="auto"/>
      <w:jc w:val="left"/>
      <w:outlineLvl w:val="9"/>
    </w:pPr>
    <w:rPr>
      <w:color w:val="000000" w:themeColor="text1"/>
    </w:rPr>
  </w:style>
  <w:style w:type="character" w:styleId="Hyperlink">
    <w:name w:val="Hyperlink"/>
    <w:basedOn w:val="DefaultParagraphFont"/>
    <w:uiPriority w:val="99"/>
    <w:unhideWhenUsed/>
    <w:rsid w:val="008F7478"/>
    <w:rPr>
      <w:rFonts w:cs="Times New Roman"/>
      <w:color w:val="0000FF"/>
      <w:u w:val="single"/>
    </w:rPr>
  </w:style>
  <w:style w:type="paragraph" w:styleId="BalloonText">
    <w:name w:val="Balloon Text"/>
    <w:basedOn w:val="Normal"/>
    <w:link w:val="BalloonTextChar"/>
    <w:uiPriority w:val="99"/>
    <w:semiHidden/>
    <w:unhideWhenUsed/>
    <w:rsid w:val="008F747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F7478"/>
    <w:rPr>
      <w:rFonts w:ascii="Tahoma" w:hAnsi="Tahoma" w:cs="Tahoma"/>
      <w:sz w:val="16"/>
      <w:szCs w:val="16"/>
    </w:rPr>
  </w:style>
  <w:style w:type="paragraph" w:styleId="Header">
    <w:name w:val="header"/>
    <w:basedOn w:val="Normal"/>
    <w:link w:val="HeaderChar"/>
    <w:uiPriority w:val="99"/>
    <w:rsid w:val="008F7478"/>
    <w:pPr>
      <w:tabs>
        <w:tab w:val="center" w:pos="4320"/>
        <w:tab w:val="right" w:pos="8640"/>
      </w:tabs>
    </w:pPr>
  </w:style>
  <w:style w:type="character" w:customStyle="1" w:styleId="HeaderChar">
    <w:name w:val="Header Char"/>
    <w:basedOn w:val="DefaultParagraphFont"/>
    <w:link w:val="Header"/>
    <w:uiPriority w:val="99"/>
    <w:locked/>
    <w:rsid w:val="008F7478"/>
    <w:rPr>
      <w:rFonts w:asciiTheme="minorHAnsi" w:hAnsiTheme="minorHAnsi" w:cs="Times New Roman"/>
    </w:rPr>
  </w:style>
  <w:style w:type="paragraph" w:styleId="Footer">
    <w:name w:val="footer"/>
    <w:basedOn w:val="Normal"/>
    <w:link w:val="FooterChar"/>
    <w:uiPriority w:val="99"/>
    <w:rsid w:val="008F7478"/>
    <w:pPr>
      <w:tabs>
        <w:tab w:val="center" w:pos="4320"/>
        <w:tab w:val="right" w:pos="8640"/>
      </w:tabs>
    </w:pPr>
  </w:style>
  <w:style w:type="character" w:customStyle="1" w:styleId="FooterChar">
    <w:name w:val="Footer Char"/>
    <w:basedOn w:val="DefaultParagraphFont"/>
    <w:link w:val="Footer"/>
    <w:uiPriority w:val="99"/>
    <w:locked/>
    <w:rsid w:val="008F7478"/>
    <w:rPr>
      <w:rFonts w:asciiTheme="minorHAnsi" w:hAnsiTheme="minorHAnsi" w:cs="Times New Roman"/>
    </w:rPr>
  </w:style>
  <w:style w:type="paragraph" w:styleId="FootnoteText">
    <w:name w:val="footnote text"/>
    <w:basedOn w:val="Normal"/>
    <w:link w:val="FootnoteTextChar"/>
    <w:uiPriority w:val="99"/>
    <w:rsid w:val="008F7478"/>
  </w:style>
  <w:style w:type="character" w:customStyle="1" w:styleId="FootnoteTextChar">
    <w:name w:val="Footnote Text Char"/>
    <w:basedOn w:val="DefaultParagraphFont"/>
    <w:link w:val="FootnoteText"/>
    <w:uiPriority w:val="99"/>
    <w:locked/>
    <w:rsid w:val="008F7478"/>
    <w:rPr>
      <w:rFonts w:asciiTheme="minorHAnsi" w:hAnsiTheme="minorHAnsi" w:cs="Times New Roman"/>
    </w:rPr>
  </w:style>
  <w:style w:type="character" w:styleId="FootnoteReference">
    <w:name w:val="footnote reference"/>
    <w:basedOn w:val="DefaultParagraphFont"/>
    <w:uiPriority w:val="99"/>
    <w:rsid w:val="008F7478"/>
    <w:rPr>
      <w:rFonts w:ascii="Cambria" w:hAnsi="Cambria" w:cs="Times New Roman"/>
      <w:position w:val="0"/>
      <w:sz w:val="24"/>
      <w:szCs w:val="24"/>
      <w:vertAlign w:val="superscript"/>
    </w:rPr>
  </w:style>
  <w:style w:type="paragraph" w:styleId="PlainText">
    <w:name w:val="Plain Text"/>
    <w:basedOn w:val="Normal"/>
    <w:link w:val="PlainTextChar"/>
    <w:uiPriority w:val="99"/>
    <w:unhideWhenUsed/>
    <w:rsid w:val="008F7478"/>
    <w:rPr>
      <w:rFonts w:ascii="Consolas" w:hAnsi="Consolas"/>
      <w:sz w:val="21"/>
      <w:szCs w:val="21"/>
    </w:rPr>
  </w:style>
  <w:style w:type="character" w:customStyle="1" w:styleId="PlainTextChar">
    <w:name w:val="Plain Text Char"/>
    <w:basedOn w:val="DefaultParagraphFont"/>
    <w:link w:val="PlainText"/>
    <w:uiPriority w:val="99"/>
    <w:locked/>
    <w:rsid w:val="008F7478"/>
    <w:rPr>
      <w:rFonts w:ascii="Consolas" w:hAnsi="Consolas" w:cs="Times New Roman"/>
      <w:sz w:val="21"/>
      <w:szCs w:val="21"/>
    </w:rPr>
  </w:style>
  <w:style w:type="table" w:styleId="TableGrid">
    <w:name w:val="Table Grid"/>
    <w:basedOn w:val="TableNormal"/>
    <w:uiPriority w:val="59"/>
    <w:rsid w:val="008F747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yleCentered">
    <w:name w:val="Style Centered"/>
    <w:basedOn w:val="Normal"/>
    <w:rsid w:val="008F7478"/>
    <w:pPr>
      <w:jc w:val="center"/>
    </w:pPr>
  </w:style>
  <w:style w:type="paragraph" w:customStyle="1" w:styleId="StyleBoldCentered">
    <w:name w:val="Style Bold Centered"/>
    <w:basedOn w:val="Normal"/>
    <w:rsid w:val="008F7478"/>
    <w:pPr>
      <w:jc w:val="center"/>
    </w:pPr>
    <w:rPr>
      <w:b/>
      <w:bCs/>
    </w:rPr>
  </w:style>
  <w:style w:type="paragraph" w:styleId="NormalIndent">
    <w:name w:val="Normal Indent"/>
    <w:basedOn w:val="Normal"/>
    <w:uiPriority w:val="99"/>
    <w:rsid w:val="008F7478"/>
    <w:pPr>
      <w:ind w:left="720"/>
    </w:pPr>
  </w:style>
  <w:style w:type="character" w:styleId="PageNumber">
    <w:name w:val="page number"/>
    <w:basedOn w:val="DefaultParagraphFont"/>
    <w:uiPriority w:val="99"/>
    <w:qFormat/>
    <w:rsid w:val="006F711D"/>
    <w:rPr>
      <w:rFonts w:ascii="Times New Roman" w:hAnsi="Times New Roman" w:cs="Times New Roman"/>
      <w:sz w:val="24"/>
    </w:rPr>
  </w:style>
  <w:style w:type="paragraph" w:styleId="TOC6">
    <w:name w:val="toc 6"/>
    <w:basedOn w:val="Normal"/>
    <w:next w:val="Normal"/>
    <w:uiPriority w:val="39"/>
    <w:rsid w:val="008F7478"/>
    <w:pPr>
      <w:tabs>
        <w:tab w:val="right" w:leader="dot" w:pos="8496"/>
      </w:tabs>
      <w:ind w:left="1100"/>
    </w:pPr>
  </w:style>
  <w:style w:type="paragraph" w:styleId="TOC7">
    <w:name w:val="toc 7"/>
    <w:basedOn w:val="Normal"/>
    <w:next w:val="Normal"/>
    <w:uiPriority w:val="39"/>
    <w:rsid w:val="008F7478"/>
    <w:pPr>
      <w:tabs>
        <w:tab w:val="right" w:leader="dot" w:pos="8496"/>
      </w:tabs>
      <w:ind w:left="1320"/>
    </w:pPr>
  </w:style>
  <w:style w:type="paragraph" w:styleId="TOC8">
    <w:name w:val="toc 8"/>
    <w:basedOn w:val="Normal"/>
    <w:next w:val="Normal"/>
    <w:uiPriority w:val="39"/>
    <w:rsid w:val="008F7478"/>
    <w:pPr>
      <w:tabs>
        <w:tab w:val="right" w:leader="dot" w:pos="8496"/>
      </w:tabs>
      <w:ind w:left="1540"/>
    </w:pPr>
  </w:style>
  <w:style w:type="paragraph" w:styleId="TOC9">
    <w:name w:val="toc 9"/>
    <w:basedOn w:val="Normal"/>
    <w:next w:val="Normal"/>
    <w:uiPriority w:val="39"/>
    <w:rsid w:val="008F7478"/>
    <w:pPr>
      <w:tabs>
        <w:tab w:val="right" w:leader="dot" w:pos="8496"/>
      </w:tabs>
      <w:ind w:left="1760"/>
    </w:pPr>
  </w:style>
  <w:style w:type="paragraph" w:customStyle="1" w:styleId="Style1">
    <w:name w:val="Style1"/>
    <w:basedOn w:val="Normal"/>
    <w:rsid w:val="008F7478"/>
    <w:pPr>
      <w:spacing w:line="480" w:lineRule="auto"/>
      <w:ind w:firstLine="720"/>
    </w:pPr>
  </w:style>
  <w:style w:type="paragraph" w:customStyle="1" w:styleId="Paragraph-text">
    <w:name w:val="Paragraph-text"/>
    <w:basedOn w:val="Normal"/>
    <w:qFormat/>
    <w:rsid w:val="008F7478"/>
    <w:pPr>
      <w:spacing w:line="480" w:lineRule="auto"/>
      <w:ind w:firstLine="720"/>
    </w:pPr>
  </w:style>
  <w:style w:type="paragraph" w:customStyle="1" w:styleId="Paragraph-center">
    <w:name w:val="Paragraph-center"/>
    <w:basedOn w:val="Normal"/>
    <w:autoRedefine/>
    <w:qFormat/>
    <w:rsid w:val="008F7478"/>
    <w:pPr>
      <w:jc w:val="center"/>
    </w:pPr>
  </w:style>
  <w:style w:type="paragraph" w:customStyle="1" w:styleId="Paragraph-TableFiglist">
    <w:name w:val="Paragraph-Table/Fig list"/>
    <w:basedOn w:val="Normal"/>
    <w:rsid w:val="008F7478"/>
    <w:pPr>
      <w:tabs>
        <w:tab w:val="left" w:pos="720"/>
        <w:tab w:val="right" w:leader="dot" w:pos="8496"/>
      </w:tabs>
      <w:ind w:left="1080" w:hanging="720"/>
    </w:pPr>
  </w:style>
  <w:style w:type="paragraph" w:customStyle="1" w:styleId="Paragraph-block">
    <w:name w:val="Paragraph-block"/>
    <w:basedOn w:val="Normal"/>
    <w:rsid w:val="008F7478"/>
    <w:pPr>
      <w:ind w:left="720"/>
    </w:pPr>
  </w:style>
  <w:style w:type="paragraph" w:customStyle="1" w:styleId="ChapterNumber">
    <w:name w:val="Chapter Number"/>
    <w:basedOn w:val="Normal"/>
    <w:next w:val="Heading1"/>
    <w:autoRedefine/>
    <w:qFormat/>
    <w:rsid w:val="00915DD9"/>
    <w:pPr>
      <w:spacing w:line="480" w:lineRule="auto"/>
      <w:jc w:val="center"/>
    </w:pPr>
    <w:rPr>
      <w:b/>
      <w:caps/>
    </w:rPr>
  </w:style>
  <w:style w:type="paragraph" w:customStyle="1" w:styleId="BibliographyIdontwantinthetableofcontents">
    <w:name w:val="Bibliography I don't want in the table of contents"/>
    <w:basedOn w:val="Bibliography"/>
    <w:qFormat/>
    <w:rsid w:val="000A7200"/>
    <w:pPr>
      <w:keepLines w:val="0"/>
      <w:suppressAutoHyphens w:val="0"/>
      <w:spacing w:before="120" w:after="120"/>
    </w:pPr>
    <w:rPr>
      <w:rFonts w:ascii="Times" w:hAnsi="Times"/>
    </w:rPr>
  </w:style>
  <w:style w:type="paragraph" w:styleId="CommentText">
    <w:name w:val="annotation text"/>
    <w:basedOn w:val="Normal"/>
    <w:link w:val="CommentTextChar"/>
    <w:semiHidden/>
    <w:unhideWhenUsed/>
    <w:rsid w:val="00782DEC"/>
    <w:rPr>
      <w:sz w:val="20"/>
      <w:szCs w:val="20"/>
    </w:rPr>
  </w:style>
  <w:style w:type="character" w:customStyle="1" w:styleId="CommentTextChar">
    <w:name w:val="Comment Text Char"/>
    <w:basedOn w:val="DefaultParagraphFont"/>
    <w:link w:val="CommentText"/>
    <w:semiHidden/>
    <w:rsid w:val="00782DEC"/>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782DEC"/>
    <w:pPr>
      <w:suppressAutoHyphens w:val="0"/>
    </w:pPr>
    <w:rPr>
      <w:b/>
      <w:bCs/>
    </w:rPr>
  </w:style>
  <w:style w:type="character" w:customStyle="1" w:styleId="CommentSubjectChar">
    <w:name w:val="Comment Subject Char"/>
    <w:basedOn w:val="CommentTextChar"/>
    <w:link w:val="CommentSubject"/>
    <w:uiPriority w:val="99"/>
    <w:semiHidden/>
    <w:rsid w:val="00782DEC"/>
    <w:rPr>
      <w:rFonts w:ascii="Times New Roman" w:hAnsi="Times New Roman"/>
      <w:b/>
      <w:bCs/>
      <w:sz w:val="20"/>
      <w:szCs w:val="20"/>
    </w:rPr>
  </w:style>
  <w:style w:type="paragraph" w:customStyle="1" w:styleId="a">
    <w:name w:val="正文"/>
    <w:rsid w:val="001C3AE4"/>
    <w:pPr>
      <w:pBdr>
        <w:top w:val="nil"/>
        <w:left w:val="nil"/>
        <w:bottom w:val="nil"/>
        <w:right w:val="nil"/>
        <w:between w:val="nil"/>
        <w:bar w:val="nil"/>
      </w:pBdr>
      <w:jc w:val="both"/>
    </w:pPr>
    <w:rPr>
      <w:rFonts w:ascii="Times New Roman" w:eastAsia="Arial Unicode MS" w:hAnsi="Arial Unicode MS" w:cs="Arial Unicode MS"/>
      <w:color w:val="000000"/>
      <w:kern w:val="2"/>
      <w:sz w:val="21"/>
      <w:szCs w:val="21"/>
      <w:u w:color="000000"/>
      <w:bdr w:val="nil"/>
      <w:lang w:eastAsia="zh-CN"/>
    </w:rPr>
  </w:style>
  <w:style w:type="character" w:styleId="UnresolvedMention">
    <w:name w:val="Unresolved Mention"/>
    <w:basedOn w:val="DefaultParagraphFont"/>
    <w:rsid w:val="004A1956"/>
    <w:rPr>
      <w:color w:val="808080"/>
      <w:shd w:val="clear" w:color="auto" w:fill="E6E6E6"/>
    </w:rPr>
  </w:style>
  <w:style w:type="character" w:styleId="CommentReference">
    <w:name w:val="annotation reference"/>
    <w:basedOn w:val="DefaultParagraphFont"/>
    <w:semiHidden/>
    <w:unhideWhenUsed/>
    <w:rsid w:val="00550545"/>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4581464">
      <w:bodyDiv w:val="1"/>
      <w:marLeft w:val="0"/>
      <w:marRight w:val="0"/>
      <w:marTop w:val="0"/>
      <w:marBottom w:val="0"/>
      <w:divBdr>
        <w:top w:val="none" w:sz="0" w:space="0" w:color="auto"/>
        <w:left w:val="none" w:sz="0" w:space="0" w:color="auto"/>
        <w:bottom w:val="none" w:sz="0" w:space="0" w:color="auto"/>
        <w:right w:val="none" w:sz="0" w:space="0" w:color="auto"/>
      </w:divBdr>
    </w:div>
    <w:div w:id="1048646656">
      <w:bodyDiv w:val="1"/>
      <w:marLeft w:val="0"/>
      <w:marRight w:val="0"/>
      <w:marTop w:val="0"/>
      <w:marBottom w:val="0"/>
      <w:divBdr>
        <w:top w:val="none" w:sz="0" w:space="0" w:color="auto"/>
        <w:left w:val="none" w:sz="0" w:space="0" w:color="auto"/>
        <w:bottom w:val="none" w:sz="0" w:space="0" w:color="auto"/>
        <w:right w:val="none" w:sz="0" w:space="0" w:color="auto"/>
      </w:divBdr>
    </w:div>
    <w:div w:id="126946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tif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www.doi.org/10.7326/0003-4819-156-9-201205010-0000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elisa/Documents/Thesis2008Folder/CAMBRIA/CDfolder/umass2008simpl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35829564DCB39418FC8207C661598CF"/>
        <w:category>
          <w:name w:val="General"/>
          <w:gallery w:val="placeholder"/>
        </w:category>
        <w:types>
          <w:type w:val="bbPlcHdr"/>
        </w:types>
        <w:behaviors>
          <w:behavior w:val="content"/>
        </w:behaviors>
        <w:guid w:val="{D62792EF-7139-4140-83DE-D247E166A475}"/>
      </w:docPartPr>
      <w:docPartBody>
        <w:p w:rsidR="00E36877" w:rsidRDefault="00A76EE5" w:rsidP="00A76EE5">
          <w:pPr>
            <w:pStyle w:val="B35829564DCB39418FC8207C661598CF"/>
          </w:pPr>
          <w:r w:rsidRPr="00106C03">
            <w:rPr>
              <w:rStyle w:val="PlaceholderText"/>
            </w:rPr>
            <w:t>Formatting... please wait</w:t>
          </w:r>
        </w:p>
      </w:docPartBody>
    </w:docPart>
    <w:docPart>
      <w:docPartPr>
        <w:name w:val="440745EDD08D1A4A90EA562A0E9E7F6D"/>
        <w:category>
          <w:name w:val="General"/>
          <w:gallery w:val="placeholder"/>
        </w:category>
        <w:types>
          <w:type w:val="bbPlcHdr"/>
        </w:types>
        <w:behaviors>
          <w:behavior w:val="content"/>
        </w:behaviors>
        <w:guid w:val="{9B2697CA-BFD7-6841-AC4A-D80FF8774C9E}"/>
      </w:docPartPr>
      <w:docPartBody>
        <w:p w:rsidR="00B95A54" w:rsidRDefault="00B95A54" w:rsidP="00B95A54">
          <w:pPr>
            <w:pStyle w:val="440745EDD08D1A4A90EA562A0E9E7F6D"/>
          </w:pPr>
          <w:r w:rsidRPr="00106C03">
            <w:rPr>
              <w:rStyle w:val="PlaceholderText"/>
            </w:rPr>
            <w:t>Formatting... please wait</w:t>
          </w:r>
        </w:p>
      </w:docPartBody>
    </w:docPart>
    <w:docPart>
      <w:docPartPr>
        <w:name w:val="115D4AACA92A064CA30FA8AF6B36BA98"/>
        <w:category>
          <w:name w:val="General"/>
          <w:gallery w:val="placeholder"/>
        </w:category>
        <w:types>
          <w:type w:val="bbPlcHdr"/>
        </w:types>
        <w:behaviors>
          <w:behavior w:val="content"/>
        </w:behaviors>
        <w:guid w:val="{8FE5E6DB-326D-D241-9AE8-34A7C7A6F200}"/>
      </w:docPartPr>
      <w:docPartBody>
        <w:p w:rsidR="00B95A54" w:rsidRDefault="00B95A54" w:rsidP="00B95A54">
          <w:pPr>
            <w:pStyle w:val="115D4AACA92A064CA30FA8AF6B36BA98"/>
          </w:pPr>
          <w:r w:rsidRPr="00106C03">
            <w:rPr>
              <w:rStyle w:val="PlaceholderText"/>
            </w:rPr>
            <w:t>Formatting... please wait</w:t>
          </w:r>
        </w:p>
      </w:docPartBody>
    </w:docPart>
    <w:docPart>
      <w:docPartPr>
        <w:name w:val="CF0E67A4B243564888DF1B34427C54B7"/>
        <w:category>
          <w:name w:val="General"/>
          <w:gallery w:val="placeholder"/>
        </w:category>
        <w:types>
          <w:type w:val="bbPlcHdr"/>
        </w:types>
        <w:behaviors>
          <w:behavior w:val="content"/>
        </w:behaviors>
        <w:guid w:val="{1847091F-7533-3141-A752-C22FC490EBF9}"/>
      </w:docPartPr>
      <w:docPartBody>
        <w:p w:rsidR="00B95A54" w:rsidRDefault="00B95A54" w:rsidP="00B95A54">
          <w:pPr>
            <w:pStyle w:val="CF0E67A4B243564888DF1B34427C54B7"/>
          </w:pPr>
          <w:r w:rsidRPr="00106C03">
            <w:rPr>
              <w:rStyle w:val="PlaceholderText"/>
            </w:rPr>
            <w:t>Formatting... please wait</w:t>
          </w:r>
        </w:p>
      </w:docPartBody>
    </w:docPart>
    <w:docPart>
      <w:docPartPr>
        <w:name w:val="8A1635D5760DCB4EB9DE5B8E22849609"/>
        <w:category>
          <w:name w:val="General"/>
          <w:gallery w:val="placeholder"/>
        </w:category>
        <w:types>
          <w:type w:val="bbPlcHdr"/>
        </w:types>
        <w:behaviors>
          <w:behavior w:val="content"/>
        </w:behaviors>
        <w:guid w:val="{C3E6831A-375C-9D40-8933-EC2DAF770A32}"/>
      </w:docPartPr>
      <w:docPartBody>
        <w:p w:rsidR="00B95A54" w:rsidRDefault="00B95A54" w:rsidP="00B95A54">
          <w:pPr>
            <w:pStyle w:val="8A1635D5760DCB4EB9DE5B8E22849609"/>
          </w:pPr>
          <w:r w:rsidRPr="00106C03">
            <w:rPr>
              <w:rStyle w:val="PlaceholderText"/>
            </w:rPr>
            <w:t>Formatting... please wait</w:t>
          </w:r>
        </w:p>
      </w:docPartBody>
    </w:docPart>
    <w:docPart>
      <w:docPartPr>
        <w:name w:val="76D49FC0B64E354690A5DF4CD7AB0AA9"/>
        <w:category>
          <w:name w:val="General"/>
          <w:gallery w:val="placeholder"/>
        </w:category>
        <w:types>
          <w:type w:val="bbPlcHdr"/>
        </w:types>
        <w:behaviors>
          <w:behavior w:val="content"/>
        </w:behaviors>
        <w:guid w:val="{7B207FEE-F2B4-4D47-BB40-D1F6AD62087A}"/>
      </w:docPartPr>
      <w:docPartBody>
        <w:p w:rsidR="00B95A54" w:rsidRDefault="00B95A54" w:rsidP="00B95A54">
          <w:pPr>
            <w:pStyle w:val="76D49FC0B64E354690A5DF4CD7AB0AA9"/>
          </w:pPr>
          <w:r w:rsidRPr="00106C03">
            <w:rPr>
              <w:rStyle w:val="PlaceholderText"/>
            </w:rPr>
            <w:t>Formatting... please wait</w:t>
          </w:r>
        </w:p>
      </w:docPartBody>
    </w:docPart>
    <w:docPart>
      <w:docPartPr>
        <w:name w:val="3E20944D3A0AC6458BD77897586D67C1"/>
        <w:category>
          <w:name w:val="General"/>
          <w:gallery w:val="placeholder"/>
        </w:category>
        <w:types>
          <w:type w:val="bbPlcHdr"/>
        </w:types>
        <w:behaviors>
          <w:behavior w:val="content"/>
        </w:behaviors>
        <w:guid w:val="{057D71E2-B43E-754A-A5C8-61EA79E78C3B}"/>
      </w:docPartPr>
      <w:docPartBody>
        <w:p w:rsidR="00B95A54" w:rsidRDefault="00B95A54" w:rsidP="00B95A54">
          <w:pPr>
            <w:pStyle w:val="3E20944D3A0AC6458BD77897586D67C1"/>
          </w:pPr>
          <w:r w:rsidRPr="00106C03">
            <w:rPr>
              <w:rStyle w:val="PlaceholderText"/>
            </w:rPr>
            <w:t>Formatting... please wait</w:t>
          </w:r>
        </w:p>
      </w:docPartBody>
    </w:docPart>
    <w:docPart>
      <w:docPartPr>
        <w:name w:val="79DB96A79C6B8947BEA50950B255E513"/>
        <w:category>
          <w:name w:val="General"/>
          <w:gallery w:val="placeholder"/>
        </w:category>
        <w:types>
          <w:type w:val="bbPlcHdr"/>
        </w:types>
        <w:behaviors>
          <w:behavior w:val="content"/>
        </w:behaviors>
        <w:guid w:val="{CE69926B-06D9-4A48-B58C-5B94695F9C31}"/>
      </w:docPartPr>
      <w:docPartBody>
        <w:p w:rsidR="00B95A54" w:rsidRDefault="00B95A54" w:rsidP="00B95A54">
          <w:pPr>
            <w:pStyle w:val="79DB96A79C6B8947BEA50950B255E513"/>
          </w:pPr>
          <w:r w:rsidRPr="00106C03">
            <w:rPr>
              <w:rStyle w:val="PlaceholderText"/>
            </w:rPr>
            <w:t>Formatting... please wait</w:t>
          </w:r>
        </w:p>
      </w:docPartBody>
    </w:docPart>
    <w:docPart>
      <w:docPartPr>
        <w:name w:val="217B3C74C2F2784090817A525E3B1D95"/>
        <w:category>
          <w:name w:val="General"/>
          <w:gallery w:val="placeholder"/>
        </w:category>
        <w:types>
          <w:type w:val="bbPlcHdr"/>
        </w:types>
        <w:behaviors>
          <w:behavior w:val="content"/>
        </w:behaviors>
        <w:guid w:val="{1C92FA1A-432D-EB40-AEDD-8D7DC7C70AF8}"/>
      </w:docPartPr>
      <w:docPartBody>
        <w:p w:rsidR="00B95A54" w:rsidRDefault="00B95A54" w:rsidP="00B95A54">
          <w:pPr>
            <w:pStyle w:val="217B3C74C2F2784090817A525E3B1D95"/>
          </w:pPr>
          <w:r w:rsidRPr="00106C03">
            <w:rPr>
              <w:rStyle w:val="PlaceholderText"/>
            </w:rPr>
            <w:t>Formatting... please wait</w:t>
          </w:r>
        </w:p>
      </w:docPartBody>
    </w:docPart>
    <w:docPart>
      <w:docPartPr>
        <w:name w:val="E21E6C6298142C479C58BAF51AA52393"/>
        <w:category>
          <w:name w:val="General"/>
          <w:gallery w:val="placeholder"/>
        </w:category>
        <w:types>
          <w:type w:val="bbPlcHdr"/>
        </w:types>
        <w:behaviors>
          <w:behavior w:val="content"/>
        </w:behaviors>
        <w:guid w:val="{0183FEA7-0420-9B44-9286-38B3D3F448BD}"/>
      </w:docPartPr>
      <w:docPartBody>
        <w:p w:rsidR="00B95A54" w:rsidRDefault="00B95A54" w:rsidP="00B95A54">
          <w:pPr>
            <w:pStyle w:val="E21E6C6298142C479C58BAF51AA52393"/>
          </w:pPr>
          <w:r w:rsidRPr="00106C03">
            <w:rPr>
              <w:rStyle w:val="PlaceholderText"/>
            </w:rPr>
            <w:t>Formatting... please wait</w:t>
          </w:r>
        </w:p>
      </w:docPartBody>
    </w:docPart>
    <w:docPart>
      <w:docPartPr>
        <w:name w:val="9AE47836978EC447865C8C801A640340"/>
        <w:category>
          <w:name w:val="General"/>
          <w:gallery w:val="placeholder"/>
        </w:category>
        <w:types>
          <w:type w:val="bbPlcHdr"/>
        </w:types>
        <w:behaviors>
          <w:behavior w:val="content"/>
        </w:behaviors>
        <w:guid w:val="{6CB66A6F-6E33-BC46-83A6-4AB2DA933AAE}"/>
      </w:docPartPr>
      <w:docPartBody>
        <w:p w:rsidR="00B95A54" w:rsidRDefault="00B95A54" w:rsidP="00B95A54">
          <w:pPr>
            <w:pStyle w:val="9AE47836978EC447865C8C801A640340"/>
          </w:pPr>
          <w:r w:rsidRPr="00106C03">
            <w:rPr>
              <w:rStyle w:val="PlaceholderText"/>
            </w:rPr>
            <w:t>Formatting... please wait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imes">
    <w:panose1 w:val="02000500000000000000"/>
    <w:charset w:val="00"/>
    <w:family w:val="auto"/>
    <w:pitch w:val="variable"/>
    <w:sig w:usb0="E00002FF" w:usb1="5000205A"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NewRomanPSMT">
    <w:altName w:val="Times New Roman"/>
    <w:panose1 w:val="02020603050405020304"/>
    <w:charset w:val="00"/>
    <w:family w:val="roman"/>
    <w:pitch w:val="variable"/>
    <w:sig w:usb0="E0002AE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6EE5"/>
    <w:rsid w:val="003139C7"/>
    <w:rsid w:val="00506143"/>
    <w:rsid w:val="006C65F5"/>
    <w:rsid w:val="008850E3"/>
    <w:rsid w:val="00A76EE5"/>
    <w:rsid w:val="00B95A54"/>
    <w:rsid w:val="00E368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95A54"/>
    <w:rPr>
      <w:color w:val="808080"/>
    </w:rPr>
  </w:style>
  <w:style w:type="paragraph" w:customStyle="1" w:styleId="B35829564DCB39418FC8207C661598CF">
    <w:name w:val="B35829564DCB39418FC8207C661598CF"/>
    <w:rsid w:val="00A76EE5"/>
  </w:style>
  <w:style w:type="paragraph" w:customStyle="1" w:styleId="240EC92DD3E57D4FA20F254A28A77526">
    <w:name w:val="240EC92DD3E57D4FA20F254A28A77526"/>
    <w:rsid w:val="00A76EE5"/>
  </w:style>
  <w:style w:type="paragraph" w:customStyle="1" w:styleId="F9E3A5744B66AE43A361220FE5BE78B1">
    <w:name w:val="F9E3A5744B66AE43A361220FE5BE78B1"/>
    <w:rsid w:val="00A76EE5"/>
  </w:style>
  <w:style w:type="paragraph" w:customStyle="1" w:styleId="5936C02DFB83D841943F2CA55EC48487">
    <w:name w:val="5936C02DFB83D841943F2CA55EC48487"/>
    <w:rsid w:val="00A76EE5"/>
  </w:style>
  <w:style w:type="paragraph" w:customStyle="1" w:styleId="E7BDA0FA1220914BB6117E01C4273F87">
    <w:name w:val="E7BDA0FA1220914BB6117E01C4273F87"/>
    <w:rsid w:val="00A76EE5"/>
  </w:style>
  <w:style w:type="paragraph" w:customStyle="1" w:styleId="ED2DC6095597FD4ABB3B3202CFEE34F5">
    <w:name w:val="ED2DC6095597FD4ABB3B3202CFEE34F5"/>
    <w:rsid w:val="00A76EE5"/>
  </w:style>
  <w:style w:type="paragraph" w:customStyle="1" w:styleId="35FAD332EE2C5B4A9DF24C931E55917E">
    <w:name w:val="35FAD332EE2C5B4A9DF24C931E55917E"/>
    <w:rsid w:val="00A76EE5"/>
  </w:style>
  <w:style w:type="paragraph" w:customStyle="1" w:styleId="440745EDD08D1A4A90EA562A0E9E7F6D">
    <w:name w:val="440745EDD08D1A4A90EA562A0E9E7F6D"/>
    <w:rsid w:val="00B95A54"/>
  </w:style>
  <w:style w:type="paragraph" w:customStyle="1" w:styleId="115D4AACA92A064CA30FA8AF6B36BA98">
    <w:name w:val="115D4AACA92A064CA30FA8AF6B36BA98"/>
    <w:rsid w:val="00B95A54"/>
  </w:style>
  <w:style w:type="paragraph" w:customStyle="1" w:styleId="CF0E67A4B243564888DF1B34427C54B7">
    <w:name w:val="CF0E67A4B243564888DF1B34427C54B7"/>
    <w:rsid w:val="00B95A54"/>
  </w:style>
  <w:style w:type="paragraph" w:customStyle="1" w:styleId="8A1635D5760DCB4EB9DE5B8E22849609">
    <w:name w:val="8A1635D5760DCB4EB9DE5B8E22849609"/>
    <w:rsid w:val="00B95A54"/>
  </w:style>
  <w:style w:type="paragraph" w:customStyle="1" w:styleId="76D49FC0B64E354690A5DF4CD7AB0AA9">
    <w:name w:val="76D49FC0B64E354690A5DF4CD7AB0AA9"/>
    <w:rsid w:val="00B95A54"/>
  </w:style>
  <w:style w:type="paragraph" w:customStyle="1" w:styleId="3E20944D3A0AC6458BD77897586D67C1">
    <w:name w:val="3E20944D3A0AC6458BD77897586D67C1"/>
    <w:rsid w:val="00B95A54"/>
  </w:style>
  <w:style w:type="paragraph" w:customStyle="1" w:styleId="79DB96A79C6B8947BEA50950B255E513">
    <w:name w:val="79DB96A79C6B8947BEA50950B255E513"/>
    <w:rsid w:val="00B95A54"/>
  </w:style>
  <w:style w:type="paragraph" w:customStyle="1" w:styleId="217B3C74C2F2784090817A525E3B1D95">
    <w:name w:val="217B3C74C2F2784090817A525E3B1D95"/>
    <w:rsid w:val="00B95A54"/>
  </w:style>
  <w:style w:type="paragraph" w:customStyle="1" w:styleId="E21E6C6298142C479C58BAF51AA52393">
    <w:name w:val="E21E6C6298142C479C58BAF51AA52393"/>
    <w:rsid w:val="00B95A54"/>
  </w:style>
  <w:style w:type="paragraph" w:customStyle="1" w:styleId="9AE47836978EC447865C8C801A640340">
    <w:name w:val="9AE47836978EC447865C8C801A640340"/>
    <w:rsid w:val="00B95A5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ADE913-5313-0940-AC0B-6EF14A985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umass2008simple.dotx</Template>
  <TotalTime>1</TotalTime>
  <Pages>66</Pages>
  <Words>14202</Words>
  <Characters>80952</Characters>
  <Application>Microsoft Office Word</Application>
  <DocSecurity>0</DocSecurity>
  <Lines>674</Lines>
  <Paragraphs>189</Paragraphs>
  <ScaleCrop>false</ScaleCrop>
  <HeadingPairs>
    <vt:vector size="2" baseType="variant">
      <vt:variant>
        <vt:lpstr>Title</vt:lpstr>
      </vt:variant>
      <vt:variant>
        <vt:i4>1</vt:i4>
      </vt:variant>
    </vt:vector>
  </HeadingPairs>
  <TitlesOfParts>
    <vt:vector size="1" baseType="lpstr">
      <vt:lpstr>TITLE OF THESIS OR DISSERTATION: SIMPLE FORMAT WITH ENDNOTES AND TYPED BIBLIOGRAPHY</vt:lpstr>
    </vt:vector>
  </TitlesOfParts>
  <Company>University of Massachusetts</Company>
  <LinksUpToDate>false</LinksUpToDate>
  <CharactersWithSpaces>94965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THESIS OR DISSERTATION: SIMPLE FORMAT WITH ENDNOTES AND TYPED BIBLIOGRAPHY</dc:title>
  <dc:subject/>
  <dc:creator>kskelly</dc:creator>
  <cp:keywords/>
  <dc:description/>
  <cp:lastModifiedBy>Armina Frederick</cp:lastModifiedBy>
  <cp:revision>2</cp:revision>
  <cp:lastPrinted>2018-03-29T17:04:00Z</cp:lastPrinted>
  <dcterms:created xsi:type="dcterms:W3CDTF">2018-06-18T16:38:00Z</dcterms:created>
  <dcterms:modified xsi:type="dcterms:W3CDTF">2018-06-18T16:38:00Z</dcterms:modified>
</cp:coreProperties>
</file>