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8CAB34" w14:textId="77777777" w:rsidR="00884C90" w:rsidRPr="000677B8" w:rsidRDefault="00884C90" w:rsidP="000677B8">
      <w:pPr>
        <w:spacing w:after="0" w:line="240" w:lineRule="auto"/>
        <w:jc w:val="both"/>
        <w:rPr>
          <w:rFonts w:ascii="Arial" w:hAnsi="Arial" w:cs="Arial"/>
          <w:sz w:val="24"/>
          <w:szCs w:val="24"/>
        </w:rPr>
      </w:pPr>
      <w:bookmarkStart w:id="0" w:name="_GoBack"/>
      <w:bookmarkEnd w:id="0"/>
      <w:r w:rsidRPr="000677B8">
        <w:rPr>
          <w:rFonts w:ascii="Arial" w:hAnsi="Arial" w:cs="Arial"/>
          <w:sz w:val="24"/>
          <w:szCs w:val="24"/>
        </w:rPr>
        <w:t>Introduction</w:t>
      </w:r>
      <w:r w:rsidRPr="000677B8">
        <w:rPr>
          <w:rFonts w:ascii="Arial" w:hAnsi="Arial" w:cs="Arial"/>
          <w:sz w:val="24"/>
          <w:szCs w:val="24"/>
        </w:rPr>
        <w:tab/>
      </w:r>
    </w:p>
    <w:p w14:paraId="586F123D" w14:textId="77777777" w:rsidR="00FE7FC8" w:rsidRDefault="00FE7FC8" w:rsidP="000677B8">
      <w:pPr>
        <w:spacing w:after="0" w:line="240" w:lineRule="auto"/>
        <w:jc w:val="both"/>
        <w:rPr>
          <w:rFonts w:ascii="Times New Roman" w:hAnsi="Times New Roman" w:cs="Times New Roman"/>
          <w:sz w:val="24"/>
          <w:szCs w:val="24"/>
        </w:rPr>
      </w:pPr>
    </w:p>
    <w:p w14:paraId="2A90BE56" w14:textId="43FE9DC6"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 xml:space="preserve">For many years, casino managers have collected data on players, including wagering information and demographic information, and have used this information to help manage customer relationships (Watson </w:t>
      </w:r>
      <w:r w:rsidR="00E32A49">
        <w:rPr>
          <w:rFonts w:ascii="Times New Roman" w:hAnsi="Times New Roman" w:cs="Times New Roman"/>
          <w:sz w:val="24"/>
          <w:szCs w:val="24"/>
        </w:rPr>
        <w:t>and</w:t>
      </w:r>
      <w:r w:rsidRPr="00884C90">
        <w:rPr>
          <w:rFonts w:ascii="Times New Roman" w:hAnsi="Times New Roman" w:cs="Times New Roman"/>
          <w:sz w:val="24"/>
          <w:szCs w:val="24"/>
        </w:rPr>
        <w:t xml:space="preserve"> Kale, 2003).  This information, captured in the casino management system, allows casino marketing professionals to develop a profile of each player and to design a CRM reinvestment program with a goal of building loyalty through encouraging repeat visits and increasing overall customer profitability (Klebanow, 2009).  The reliance upon database marketing to strengthen market share and customer loyalty has been increasing (Lucas</w:t>
      </w:r>
      <w:r w:rsidR="00D77A8E">
        <w:rPr>
          <w:rFonts w:ascii="Times New Roman" w:hAnsi="Times New Roman" w:cs="Times New Roman"/>
          <w:sz w:val="24"/>
          <w:szCs w:val="24"/>
        </w:rPr>
        <w:t xml:space="preserve"> et al.</w:t>
      </w:r>
      <w:r w:rsidRPr="00884C90">
        <w:rPr>
          <w:rFonts w:ascii="Times New Roman" w:hAnsi="Times New Roman" w:cs="Times New Roman"/>
          <w:sz w:val="24"/>
          <w:szCs w:val="24"/>
        </w:rPr>
        <w:t>, 2005) yet, according to Kale (200</w:t>
      </w:r>
      <w:r w:rsidR="00594E77">
        <w:rPr>
          <w:rFonts w:ascii="Times New Roman" w:hAnsi="Times New Roman" w:cs="Times New Roman"/>
          <w:sz w:val="24"/>
          <w:szCs w:val="24"/>
        </w:rPr>
        <w:t>3</w:t>
      </w:r>
      <w:r w:rsidRPr="00884C90">
        <w:rPr>
          <w:rFonts w:ascii="Times New Roman" w:hAnsi="Times New Roman" w:cs="Times New Roman"/>
          <w:sz w:val="24"/>
          <w:szCs w:val="24"/>
        </w:rPr>
        <w:t xml:space="preserve">) the industry has experienced around a 70% failure rate in the implementation of CRM.  Yet, casino managers continue to allocate a greater portion of marketing dollars to customer loyalty programs than do any other segment of the hospitality industry (Klebanow, 2009).  </w:t>
      </w:r>
    </w:p>
    <w:p w14:paraId="0DE2B7EC" w14:textId="286CE245"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The number of U.S. states with legalized casino gambling continues to increase (American Gaming Association [AGA], 201</w:t>
      </w:r>
      <w:r w:rsidR="00F47609">
        <w:rPr>
          <w:rFonts w:ascii="Times New Roman" w:hAnsi="Times New Roman" w:cs="Times New Roman"/>
          <w:sz w:val="24"/>
          <w:szCs w:val="24"/>
        </w:rPr>
        <w:t>7</w:t>
      </w:r>
      <w:r w:rsidRPr="00884C90">
        <w:rPr>
          <w:rFonts w:ascii="Times New Roman" w:hAnsi="Times New Roman" w:cs="Times New Roman"/>
          <w:sz w:val="24"/>
          <w:szCs w:val="24"/>
        </w:rPr>
        <w:t>) and the economic environment has continued to be slow to recover in the gaming industry since 2008 (Eadington, 2009</w:t>
      </w:r>
      <w:r w:rsidR="00F47609">
        <w:rPr>
          <w:rFonts w:ascii="Times New Roman" w:hAnsi="Times New Roman" w:cs="Times New Roman"/>
          <w:sz w:val="24"/>
          <w:szCs w:val="24"/>
        </w:rPr>
        <w:t>; AGA 2013</w:t>
      </w:r>
      <w:r w:rsidRPr="00884C90">
        <w:rPr>
          <w:rFonts w:ascii="Times New Roman" w:hAnsi="Times New Roman" w:cs="Times New Roman"/>
          <w:sz w:val="24"/>
          <w:szCs w:val="24"/>
        </w:rPr>
        <w:t xml:space="preserve">).  With profit margins steadily decreasing, casino managers are anxious to better understand the relationship between current CRM practices and casino profitability (Klebanow, 2009).  Casino leaders begin to buy revenue and erode profitability when the player reinvestment rate rises above 35%, as the natural tendency during a difficult economy is to increase marketing spending (Klebanow, 2009).  The casino reinvestment rate to maintain customer loyalty increased from 18-28% in 2005 to 25-43% by 2009, and it remains unknown if CRM programs, which comprise a significant portion of the casino reinvestment rate, have a positive correlation with customer loyalty (Klebanow, </w:t>
      </w:r>
      <w:r w:rsidRPr="00884C90">
        <w:rPr>
          <w:rFonts w:ascii="Times New Roman" w:hAnsi="Times New Roman" w:cs="Times New Roman"/>
          <w:sz w:val="24"/>
          <w:szCs w:val="24"/>
        </w:rPr>
        <w:lastRenderedPageBreak/>
        <w:t>2009).  Lucas</w:t>
      </w:r>
      <w:r w:rsidR="00D77A8E">
        <w:rPr>
          <w:rFonts w:ascii="Times New Roman" w:hAnsi="Times New Roman" w:cs="Times New Roman"/>
          <w:sz w:val="24"/>
          <w:szCs w:val="24"/>
        </w:rPr>
        <w:t xml:space="preserve"> et al.</w:t>
      </w:r>
      <w:r w:rsidRPr="00884C90">
        <w:rPr>
          <w:rFonts w:ascii="Times New Roman" w:hAnsi="Times New Roman" w:cs="Times New Roman"/>
          <w:sz w:val="24"/>
          <w:szCs w:val="24"/>
        </w:rPr>
        <w:t xml:space="preserve"> (2002) indicated even once-profitable players can become an unattractive investment in an environment with increased player-acquisition costs.</w:t>
      </w:r>
    </w:p>
    <w:p w14:paraId="4DB68192" w14:textId="15BF28E1"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 xml:space="preserve">The basic principle of CRM is not only to send mail to a database of customers but also to understand and build an intimate relationship with the customer (Fitzgibbon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White, 2005). Agrawal (2004) indicated key dimensions of a CRM program are maintaining loyal and profitable customers, which can allow a company’s marketing team, through a more targeted marketing program, to communicate with and reward customers more effectively and may lead to customers who are likely to buy more often.  Redemption of a CRM touch point can also create a better understanding of the customer and can lead to an improved retention rate (Chen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Popovich, 2003).  Understanding every communication that a company has with a patron is important to managing a customer relationship through CRM (Fitzgibbon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White, 2005).  An effective CRM program performance, as d</w:t>
      </w:r>
      <w:r w:rsidR="0054782B">
        <w:rPr>
          <w:rFonts w:ascii="Times New Roman" w:hAnsi="Times New Roman" w:cs="Times New Roman"/>
          <w:sz w:val="24"/>
          <w:szCs w:val="24"/>
        </w:rPr>
        <w:t>iscussed</w:t>
      </w:r>
      <w:r w:rsidRPr="00884C90">
        <w:rPr>
          <w:rFonts w:ascii="Times New Roman" w:hAnsi="Times New Roman" w:cs="Times New Roman"/>
          <w:sz w:val="24"/>
          <w:szCs w:val="24"/>
        </w:rPr>
        <w:t xml:space="preserve"> by Shafia</w:t>
      </w:r>
      <w:r w:rsidR="00D77A8E">
        <w:rPr>
          <w:rFonts w:ascii="Times New Roman" w:hAnsi="Times New Roman" w:cs="Times New Roman"/>
          <w:sz w:val="24"/>
          <w:szCs w:val="24"/>
        </w:rPr>
        <w:t xml:space="preserve"> et al.</w:t>
      </w:r>
      <w:r w:rsidRPr="00884C90">
        <w:rPr>
          <w:rFonts w:ascii="Times New Roman" w:hAnsi="Times New Roman" w:cs="Times New Roman"/>
          <w:sz w:val="24"/>
          <w:szCs w:val="24"/>
        </w:rPr>
        <w:t xml:space="preserve"> (2011), will increase customer loyalty, increase market share, and expand customer value.  </w:t>
      </w:r>
    </w:p>
    <w:p w14:paraId="6D9597A7" w14:textId="70BDAC67"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Understanding the definition of loyalty with a company is also important.  Many company leaders measure loyalty over time by reviewing the amount and frequency of purchase (Noone</w:t>
      </w:r>
      <w:r w:rsidR="00D77A8E">
        <w:rPr>
          <w:rFonts w:ascii="Times New Roman" w:hAnsi="Times New Roman" w:cs="Times New Roman"/>
          <w:sz w:val="24"/>
          <w:szCs w:val="24"/>
        </w:rPr>
        <w:t xml:space="preserve"> et al.</w:t>
      </w:r>
      <w:r w:rsidR="002417CD">
        <w:rPr>
          <w:rFonts w:ascii="Times New Roman" w:hAnsi="Times New Roman" w:cs="Times New Roman"/>
          <w:sz w:val="24"/>
          <w:szCs w:val="24"/>
        </w:rPr>
        <w:t xml:space="preserve">, </w:t>
      </w:r>
      <w:r w:rsidRPr="00884C90">
        <w:rPr>
          <w:rFonts w:ascii="Times New Roman" w:hAnsi="Times New Roman" w:cs="Times New Roman"/>
          <w:sz w:val="24"/>
          <w:szCs w:val="24"/>
        </w:rPr>
        <w:t xml:space="preserve">2003).  Customer loyalty is an important part of customer retention, and the most profitable customer is a satisfied customer (Clow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Baack, 2010).  </w:t>
      </w:r>
    </w:p>
    <w:p w14:paraId="1EE7C4CD" w14:textId="7CAB96C1"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The purpose of the study was to determine if relationships existed among direct mail CRM programs and casino loyalty.  This study had the unique opportunity to compare customer visitation and value data prior to the implementation of a direct mail CRM program, to the same customer visitation and value data, after the implementation of a direct mail CRM program.  This allowed for a look at both the advertising and the promotional value of direct mail CRM.</w:t>
      </w:r>
    </w:p>
    <w:p w14:paraId="381B9F3A" w14:textId="77777777" w:rsidR="00FE7FC8" w:rsidRDefault="00FE7FC8" w:rsidP="000677B8">
      <w:pPr>
        <w:spacing w:after="0" w:line="240" w:lineRule="auto"/>
        <w:jc w:val="both"/>
        <w:rPr>
          <w:rFonts w:ascii="Arial" w:hAnsi="Arial" w:cs="Arial"/>
          <w:sz w:val="24"/>
          <w:szCs w:val="24"/>
        </w:rPr>
      </w:pPr>
    </w:p>
    <w:p w14:paraId="3C75ABF0" w14:textId="7AE8E124"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Casino Database Marketing</w:t>
      </w:r>
      <w:r w:rsidRPr="000677B8">
        <w:rPr>
          <w:rFonts w:ascii="Arial" w:hAnsi="Arial" w:cs="Arial"/>
          <w:sz w:val="24"/>
          <w:szCs w:val="24"/>
        </w:rPr>
        <w:tab/>
      </w:r>
    </w:p>
    <w:p w14:paraId="16B85195" w14:textId="77777777" w:rsidR="00FE7FC8" w:rsidRDefault="00FE7FC8" w:rsidP="000677B8">
      <w:pPr>
        <w:spacing w:after="0" w:line="240" w:lineRule="auto"/>
        <w:jc w:val="both"/>
        <w:rPr>
          <w:rFonts w:ascii="Times New Roman" w:hAnsi="Times New Roman" w:cs="Times New Roman"/>
          <w:sz w:val="24"/>
          <w:szCs w:val="24"/>
        </w:rPr>
      </w:pPr>
    </w:p>
    <w:p w14:paraId="0951EA43" w14:textId="19F79DAF"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 xml:space="preserve">Casino managers in the commercial casino industry use the term player reinvestment to describe all the marketing expenses used to foster loyalty, encourage repeat visitation, and encourage increased spending per visit for patrons who are members of casino reward programs (Klebanow, 2009).  Over time, casino managers are able to collect demographic information as well as spending habits and patterns for each patron enrolled in the reward or loyalty program.  Casino managers are also able to track the reinvestment methods used for each patron as well as the dollar amount reinvested.  Klebanow (2009) encouraged casino professionals to employ a higher level of marketing discipline by initiating and monitoring the optimal player reinvestment, which requires a strategic approach to the marketing and relationship strategies employed by casino managers.  </w:t>
      </w:r>
    </w:p>
    <w:p w14:paraId="2694B82D" w14:textId="53D1C47B"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 xml:space="preserve">According to Watson and Kale (2003), 20% to 40% of most organizations’ customers are either not profitable or only marginally profitable, and 20% of the customers may account for approximately 80% of organizations’ profitability.  Thus, understanding lifetime value and the profitable segments of an organization’s customers and correctly applying CRM principles can increase the profitability of an organization (Watson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Kale, 2003).  A complete understanding of a casino customer, through an effective CRM strategy can translate into customer loyalty, leading to customer retention and increased profitability (Hsieh, 2009).</w:t>
      </w:r>
    </w:p>
    <w:p w14:paraId="326A53CA" w14:textId="6ABD134A"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Researchers, focusing on the impact of casino marketing efforts, have shown an increase in revenue but often at the expense of profitability when analyzing the impact of player reinvestment programs (Lucas and Brewer, 2001; Lucas and Santos, 2003; Lucas</w:t>
      </w:r>
      <w:r w:rsidR="00D77A8E">
        <w:rPr>
          <w:rFonts w:ascii="Times New Roman" w:hAnsi="Times New Roman" w:cs="Times New Roman"/>
          <w:sz w:val="24"/>
          <w:szCs w:val="24"/>
        </w:rPr>
        <w:t xml:space="preserve"> et al.</w:t>
      </w:r>
      <w:r w:rsidRPr="00884C90">
        <w:rPr>
          <w:rFonts w:ascii="Times New Roman" w:hAnsi="Times New Roman" w:cs="Times New Roman"/>
          <w:sz w:val="24"/>
          <w:szCs w:val="24"/>
        </w:rPr>
        <w:t>, 2005; Suh and Lucas, 2011</w:t>
      </w:r>
      <w:r w:rsidR="0054782B">
        <w:rPr>
          <w:rFonts w:ascii="Times New Roman" w:hAnsi="Times New Roman" w:cs="Times New Roman"/>
          <w:sz w:val="24"/>
          <w:szCs w:val="24"/>
        </w:rPr>
        <w:t>;</w:t>
      </w:r>
      <w:r w:rsidRPr="00884C90">
        <w:rPr>
          <w:rFonts w:ascii="Times New Roman" w:hAnsi="Times New Roman" w:cs="Times New Roman"/>
          <w:sz w:val="24"/>
          <w:szCs w:val="24"/>
        </w:rPr>
        <w:t xml:space="preserve"> Suh</w:t>
      </w:r>
      <w:r w:rsidR="00D77A8E">
        <w:rPr>
          <w:rFonts w:ascii="Times New Roman" w:hAnsi="Times New Roman" w:cs="Times New Roman"/>
          <w:sz w:val="24"/>
          <w:szCs w:val="24"/>
        </w:rPr>
        <w:t xml:space="preserve"> et al.</w:t>
      </w:r>
      <w:r w:rsidRPr="00884C90">
        <w:rPr>
          <w:rFonts w:ascii="Times New Roman" w:hAnsi="Times New Roman" w:cs="Times New Roman"/>
          <w:sz w:val="24"/>
          <w:szCs w:val="24"/>
        </w:rPr>
        <w:t>, 2014</w:t>
      </w:r>
      <w:r w:rsidR="000D508E" w:rsidRPr="00884C90">
        <w:rPr>
          <w:rFonts w:ascii="Times New Roman" w:hAnsi="Times New Roman" w:cs="Times New Roman"/>
          <w:sz w:val="24"/>
          <w:szCs w:val="24"/>
        </w:rPr>
        <w:t>).</w:t>
      </w:r>
      <w:r w:rsidRPr="00884C90">
        <w:rPr>
          <w:rFonts w:ascii="Times New Roman" w:hAnsi="Times New Roman" w:cs="Times New Roman"/>
          <w:sz w:val="24"/>
          <w:szCs w:val="24"/>
        </w:rPr>
        <w:t xml:space="preserve">  Suh (2012) found no relationship between the monetary value of a coupon and increased revenue.  The profitability of casino marketing efforts, through the use of promotions or direct mail, remains unknown (Lucas, 2004).</w:t>
      </w:r>
    </w:p>
    <w:p w14:paraId="341D4420" w14:textId="0EC72FE0" w:rsid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Lucas and Spilde (2017) examined the impact of slot free play on gaming behavior, indicating such reward redemption could be indicative of customer loyalty.  While many researchers have examined the impact of specific types of casino marketing programs as well as incentives on player behavior, little research has been done to understand a customer’s loyalty behavior when the direct mail piece does not motivate an offer redemption thus limiting the impact of the piece to that of an advertising role.  In an advertising study by Hing</w:t>
      </w:r>
      <w:r w:rsidR="00D77A8E">
        <w:rPr>
          <w:rFonts w:ascii="Times New Roman" w:hAnsi="Times New Roman" w:cs="Times New Roman"/>
          <w:sz w:val="24"/>
          <w:szCs w:val="24"/>
        </w:rPr>
        <w:t xml:space="preserve"> et al. </w:t>
      </w:r>
      <w:r w:rsidRPr="00884C90">
        <w:rPr>
          <w:rFonts w:ascii="Times New Roman" w:hAnsi="Times New Roman" w:cs="Times New Roman"/>
          <w:sz w:val="24"/>
          <w:szCs w:val="24"/>
        </w:rPr>
        <w:t xml:space="preserve">(2014), existing Internet gamblers showed an increase in gambling behavior when exposed to advertising as well as to various inducements or incentives used to promote Internet gambling.  The initial focus of this study was to examine gambling behavior when exposed to direct mail as a form of advertising (when no redemption occurs), yet </w:t>
      </w:r>
      <w:r w:rsidR="00F439F2">
        <w:rPr>
          <w:rFonts w:ascii="Times New Roman" w:hAnsi="Times New Roman" w:cs="Times New Roman"/>
          <w:sz w:val="24"/>
          <w:szCs w:val="24"/>
        </w:rPr>
        <w:t>with</w:t>
      </w:r>
      <w:r w:rsidRPr="00884C90">
        <w:rPr>
          <w:rFonts w:ascii="Times New Roman" w:hAnsi="Times New Roman" w:cs="Times New Roman"/>
          <w:sz w:val="24"/>
          <w:szCs w:val="24"/>
        </w:rPr>
        <w:t xml:space="preserve"> the </w:t>
      </w:r>
      <w:r w:rsidR="00F439F2">
        <w:rPr>
          <w:rFonts w:ascii="Times New Roman" w:hAnsi="Times New Roman" w:cs="Times New Roman"/>
          <w:sz w:val="24"/>
          <w:szCs w:val="24"/>
        </w:rPr>
        <w:t xml:space="preserve">availability of the </w:t>
      </w:r>
      <w:r w:rsidRPr="00884C90">
        <w:rPr>
          <w:rFonts w:ascii="Times New Roman" w:hAnsi="Times New Roman" w:cs="Times New Roman"/>
          <w:sz w:val="24"/>
          <w:szCs w:val="24"/>
        </w:rPr>
        <w:t xml:space="preserve">data, </w:t>
      </w:r>
      <w:r w:rsidR="00F439F2">
        <w:rPr>
          <w:rFonts w:ascii="Times New Roman" w:hAnsi="Times New Roman" w:cs="Times New Roman"/>
          <w:sz w:val="24"/>
          <w:szCs w:val="24"/>
        </w:rPr>
        <w:t xml:space="preserve">the study </w:t>
      </w:r>
      <w:r w:rsidRPr="00884C90">
        <w:rPr>
          <w:rFonts w:ascii="Times New Roman" w:hAnsi="Times New Roman" w:cs="Times New Roman"/>
          <w:sz w:val="24"/>
          <w:szCs w:val="24"/>
        </w:rPr>
        <w:t xml:space="preserve">went further to investigate the impact of a direct mail on loyalty, studying both the customer who redeemed </w:t>
      </w:r>
      <w:r w:rsidR="002417CD">
        <w:rPr>
          <w:rFonts w:ascii="Times New Roman" w:hAnsi="Times New Roman" w:cs="Times New Roman"/>
          <w:sz w:val="24"/>
          <w:szCs w:val="24"/>
        </w:rPr>
        <w:t>an</w:t>
      </w:r>
      <w:r w:rsidRPr="00884C90">
        <w:rPr>
          <w:rFonts w:ascii="Times New Roman" w:hAnsi="Times New Roman" w:cs="Times New Roman"/>
          <w:sz w:val="24"/>
          <w:szCs w:val="24"/>
        </w:rPr>
        <w:t xml:space="preserve"> offer and those who did not redeem an offer.  </w:t>
      </w:r>
    </w:p>
    <w:p w14:paraId="381E8EFB" w14:textId="77777777" w:rsidR="00FE7FC8" w:rsidRDefault="00FE7FC8" w:rsidP="000677B8">
      <w:pPr>
        <w:spacing w:after="0" w:line="240" w:lineRule="auto"/>
        <w:jc w:val="both"/>
        <w:rPr>
          <w:rFonts w:ascii="Arial" w:hAnsi="Arial" w:cs="Arial"/>
          <w:sz w:val="24"/>
          <w:szCs w:val="24"/>
        </w:rPr>
      </w:pPr>
    </w:p>
    <w:p w14:paraId="61CB4E00" w14:textId="77777777"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Customer Relationship Management (CRM)</w:t>
      </w:r>
    </w:p>
    <w:p w14:paraId="07600276" w14:textId="77777777" w:rsidR="00FE7FC8" w:rsidRDefault="00FE7FC8" w:rsidP="000677B8">
      <w:pPr>
        <w:spacing w:after="0" w:line="240" w:lineRule="auto"/>
        <w:jc w:val="both"/>
        <w:rPr>
          <w:rFonts w:ascii="Times New Roman" w:hAnsi="Times New Roman" w:cs="Times New Roman"/>
          <w:sz w:val="24"/>
          <w:szCs w:val="24"/>
        </w:rPr>
      </w:pPr>
    </w:p>
    <w:p w14:paraId="4F7C2FB0" w14:textId="4B68F381"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In early marketing paradigms, marketing managers focused on simply satisfying customer needs, evolving to serving customer wants and then to customer desires, customer demands and expectations, customer preferences, and customer retention (Agrawal, 2004).  This marketing evolution led marketing managers to CRM (Agrawal, 2004).  Chen and Popovich (2003</w:t>
      </w:r>
      <w:r w:rsidR="00D77A8E">
        <w:rPr>
          <w:rFonts w:ascii="Times New Roman" w:hAnsi="Times New Roman" w:cs="Times New Roman"/>
          <w:sz w:val="24"/>
          <w:szCs w:val="24"/>
        </w:rPr>
        <w:t>: 672</w:t>
      </w:r>
      <w:r w:rsidRPr="00884C90">
        <w:rPr>
          <w:rFonts w:ascii="Times New Roman" w:hAnsi="Times New Roman" w:cs="Times New Roman"/>
          <w:sz w:val="24"/>
          <w:szCs w:val="24"/>
        </w:rPr>
        <w:t xml:space="preserve">) defined CRM as “a combination of people, processes, and technology that seeks to understand a company’s customers”.  Customer relationship management involves identifying companies’ best customers and retaining customers using satisfaction and retention mechanisms (Kennedy, 2006).  </w:t>
      </w:r>
    </w:p>
    <w:p w14:paraId="6A3E5D09" w14:textId="05D989DF"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 xml:space="preserve">As a customer-focused strategy, CRM fulfills and builds customer relationships and customer loyalty to generate maximum profit (Agrawal, 2004; Cuthbertson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Laine, 2004; Schierholz</w:t>
      </w:r>
      <w:r w:rsidR="00D77A8E">
        <w:rPr>
          <w:rFonts w:ascii="Times New Roman" w:hAnsi="Times New Roman" w:cs="Times New Roman"/>
          <w:sz w:val="24"/>
          <w:szCs w:val="24"/>
        </w:rPr>
        <w:t xml:space="preserve"> et al.</w:t>
      </w:r>
      <w:r w:rsidR="00D72B85">
        <w:rPr>
          <w:rFonts w:ascii="Times New Roman" w:hAnsi="Times New Roman" w:cs="Times New Roman"/>
          <w:sz w:val="24"/>
          <w:szCs w:val="24"/>
        </w:rPr>
        <w:t>,</w:t>
      </w:r>
      <w:r w:rsidR="00D72B85" w:rsidRPr="00D72B85">
        <w:rPr>
          <w:rFonts w:ascii="Times New Roman" w:eastAsia="Calibri" w:hAnsi="Times New Roman" w:cs="Times New Roman"/>
          <w:sz w:val="24"/>
          <w:szCs w:val="24"/>
        </w:rPr>
        <w:t xml:space="preserve"> </w:t>
      </w:r>
      <w:r w:rsidRPr="00884C90">
        <w:rPr>
          <w:rFonts w:ascii="Times New Roman" w:hAnsi="Times New Roman" w:cs="Times New Roman"/>
          <w:sz w:val="24"/>
          <w:szCs w:val="24"/>
        </w:rPr>
        <w:t>2007; Shafia et al., 2011).  To generate maximum profit, CRM must balance the investment into customers while fulfilling customer needs and creating value for customers (Schierholz et al., 2007; Shafia et al., 2011).  Customer relationship management makes it possible for company leaders to create profitable, long-term relationships with customers that create value for both the organization and the customer (Kim</w:t>
      </w:r>
      <w:r w:rsidR="00D77A8E">
        <w:rPr>
          <w:rFonts w:ascii="Times New Roman" w:hAnsi="Times New Roman" w:cs="Times New Roman"/>
          <w:sz w:val="24"/>
          <w:szCs w:val="24"/>
        </w:rPr>
        <w:t xml:space="preserve"> et al.</w:t>
      </w:r>
      <w:r w:rsidRPr="00884C90">
        <w:rPr>
          <w:rFonts w:ascii="Times New Roman" w:hAnsi="Times New Roman" w:cs="Times New Roman"/>
          <w:sz w:val="24"/>
          <w:szCs w:val="24"/>
        </w:rPr>
        <w:t>, 2012).</w:t>
      </w:r>
    </w:p>
    <w:p w14:paraId="758403E6" w14:textId="518402D1"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 xml:space="preserve"> </w:t>
      </w:r>
      <w:r>
        <w:rPr>
          <w:rFonts w:ascii="Times New Roman" w:hAnsi="Times New Roman" w:cs="Times New Roman"/>
          <w:sz w:val="24"/>
          <w:szCs w:val="24"/>
        </w:rPr>
        <w:tab/>
      </w:r>
      <w:r w:rsidRPr="00884C90">
        <w:rPr>
          <w:rFonts w:ascii="Times New Roman" w:hAnsi="Times New Roman" w:cs="Times New Roman"/>
          <w:sz w:val="24"/>
          <w:szCs w:val="24"/>
        </w:rPr>
        <w:t>Effectively used</w:t>
      </w:r>
      <w:r w:rsidR="00A90CC9">
        <w:rPr>
          <w:rFonts w:ascii="Times New Roman" w:hAnsi="Times New Roman" w:cs="Times New Roman"/>
          <w:sz w:val="24"/>
          <w:szCs w:val="24"/>
        </w:rPr>
        <w:t>,</w:t>
      </w:r>
      <w:r w:rsidRPr="00884C90">
        <w:rPr>
          <w:rFonts w:ascii="Times New Roman" w:hAnsi="Times New Roman" w:cs="Times New Roman"/>
          <w:sz w:val="24"/>
          <w:szCs w:val="24"/>
        </w:rPr>
        <w:t xml:space="preserve"> CRM can reduce the marketing expenditures of a company by eliminating waste resulting from untargeted campaigns and eliminating excessive interactions (Pedron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Saccol, 2009).  Agrawal (2004) indicated a customized CRM strategy focused on profitable customers might reduce customer churn and increase profits.  Company performance and enhanced customer loyalty can be attributable to CRM (Hillebrand</w:t>
      </w:r>
      <w:r w:rsidR="00D77A8E">
        <w:rPr>
          <w:rFonts w:ascii="Times New Roman" w:hAnsi="Times New Roman" w:cs="Times New Roman"/>
          <w:sz w:val="24"/>
          <w:szCs w:val="24"/>
        </w:rPr>
        <w:t xml:space="preserve"> et al.</w:t>
      </w:r>
      <w:r w:rsidRPr="00884C90">
        <w:rPr>
          <w:rFonts w:ascii="Times New Roman" w:hAnsi="Times New Roman" w:cs="Times New Roman"/>
          <w:sz w:val="24"/>
          <w:szCs w:val="24"/>
        </w:rPr>
        <w:t>, 2011).</w:t>
      </w:r>
    </w:p>
    <w:p w14:paraId="64968264" w14:textId="2AB6B75F" w:rsidR="00884C90" w:rsidRPr="00884C90" w:rsidRDefault="00881D01"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884C90" w:rsidRPr="00884C90">
        <w:rPr>
          <w:rFonts w:ascii="Times New Roman" w:hAnsi="Times New Roman" w:cs="Times New Roman"/>
          <w:sz w:val="24"/>
          <w:szCs w:val="24"/>
        </w:rPr>
        <w:t xml:space="preserve">Nairn (2002), indicated the focus of CRM reward systems should be retaining profitable customers rather than acquiring new customers, as retaining profitable customers will lead to the highest profit potential for the organization.  Cuthbertson and Laine (2004) indicated the implementation of CRM must be correct or it can fail, and failure can be costly to organizations in terms of the dollars spent on hardware and software infrastructure and the rewards given to customers to build program loyalty.  </w:t>
      </w:r>
    </w:p>
    <w:p w14:paraId="7D152FA2" w14:textId="24CD899E"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 xml:space="preserve">According to Mohammed and Rashid (2012), there is very little research on CRM in the hospitality industry, even though use of the strategy has increased in the hospitality and tourism sector.  Mohammed and Rashid (2012) assumed the increased focus on CRM as a strategy is due to the increasing costs of customer acquisition, the increased level of customer expectations, the increased number of price-sensitive travelers, and the loss of brand loyalty in uncertain markets.  In the hospitality industry, where most products and services are similar, organizational leaders use CRM to develop long-term relationships with customers that can lead to a higher level of profitability (Luck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Lancaster, 2013).  </w:t>
      </w:r>
    </w:p>
    <w:p w14:paraId="30D15CFA" w14:textId="694428D4" w:rsid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 xml:space="preserve">Commercial casino managers use direct mail as a form of player reinvestment to communicate offers and promotions to various segments of casino loyalty programs.  </w:t>
      </w:r>
      <w:r w:rsidR="00884647">
        <w:rPr>
          <w:rFonts w:ascii="Times New Roman" w:hAnsi="Times New Roman" w:cs="Times New Roman"/>
          <w:sz w:val="24"/>
          <w:szCs w:val="24"/>
        </w:rPr>
        <w:t>Designing market segmentation necessitates an understanding of loyalty (Vel</w:t>
      </w:r>
      <w:r w:rsidR="00BA3A72">
        <w:rPr>
          <w:rFonts w:ascii="Times New Roman" w:hAnsi="Times New Roman" w:cs="Times New Roman"/>
          <w:sz w:val="24"/>
          <w:szCs w:val="24"/>
        </w:rPr>
        <w:t>á</w:t>
      </w:r>
      <w:r w:rsidR="00884647">
        <w:rPr>
          <w:rFonts w:ascii="Times New Roman" w:hAnsi="Times New Roman" w:cs="Times New Roman"/>
          <w:sz w:val="24"/>
          <w:szCs w:val="24"/>
        </w:rPr>
        <w:t>zquez</w:t>
      </w:r>
      <w:r w:rsidR="00BA3A72">
        <w:rPr>
          <w:rFonts w:ascii="Times New Roman" w:hAnsi="Times New Roman" w:cs="Times New Roman"/>
          <w:sz w:val="24"/>
          <w:szCs w:val="24"/>
        </w:rPr>
        <w:t xml:space="preserve"> et al.</w:t>
      </w:r>
      <w:r w:rsidR="00884647">
        <w:rPr>
          <w:rFonts w:ascii="Times New Roman" w:hAnsi="Times New Roman" w:cs="Times New Roman"/>
          <w:sz w:val="24"/>
          <w:szCs w:val="24"/>
        </w:rPr>
        <w:t xml:space="preserve">, 2011).  </w:t>
      </w:r>
      <w:r w:rsidRPr="00884C90">
        <w:rPr>
          <w:rFonts w:ascii="Times New Roman" w:hAnsi="Times New Roman" w:cs="Times New Roman"/>
          <w:sz w:val="24"/>
          <w:szCs w:val="24"/>
        </w:rPr>
        <w:t>The value of the offers is dependent upon the value of the customer and helps to build loyalty and encourage repeat visitation (Klebanow, 2009).  In the regional and local casino markets, the direct mail offers are often sent monthly, are personalized, and are often based on the recency, frequency, monetary value (RFM) of the customer.  As casino managers announce CRM initiatives, direct mail is the primary tool for CRM implementation (Kale, 2003), with call centers and e-mail mentioned for only select groups of customers.  Kale (2003) reported 20% growth in profitability for Harrah’s, a national gaming company, after company leaders implemented a CRM strategy based on data analysis of the customer transactional database.</w:t>
      </w:r>
    </w:p>
    <w:p w14:paraId="094B2317" w14:textId="77777777" w:rsidR="00FE7FC8" w:rsidRDefault="00FE7FC8" w:rsidP="000677B8">
      <w:pPr>
        <w:spacing w:after="0" w:line="240" w:lineRule="auto"/>
        <w:jc w:val="both"/>
        <w:rPr>
          <w:rFonts w:ascii="Arial" w:hAnsi="Arial" w:cs="Arial"/>
          <w:sz w:val="24"/>
          <w:szCs w:val="24"/>
        </w:rPr>
      </w:pPr>
    </w:p>
    <w:p w14:paraId="6AE8B7DD" w14:textId="77777777"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Customer Loyalty</w:t>
      </w:r>
    </w:p>
    <w:p w14:paraId="228DE201" w14:textId="77777777" w:rsidR="00FE7FC8" w:rsidRDefault="00FE7FC8" w:rsidP="000677B8">
      <w:pPr>
        <w:spacing w:after="0" w:line="240" w:lineRule="auto"/>
        <w:jc w:val="both"/>
        <w:rPr>
          <w:rFonts w:ascii="Times New Roman" w:hAnsi="Times New Roman" w:cs="Times New Roman"/>
          <w:sz w:val="24"/>
          <w:szCs w:val="24"/>
        </w:rPr>
      </w:pPr>
    </w:p>
    <w:p w14:paraId="7CE27957" w14:textId="145266CB"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 xml:space="preserve">Researchers define and measure customer loyalty in many ways.  The general definition of customer loyalty is the commitment, intention, or action of purchasing a product or service repeatedly now and in the future (Chu, 2009; Juan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Yan, 2009; Khan, 2013).  The repetition leads to customer loyalty, which is the ultimate goal of an organization.  The current study includes a composite definition of behavioral and attitudinal loyalty used by Bowen and Chen (2001), where loyalty refers to customers who have a commitment to repurchase.</w:t>
      </w:r>
    </w:p>
    <w:p w14:paraId="1755F9B7" w14:textId="086ADF59"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Mascarenhas</w:t>
      </w:r>
      <w:r w:rsidR="00BA3A72">
        <w:rPr>
          <w:rFonts w:ascii="Times New Roman" w:hAnsi="Times New Roman" w:cs="Times New Roman"/>
          <w:sz w:val="24"/>
          <w:szCs w:val="24"/>
        </w:rPr>
        <w:t xml:space="preserve"> et al.</w:t>
      </w:r>
      <w:r w:rsidRPr="00884C90">
        <w:rPr>
          <w:rFonts w:ascii="Times New Roman" w:hAnsi="Times New Roman" w:cs="Times New Roman"/>
          <w:sz w:val="24"/>
          <w:szCs w:val="24"/>
        </w:rPr>
        <w:t xml:space="preserve"> (2006) discussed behavioral and attitudinal loyalty describing behavioral loyalty, or divided loyalty, traditionally including purchase and usage behavior.  The level of satisfaction a customer is experiencing influences this type of loyalty.  Company leaders often measure behavioral loyalty by comparing previous purchases of the company brand to purchases of competitors’ brands.  Attitudinal loyalty, or strong loyalty, is a consistent and ongoing relationship with the brand often based on the customers’ preference for the brand.  Mascarenhas et al. (2006) indicated behavioral and attitudinal aspects of loyalty are most critical to market share and long-term sales.  Fitzgibbon and White (2005) explained both attitudinal and behavioral loyalty lead to the ability to maintain higher profits in a company.  </w:t>
      </w:r>
    </w:p>
    <w:p w14:paraId="5859A5BD" w14:textId="09DDD092" w:rsid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884647">
        <w:rPr>
          <w:rFonts w:ascii="Times New Roman" w:hAnsi="Times New Roman" w:cs="Times New Roman"/>
          <w:sz w:val="24"/>
          <w:szCs w:val="24"/>
        </w:rPr>
        <w:t>Marketing actions to increase loyalty to maintain the customer relationship is key in any marketing program (Vel</w:t>
      </w:r>
      <w:r w:rsidR="00BA3A72">
        <w:rPr>
          <w:rFonts w:ascii="Times New Roman" w:hAnsi="Times New Roman" w:cs="Times New Roman"/>
          <w:sz w:val="24"/>
          <w:szCs w:val="24"/>
        </w:rPr>
        <w:t>á</w:t>
      </w:r>
      <w:r w:rsidR="00884647">
        <w:rPr>
          <w:rFonts w:ascii="Times New Roman" w:hAnsi="Times New Roman" w:cs="Times New Roman"/>
          <w:sz w:val="24"/>
          <w:szCs w:val="24"/>
        </w:rPr>
        <w:t xml:space="preserve">zquez et al., 2011).  </w:t>
      </w:r>
      <w:r w:rsidRPr="00884C90">
        <w:rPr>
          <w:rFonts w:ascii="Times New Roman" w:hAnsi="Times New Roman" w:cs="Times New Roman"/>
          <w:sz w:val="24"/>
          <w:szCs w:val="24"/>
        </w:rPr>
        <w:t xml:space="preserve">According to Prentice (2013), casino marketing management has determined, through relationship marketing strategies, that the retention of loyal customers is more profitable than the acquisition of new customers.  Watson and Kale (2003) indicated the gross profits of a casino can significantly increase if certain customer relationships continue for a longer period of time.  Khan (2013) noted it can cost five to six times more to acquire a new customer than to maintain an existing customer, and an increase in even 5% of customers retained can increase profits from 25% to 125%.  Vinod (2011) indicated it costs three times more to acquire a customer than to retain a customer, whereas Juan and Yan (2009) indicated it is five times costlier to attract a new customer than to retain a customer.  A loyalty program must maximize the profitability of the company, which can involve linking loyalty to profitability through recognizing the patronage of customers and rewarding them according to their level of patronage (Kumar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Rajan, 2009). </w:t>
      </w:r>
    </w:p>
    <w:p w14:paraId="38240021" w14:textId="77777777" w:rsidR="00FE7FC8" w:rsidRDefault="00FE7FC8" w:rsidP="000677B8">
      <w:pPr>
        <w:spacing w:after="0" w:line="240" w:lineRule="auto"/>
        <w:jc w:val="both"/>
        <w:rPr>
          <w:rFonts w:ascii="Arial" w:hAnsi="Arial" w:cs="Arial"/>
          <w:sz w:val="24"/>
          <w:szCs w:val="24"/>
        </w:rPr>
      </w:pPr>
    </w:p>
    <w:p w14:paraId="02382FB6" w14:textId="77777777"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Hypotheses</w:t>
      </w:r>
    </w:p>
    <w:p w14:paraId="5825BB91" w14:textId="77777777" w:rsidR="00FE7FC8" w:rsidRDefault="00FE7FC8" w:rsidP="000677B8">
      <w:pPr>
        <w:spacing w:after="0" w:line="240" w:lineRule="auto"/>
        <w:jc w:val="both"/>
        <w:rPr>
          <w:rFonts w:ascii="Times New Roman" w:hAnsi="Times New Roman" w:cs="Times New Roman"/>
          <w:sz w:val="24"/>
          <w:szCs w:val="24"/>
        </w:rPr>
      </w:pPr>
    </w:p>
    <w:p w14:paraId="408B09BF" w14:textId="383E45CD" w:rsid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Figure 1 depicts the conceptual hypothesized model for this study.  The hypotheses in this study relate</w:t>
      </w:r>
      <w:r w:rsidR="00A90CC9">
        <w:rPr>
          <w:rFonts w:ascii="Times New Roman" w:hAnsi="Times New Roman" w:cs="Times New Roman"/>
          <w:sz w:val="24"/>
          <w:szCs w:val="24"/>
        </w:rPr>
        <w:t>d</w:t>
      </w:r>
      <w:r w:rsidRPr="00884C90">
        <w:rPr>
          <w:rFonts w:ascii="Times New Roman" w:hAnsi="Times New Roman" w:cs="Times New Roman"/>
          <w:sz w:val="24"/>
          <w:szCs w:val="24"/>
        </w:rPr>
        <w:t xml:space="preserve"> to CRM program variables that can be used as measures of loyalty.  According to Chen and Popovich (2003), CRM applications can serve as measures of customer loyalty and profitability, which can result in increased revenues and decreased operational costs for many companies.</w:t>
      </w:r>
    </w:p>
    <w:p w14:paraId="4D4B957F" w14:textId="4C9592D6" w:rsidR="00B24A8F" w:rsidRDefault="00B24A8F" w:rsidP="000677B8">
      <w:pPr>
        <w:spacing w:after="0" w:line="240" w:lineRule="auto"/>
        <w:jc w:val="both"/>
        <w:rPr>
          <w:rFonts w:ascii="Times New Roman" w:hAnsi="Times New Roman" w:cs="Times New Roman"/>
          <w:sz w:val="24"/>
          <w:szCs w:val="24"/>
        </w:rPr>
      </w:pPr>
      <w:r w:rsidRPr="007E2B51">
        <w:rPr>
          <w:rFonts w:eastAsia="Calibri"/>
          <w:noProof/>
        </w:rPr>
        <w:drawing>
          <wp:inline distT="0" distB="0" distL="0" distR="0" wp14:anchorId="212EECF7" wp14:editId="175900E9">
            <wp:extent cx="5943600" cy="32099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209925"/>
                    </a:xfrm>
                    <a:prstGeom prst="rect">
                      <a:avLst/>
                    </a:prstGeom>
                    <a:noFill/>
                    <a:ln>
                      <a:noFill/>
                    </a:ln>
                  </pic:spPr>
                </pic:pic>
              </a:graphicData>
            </a:graphic>
          </wp:inline>
        </w:drawing>
      </w:r>
    </w:p>
    <w:p w14:paraId="3101B9CF" w14:textId="5D52507F"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The first and third hypothesis were used to explore the relationship between direct mail and customer loyalty, in Hypothesis 1 as frequency of visitation (CV) and in Hypothesis 3 as the average amount spent per visit (ADT).  ADT has the advantage of generating more precise information for understanding the profitability value of a patron which, according to Fitzgibbon and White (2005), can lead to a more successful CRM program.  For both of these hypotheses, the predictor variable, the mailing of direct mail (DMM), was investigated from the perspective of the ability of direct mail to act as an advertisement (without offer/coupon redemption).</w:t>
      </w:r>
    </w:p>
    <w:p w14:paraId="72459848" w14:textId="5ABB3C44" w:rsidR="00C1780B" w:rsidRPr="00C1780B" w:rsidRDefault="00C1780B" w:rsidP="00FE7FC8">
      <w:pPr>
        <w:spacing w:after="0" w:line="240" w:lineRule="auto"/>
        <w:ind w:left="720"/>
        <w:jc w:val="both"/>
        <w:rPr>
          <w:rFonts w:ascii="Times New Roman" w:hAnsi="Times New Roman" w:cs="Times New Roman"/>
          <w:b/>
          <w:sz w:val="24"/>
          <w:szCs w:val="24"/>
        </w:rPr>
      </w:pPr>
      <w:r w:rsidRPr="00C1780B">
        <w:rPr>
          <w:rFonts w:ascii="Times New Roman" w:hAnsi="Times New Roman" w:cs="Times New Roman"/>
          <w:sz w:val="24"/>
          <w:szCs w:val="24"/>
        </w:rPr>
        <w:t>H1</w:t>
      </w:r>
      <w:r w:rsidRPr="00C1780B">
        <w:rPr>
          <w:rFonts w:ascii="Times New Roman" w:hAnsi="Times New Roman" w:cs="Times New Roman"/>
          <w:sz w:val="24"/>
          <w:szCs w:val="24"/>
          <w:vertAlign w:val="subscript"/>
        </w:rPr>
        <w:t>0</w:t>
      </w:r>
      <w:r w:rsidRPr="00C1780B">
        <w:rPr>
          <w:rFonts w:ascii="Times New Roman" w:hAnsi="Times New Roman" w:cs="Times New Roman"/>
          <w:sz w:val="24"/>
          <w:szCs w:val="24"/>
        </w:rPr>
        <w:t>:</w:t>
      </w:r>
      <w:r w:rsidRPr="00C1780B">
        <w:rPr>
          <w:rFonts w:ascii="Times New Roman" w:hAnsi="Times New Roman" w:cs="Times New Roman"/>
          <w:sz w:val="24"/>
          <w:szCs w:val="24"/>
        </w:rPr>
        <w:tab/>
        <w:t>There is no significant correlation between the mailing of direct mail (DMM) and increased casino customer frequency of visitation (CV).</w:t>
      </w:r>
    </w:p>
    <w:p w14:paraId="72EFF7A4" w14:textId="0B8BCD3D" w:rsidR="00C1780B" w:rsidRPr="00C1780B" w:rsidRDefault="00C1780B" w:rsidP="00FE7FC8">
      <w:pPr>
        <w:spacing w:after="0" w:line="240" w:lineRule="auto"/>
        <w:ind w:left="720"/>
        <w:jc w:val="both"/>
        <w:rPr>
          <w:rFonts w:ascii="Times New Roman" w:hAnsi="Times New Roman" w:cs="Times New Roman"/>
          <w:sz w:val="24"/>
          <w:szCs w:val="24"/>
        </w:rPr>
      </w:pPr>
      <w:r w:rsidRPr="00C1780B">
        <w:rPr>
          <w:rFonts w:ascii="Times New Roman" w:hAnsi="Times New Roman" w:cs="Times New Roman"/>
          <w:sz w:val="24"/>
          <w:szCs w:val="24"/>
        </w:rPr>
        <w:t>H1</w:t>
      </w:r>
      <w:r w:rsidRPr="00C1780B">
        <w:rPr>
          <w:rFonts w:ascii="Times New Roman" w:hAnsi="Times New Roman" w:cs="Times New Roman"/>
          <w:sz w:val="24"/>
          <w:szCs w:val="24"/>
          <w:vertAlign w:val="subscript"/>
        </w:rPr>
        <w:t>A</w:t>
      </w:r>
      <w:r w:rsidRPr="00C1780B">
        <w:rPr>
          <w:rFonts w:ascii="Times New Roman" w:hAnsi="Times New Roman" w:cs="Times New Roman"/>
          <w:sz w:val="24"/>
          <w:szCs w:val="24"/>
        </w:rPr>
        <w:t>:</w:t>
      </w:r>
      <w:r w:rsidRPr="00C1780B">
        <w:rPr>
          <w:rFonts w:ascii="Times New Roman" w:hAnsi="Times New Roman" w:cs="Times New Roman"/>
          <w:sz w:val="24"/>
          <w:szCs w:val="24"/>
        </w:rPr>
        <w:tab/>
        <w:t xml:space="preserve">There is a significant correlation between the mailing of direct mail </w:t>
      </w:r>
      <w:r>
        <w:rPr>
          <w:rFonts w:ascii="Times New Roman" w:hAnsi="Times New Roman" w:cs="Times New Roman"/>
          <w:sz w:val="24"/>
          <w:szCs w:val="24"/>
        </w:rPr>
        <w:t>(</w:t>
      </w:r>
      <w:r w:rsidRPr="00C1780B">
        <w:rPr>
          <w:rFonts w:ascii="Times New Roman" w:hAnsi="Times New Roman" w:cs="Times New Roman"/>
          <w:sz w:val="24"/>
          <w:szCs w:val="24"/>
        </w:rPr>
        <w:t>DMM) and increased casino customer frequency of visitation (CV).</w:t>
      </w:r>
    </w:p>
    <w:p w14:paraId="3254D42E" w14:textId="04A76481" w:rsidR="00C1780B" w:rsidRPr="00C1780B" w:rsidRDefault="00C1780B" w:rsidP="00FE7FC8">
      <w:pPr>
        <w:spacing w:after="0" w:line="240" w:lineRule="auto"/>
        <w:ind w:left="720"/>
        <w:jc w:val="both"/>
        <w:rPr>
          <w:rFonts w:ascii="Times New Roman" w:hAnsi="Times New Roman" w:cs="Times New Roman"/>
          <w:sz w:val="24"/>
          <w:szCs w:val="24"/>
        </w:rPr>
      </w:pPr>
      <w:r w:rsidRPr="00C1780B">
        <w:rPr>
          <w:rFonts w:ascii="Times New Roman" w:hAnsi="Times New Roman" w:cs="Times New Roman"/>
          <w:sz w:val="24"/>
          <w:szCs w:val="24"/>
        </w:rPr>
        <w:t>H3</w:t>
      </w:r>
      <w:r w:rsidRPr="00C1780B">
        <w:rPr>
          <w:rFonts w:ascii="Times New Roman" w:hAnsi="Times New Roman" w:cs="Times New Roman"/>
          <w:sz w:val="24"/>
          <w:szCs w:val="24"/>
          <w:vertAlign w:val="subscript"/>
        </w:rPr>
        <w:t>0</w:t>
      </w:r>
      <w:r w:rsidRPr="00C1780B">
        <w:rPr>
          <w:rFonts w:ascii="Times New Roman" w:hAnsi="Times New Roman" w:cs="Times New Roman"/>
          <w:sz w:val="24"/>
          <w:szCs w:val="24"/>
        </w:rPr>
        <w:t>:</w:t>
      </w:r>
      <w:r w:rsidRPr="00C1780B">
        <w:rPr>
          <w:rFonts w:ascii="Times New Roman" w:hAnsi="Times New Roman" w:cs="Times New Roman"/>
          <w:sz w:val="24"/>
          <w:szCs w:val="24"/>
        </w:rPr>
        <w:tab/>
        <w:t>There is no significant correlation between the mailing of direct mail (DMM) and increased average amount spent per visit (ADT).</w:t>
      </w:r>
    </w:p>
    <w:p w14:paraId="7B5CA82C" w14:textId="62E847C4" w:rsidR="00C1780B" w:rsidRPr="00C1780B" w:rsidRDefault="00C1780B" w:rsidP="00FE7FC8">
      <w:pPr>
        <w:spacing w:after="0" w:line="240" w:lineRule="auto"/>
        <w:ind w:left="720"/>
        <w:jc w:val="both"/>
        <w:rPr>
          <w:rFonts w:ascii="Times New Roman" w:hAnsi="Times New Roman" w:cs="Times New Roman"/>
          <w:sz w:val="24"/>
          <w:szCs w:val="24"/>
        </w:rPr>
      </w:pPr>
      <w:r w:rsidRPr="00C1780B">
        <w:rPr>
          <w:rFonts w:ascii="Times New Roman" w:hAnsi="Times New Roman" w:cs="Times New Roman"/>
          <w:sz w:val="24"/>
          <w:szCs w:val="24"/>
        </w:rPr>
        <w:t>H3</w:t>
      </w:r>
      <w:r w:rsidRPr="00C1780B">
        <w:rPr>
          <w:rFonts w:ascii="Times New Roman" w:hAnsi="Times New Roman" w:cs="Times New Roman"/>
          <w:sz w:val="24"/>
          <w:szCs w:val="24"/>
          <w:vertAlign w:val="subscript"/>
        </w:rPr>
        <w:t>A</w:t>
      </w:r>
      <w:r w:rsidRPr="00C1780B">
        <w:rPr>
          <w:rFonts w:ascii="Times New Roman" w:hAnsi="Times New Roman" w:cs="Times New Roman"/>
          <w:sz w:val="24"/>
          <w:szCs w:val="24"/>
        </w:rPr>
        <w:t>:</w:t>
      </w:r>
      <w:r w:rsidRPr="00C1780B">
        <w:rPr>
          <w:rFonts w:ascii="Times New Roman" w:hAnsi="Times New Roman" w:cs="Times New Roman"/>
          <w:sz w:val="24"/>
          <w:szCs w:val="24"/>
        </w:rPr>
        <w:tab/>
        <w:t>There is a significant correlation between the mailing of direct mail (DMM) and increased average amount spent per visit (ADT).</w:t>
      </w:r>
    </w:p>
    <w:p w14:paraId="257BC335" w14:textId="39E7035C" w:rsidR="00884C90" w:rsidRPr="00884C90" w:rsidRDefault="00B24A8F"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884C90" w:rsidRPr="00884C90">
        <w:rPr>
          <w:rFonts w:ascii="Times New Roman" w:hAnsi="Times New Roman" w:cs="Times New Roman"/>
          <w:sz w:val="24"/>
          <w:szCs w:val="24"/>
        </w:rPr>
        <w:t xml:space="preserve">The second and fourth hypothesis were used to explore the relationship between direct mail </w:t>
      </w:r>
      <w:r w:rsidR="002417CD">
        <w:rPr>
          <w:rFonts w:ascii="Times New Roman" w:hAnsi="Times New Roman" w:cs="Times New Roman"/>
          <w:sz w:val="24"/>
          <w:szCs w:val="24"/>
        </w:rPr>
        <w:t xml:space="preserve">with a coupon redemption </w:t>
      </w:r>
      <w:r w:rsidR="00884C90" w:rsidRPr="00884C90">
        <w:rPr>
          <w:rFonts w:ascii="Times New Roman" w:hAnsi="Times New Roman" w:cs="Times New Roman"/>
          <w:sz w:val="24"/>
          <w:szCs w:val="24"/>
        </w:rPr>
        <w:t xml:space="preserve">and customer loyalty, in Hypothesis 2 as frequency of visitation (CV) and in Hypothesis 4 as the average amount spent per visit (ADT).  </w:t>
      </w:r>
    </w:p>
    <w:p w14:paraId="52EB31BD" w14:textId="3668DA28" w:rsidR="00C1780B" w:rsidRPr="00C1780B" w:rsidRDefault="00C1780B" w:rsidP="00FE7FC8">
      <w:pPr>
        <w:spacing w:after="0" w:line="240" w:lineRule="auto"/>
        <w:ind w:left="720"/>
        <w:jc w:val="both"/>
        <w:rPr>
          <w:rFonts w:ascii="Times New Roman" w:hAnsi="Times New Roman" w:cs="Times New Roman"/>
          <w:sz w:val="24"/>
          <w:szCs w:val="24"/>
        </w:rPr>
      </w:pPr>
      <w:r w:rsidRPr="00C1780B">
        <w:rPr>
          <w:rFonts w:ascii="Times New Roman" w:hAnsi="Times New Roman" w:cs="Times New Roman"/>
          <w:sz w:val="24"/>
          <w:szCs w:val="24"/>
        </w:rPr>
        <w:t>H2</w:t>
      </w:r>
      <w:r w:rsidRPr="00C1780B">
        <w:rPr>
          <w:rFonts w:ascii="Times New Roman" w:hAnsi="Times New Roman" w:cs="Times New Roman"/>
          <w:sz w:val="24"/>
          <w:szCs w:val="24"/>
          <w:vertAlign w:val="subscript"/>
        </w:rPr>
        <w:t>0</w:t>
      </w:r>
      <w:r w:rsidRPr="00C1780B">
        <w:rPr>
          <w:rFonts w:ascii="Times New Roman" w:hAnsi="Times New Roman" w:cs="Times New Roman"/>
          <w:sz w:val="24"/>
          <w:szCs w:val="24"/>
        </w:rPr>
        <w:t>:</w:t>
      </w:r>
      <w:r w:rsidRPr="00C1780B">
        <w:rPr>
          <w:rFonts w:ascii="Times New Roman" w:hAnsi="Times New Roman" w:cs="Times New Roman"/>
          <w:sz w:val="24"/>
          <w:szCs w:val="24"/>
        </w:rPr>
        <w:tab/>
        <w:t xml:space="preserve">There is not a significant correlation between the redemption of direct mail (DMR) and increased casino customer visitation frequency (CV).  </w:t>
      </w:r>
    </w:p>
    <w:p w14:paraId="23E00052" w14:textId="7B7CD336" w:rsidR="00C1780B" w:rsidRPr="00C1780B" w:rsidRDefault="00C1780B" w:rsidP="00FE7FC8">
      <w:pPr>
        <w:spacing w:after="0" w:line="240" w:lineRule="auto"/>
        <w:ind w:left="720"/>
        <w:jc w:val="both"/>
        <w:rPr>
          <w:rFonts w:ascii="Times New Roman" w:hAnsi="Times New Roman" w:cs="Times New Roman"/>
          <w:sz w:val="24"/>
          <w:szCs w:val="24"/>
        </w:rPr>
      </w:pPr>
      <w:r w:rsidRPr="00C1780B">
        <w:rPr>
          <w:rFonts w:ascii="Times New Roman" w:hAnsi="Times New Roman" w:cs="Times New Roman"/>
          <w:sz w:val="24"/>
          <w:szCs w:val="24"/>
        </w:rPr>
        <w:t>H2</w:t>
      </w:r>
      <w:r w:rsidRPr="00C1780B">
        <w:rPr>
          <w:rFonts w:ascii="Times New Roman" w:hAnsi="Times New Roman" w:cs="Times New Roman"/>
          <w:sz w:val="24"/>
          <w:szCs w:val="24"/>
          <w:vertAlign w:val="subscript"/>
        </w:rPr>
        <w:t>A</w:t>
      </w:r>
      <w:r w:rsidRPr="00C1780B">
        <w:rPr>
          <w:rFonts w:ascii="Times New Roman" w:hAnsi="Times New Roman" w:cs="Times New Roman"/>
          <w:sz w:val="24"/>
          <w:szCs w:val="24"/>
        </w:rPr>
        <w:t>:</w:t>
      </w:r>
      <w:r w:rsidRPr="00C1780B">
        <w:rPr>
          <w:rFonts w:ascii="Times New Roman" w:hAnsi="Times New Roman" w:cs="Times New Roman"/>
          <w:sz w:val="24"/>
          <w:szCs w:val="24"/>
        </w:rPr>
        <w:tab/>
        <w:t xml:space="preserve">There is a significant correlation between the redemption of direct mail (DMR) and increased casino customer visitation frequency (CV).  </w:t>
      </w:r>
    </w:p>
    <w:p w14:paraId="7608D70A" w14:textId="3A116FE8" w:rsidR="00F3327B" w:rsidRPr="00F3327B" w:rsidRDefault="00F3327B" w:rsidP="00FE7FC8">
      <w:pPr>
        <w:spacing w:after="0" w:line="240" w:lineRule="auto"/>
        <w:ind w:left="720"/>
        <w:jc w:val="both"/>
        <w:rPr>
          <w:rFonts w:ascii="Times New Roman" w:hAnsi="Times New Roman" w:cs="Times New Roman"/>
          <w:sz w:val="24"/>
          <w:szCs w:val="24"/>
        </w:rPr>
      </w:pPr>
      <w:r w:rsidRPr="00F3327B">
        <w:rPr>
          <w:rFonts w:ascii="Times New Roman" w:hAnsi="Times New Roman" w:cs="Times New Roman"/>
          <w:sz w:val="24"/>
          <w:szCs w:val="24"/>
        </w:rPr>
        <w:t>H4</w:t>
      </w:r>
      <w:r w:rsidRPr="00F3327B">
        <w:rPr>
          <w:rFonts w:ascii="Times New Roman" w:hAnsi="Times New Roman" w:cs="Times New Roman"/>
          <w:sz w:val="24"/>
          <w:szCs w:val="24"/>
          <w:vertAlign w:val="subscript"/>
        </w:rPr>
        <w:t>0</w:t>
      </w:r>
      <w:r w:rsidRPr="00F3327B">
        <w:rPr>
          <w:rFonts w:ascii="Times New Roman" w:hAnsi="Times New Roman" w:cs="Times New Roman"/>
          <w:sz w:val="24"/>
          <w:szCs w:val="24"/>
        </w:rPr>
        <w:t>:</w:t>
      </w:r>
      <w:r w:rsidRPr="00F3327B">
        <w:rPr>
          <w:rFonts w:ascii="Times New Roman" w:hAnsi="Times New Roman" w:cs="Times New Roman"/>
          <w:sz w:val="24"/>
          <w:szCs w:val="24"/>
        </w:rPr>
        <w:tab/>
        <w:t>There is no significant correlation between the redemption of direct mail (DMR) and an increase in the average amount spent per visit (ADT).</w:t>
      </w:r>
    </w:p>
    <w:p w14:paraId="4C2E88B4" w14:textId="23D4B964" w:rsidR="00F3327B" w:rsidRPr="00F3327B" w:rsidRDefault="00F3327B" w:rsidP="00FE7FC8">
      <w:pPr>
        <w:spacing w:after="0" w:line="240" w:lineRule="auto"/>
        <w:ind w:left="720"/>
        <w:jc w:val="both"/>
        <w:rPr>
          <w:rFonts w:ascii="Times New Roman" w:hAnsi="Times New Roman" w:cs="Times New Roman"/>
          <w:sz w:val="24"/>
          <w:szCs w:val="24"/>
        </w:rPr>
      </w:pPr>
      <w:r w:rsidRPr="00F3327B">
        <w:rPr>
          <w:rFonts w:ascii="Times New Roman" w:hAnsi="Times New Roman" w:cs="Times New Roman"/>
          <w:sz w:val="24"/>
          <w:szCs w:val="24"/>
        </w:rPr>
        <w:t>H4</w:t>
      </w:r>
      <w:r w:rsidRPr="00F3327B">
        <w:rPr>
          <w:rFonts w:ascii="Times New Roman" w:hAnsi="Times New Roman" w:cs="Times New Roman"/>
          <w:sz w:val="24"/>
          <w:szCs w:val="24"/>
          <w:vertAlign w:val="subscript"/>
        </w:rPr>
        <w:t>A</w:t>
      </w:r>
      <w:r w:rsidRPr="00F3327B">
        <w:rPr>
          <w:rFonts w:ascii="Times New Roman" w:hAnsi="Times New Roman" w:cs="Times New Roman"/>
          <w:sz w:val="24"/>
          <w:szCs w:val="24"/>
        </w:rPr>
        <w:t>:</w:t>
      </w:r>
      <w:r w:rsidRPr="00F3327B">
        <w:rPr>
          <w:rFonts w:ascii="Times New Roman" w:hAnsi="Times New Roman" w:cs="Times New Roman"/>
          <w:sz w:val="24"/>
          <w:szCs w:val="24"/>
        </w:rPr>
        <w:tab/>
        <w:t>There is a significant correlation between the redemption of direct mail (DMR) and increased average amount spent per visit (ADT).</w:t>
      </w:r>
    </w:p>
    <w:p w14:paraId="3A9991C0" w14:textId="77777777" w:rsidR="00FE7FC8" w:rsidRDefault="00FE7FC8" w:rsidP="000677B8">
      <w:pPr>
        <w:spacing w:after="0" w:line="240" w:lineRule="auto"/>
        <w:jc w:val="both"/>
        <w:rPr>
          <w:rFonts w:ascii="Arial" w:hAnsi="Arial" w:cs="Arial"/>
          <w:sz w:val="24"/>
          <w:szCs w:val="24"/>
        </w:rPr>
      </w:pPr>
    </w:p>
    <w:p w14:paraId="6089AF13" w14:textId="77777777"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Methodology</w:t>
      </w:r>
    </w:p>
    <w:p w14:paraId="3079580E" w14:textId="77777777" w:rsidR="00FE7FC8" w:rsidRDefault="00FE7FC8" w:rsidP="000677B8">
      <w:pPr>
        <w:spacing w:after="0" w:line="240" w:lineRule="auto"/>
        <w:jc w:val="both"/>
        <w:rPr>
          <w:rFonts w:ascii="Times New Roman" w:hAnsi="Times New Roman" w:cs="Times New Roman"/>
          <w:sz w:val="24"/>
          <w:szCs w:val="24"/>
        </w:rPr>
      </w:pPr>
    </w:p>
    <w:p w14:paraId="1D0E431F" w14:textId="48088AF6"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 xml:space="preserve">The study included a quantitative research methodology with a correlational design using only secondary data.  The predictor variables for this study were the mailing of a direct mail CRM piece (DMM), and the redemption of a </w:t>
      </w:r>
      <w:r w:rsidR="002417CD">
        <w:rPr>
          <w:rFonts w:ascii="Times New Roman" w:hAnsi="Times New Roman" w:cs="Times New Roman"/>
          <w:sz w:val="24"/>
          <w:szCs w:val="24"/>
        </w:rPr>
        <w:t xml:space="preserve">coupon within a </w:t>
      </w:r>
      <w:r w:rsidRPr="00884C90">
        <w:rPr>
          <w:rFonts w:ascii="Times New Roman" w:hAnsi="Times New Roman" w:cs="Times New Roman"/>
          <w:sz w:val="24"/>
          <w:szCs w:val="24"/>
        </w:rPr>
        <w:t xml:space="preserve">direct mail CRM piece (DMR), as captured in the casino database.  Mailing a direct mail piece to a patron implied receipt of the piece by the patron, as the casino database captures all returned mail in the individual patron account as no mail and these were excluded from the population.  The criterion variables included frequency of visits (CV), and average amount spent per visit (ADT).  All data for the current study, including (a) direct mail mailing and (b) direct mail redemption, as well as (c) visitation frequency and (d) average amount spend per visit, were secondary data.  </w:t>
      </w:r>
    </w:p>
    <w:p w14:paraId="4731C039" w14:textId="18A52C58"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 xml:space="preserve">The source of the secondary data used for the study </w:t>
      </w:r>
      <w:r w:rsidR="00F439F2">
        <w:rPr>
          <w:rFonts w:ascii="Times New Roman" w:hAnsi="Times New Roman" w:cs="Times New Roman"/>
          <w:sz w:val="24"/>
          <w:szCs w:val="24"/>
        </w:rPr>
        <w:t xml:space="preserve">came from </w:t>
      </w:r>
      <w:r w:rsidRPr="00884C90">
        <w:rPr>
          <w:rFonts w:ascii="Times New Roman" w:hAnsi="Times New Roman" w:cs="Times New Roman"/>
          <w:sz w:val="24"/>
          <w:szCs w:val="24"/>
        </w:rPr>
        <w:t xml:space="preserve">a proprietary database owned by a regional casino located in a Midwestern market.  The president of the parent organization granted permission through written consent to use the data for the study.  A casino representative obtained the population of secondary data from the organizational database to ensure the confidentiality of all individuals by </w:t>
      </w:r>
      <w:r w:rsidR="0054782B">
        <w:rPr>
          <w:rFonts w:ascii="Times New Roman" w:hAnsi="Times New Roman" w:cs="Times New Roman"/>
          <w:sz w:val="24"/>
          <w:szCs w:val="24"/>
        </w:rPr>
        <w:t>providing</w:t>
      </w:r>
      <w:r w:rsidRPr="00884C90">
        <w:rPr>
          <w:rFonts w:ascii="Times New Roman" w:hAnsi="Times New Roman" w:cs="Times New Roman"/>
          <w:sz w:val="24"/>
          <w:szCs w:val="24"/>
        </w:rPr>
        <w:t xml:space="preserve"> the data </w:t>
      </w:r>
      <w:r w:rsidR="0054782B">
        <w:rPr>
          <w:rFonts w:ascii="Times New Roman" w:hAnsi="Times New Roman" w:cs="Times New Roman"/>
          <w:sz w:val="24"/>
          <w:szCs w:val="24"/>
        </w:rPr>
        <w:t xml:space="preserve">in an Excel spreadsheet </w:t>
      </w:r>
      <w:r w:rsidRPr="00884C90">
        <w:rPr>
          <w:rFonts w:ascii="Times New Roman" w:hAnsi="Times New Roman" w:cs="Times New Roman"/>
          <w:sz w:val="24"/>
          <w:szCs w:val="24"/>
        </w:rPr>
        <w:t>without providing any individual names or addresses to the researcher.  As the study only included secondary data and did not require human participation, an informed consent form for individuals was not necessary.  Initially, 9,688 casino customers met the criteria for this study, but the exclusion of 120 customers because of possible missing or corrupt data, including an age that was not valid</w:t>
      </w:r>
      <w:r w:rsidR="0054782B">
        <w:rPr>
          <w:rFonts w:ascii="Times New Roman" w:hAnsi="Times New Roman" w:cs="Times New Roman"/>
          <w:sz w:val="24"/>
          <w:szCs w:val="24"/>
        </w:rPr>
        <w:t xml:space="preserve"> (</w:t>
      </w:r>
      <w:r w:rsidRPr="00884C90">
        <w:rPr>
          <w:rFonts w:ascii="Times New Roman" w:hAnsi="Times New Roman" w:cs="Times New Roman"/>
          <w:sz w:val="24"/>
          <w:szCs w:val="24"/>
        </w:rPr>
        <w:t>under 21 or over 100</w:t>
      </w:r>
      <w:r w:rsidR="0054782B">
        <w:rPr>
          <w:rFonts w:ascii="Times New Roman" w:hAnsi="Times New Roman" w:cs="Times New Roman"/>
          <w:sz w:val="24"/>
          <w:szCs w:val="24"/>
        </w:rPr>
        <w:t>)</w:t>
      </w:r>
      <w:r w:rsidRPr="00884C90">
        <w:rPr>
          <w:rFonts w:ascii="Times New Roman" w:hAnsi="Times New Roman" w:cs="Times New Roman"/>
          <w:sz w:val="24"/>
          <w:szCs w:val="24"/>
        </w:rPr>
        <w:t>, and no indication of mailing in Period 2, left a total sample of 9,568.</w:t>
      </w:r>
    </w:p>
    <w:p w14:paraId="3A33DABE" w14:textId="77777777" w:rsidR="00FE7FC8" w:rsidRDefault="00FE7FC8" w:rsidP="000677B8">
      <w:pPr>
        <w:spacing w:after="0" w:line="240" w:lineRule="auto"/>
        <w:jc w:val="both"/>
        <w:rPr>
          <w:rFonts w:ascii="Arial" w:hAnsi="Arial" w:cs="Arial"/>
          <w:sz w:val="24"/>
          <w:szCs w:val="24"/>
        </w:rPr>
      </w:pPr>
    </w:p>
    <w:p w14:paraId="5AA81AE1" w14:textId="77777777"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Data Analysis Plan</w:t>
      </w:r>
    </w:p>
    <w:p w14:paraId="725B73B3" w14:textId="77777777" w:rsidR="00FE7FC8" w:rsidRDefault="00FE7FC8" w:rsidP="000677B8">
      <w:pPr>
        <w:spacing w:after="0" w:line="240" w:lineRule="auto"/>
        <w:jc w:val="both"/>
        <w:rPr>
          <w:rFonts w:ascii="Times New Roman" w:hAnsi="Times New Roman" w:cs="Times New Roman"/>
          <w:sz w:val="24"/>
          <w:szCs w:val="24"/>
        </w:rPr>
      </w:pPr>
    </w:p>
    <w:p w14:paraId="7359FDA9" w14:textId="0AC7CFC5" w:rsidR="00E97F49"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Data analysis involved downloading the data into SPSS statistical software using the unique customer number preassigned to the secondary data by the casino representative.  The process involved conducting correlational analysis to examine the relationship of the predictor variables of DMM and DMR on the criterion variables CV and ADT.  The use of a correlation matrix allowed for multiple views of variables.    The study followed Fitzgerald</w:t>
      </w:r>
      <w:r w:rsidR="00BA3A72">
        <w:rPr>
          <w:rFonts w:ascii="Times New Roman" w:hAnsi="Times New Roman" w:cs="Times New Roman"/>
          <w:sz w:val="24"/>
          <w:szCs w:val="24"/>
        </w:rPr>
        <w:t xml:space="preserve"> et al.</w:t>
      </w:r>
      <w:r w:rsidR="00D72B85">
        <w:rPr>
          <w:rFonts w:ascii="Times New Roman" w:hAnsi="Times New Roman" w:cs="Times New Roman"/>
          <w:sz w:val="24"/>
          <w:szCs w:val="24"/>
        </w:rPr>
        <w:t>,</w:t>
      </w:r>
      <w:r w:rsidRPr="00884C90">
        <w:rPr>
          <w:rFonts w:ascii="Times New Roman" w:hAnsi="Times New Roman" w:cs="Times New Roman"/>
          <w:sz w:val="24"/>
          <w:szCs w:val="24"/>
        </w:rPr>
        <w:t xml:space="preserve"> (2004) guidelines in determining a positive correlation of </w:t>
      </w:r>
      <w:r w:rsidR="00A90CC9">
        <w:rPr>
          <w:rFonts w:ascii="Times New Roman" w:hAnsi="Times New Roman" w:cs="Times New Roman"/>
          <w:sz w:val="24"/>
          <w:szCs w:val="24"/>
        </w:rPr>
        <w:t>0</w:t>
      </w:r>
      <w:r w:rsidRPr="00884C90">
        <w:rPr>
          <w:rFonts w:ascii="Times New Roman" w:hAnsi="Times New Roman" w:cs="Times New Roman"/>
          <w:sz w:val="24"/>
          <w:szCs w:val="24"/>
        </w:rPr>
        <w:t xml:space="preserve">.25 as a zero to weak relationship, </w:t>
      </w:r>
      <w:r w:rsidR="00A90CC9">
        <w:rPr>
          <w:rFonts w:ascii="Times New Roman" w:hAnsi="Times New Roman" w:cs="Times New Roman"/>
          <w:sz w:val="24"/>
          <w:szCs w:val="24"/>
        </w:rPr>
        <w:t>0</w:t>
      </w:r>
      <w:r w:rsidRPr="00884C90">
        <w:rPr>
          <w:rFonts w:ascii="Times New Roman" w:hAnsi="Times New Roman" w:cs="Times New Roman"/>
          <w:sz w:val="24"/>
          <w:szCs w:val="24"/>
        </w:rPr>
        <w:t xml:space="preserve">.25 to </w:t>
      </w:r>
      <w:r w:rsidR="00A90CC9">
        <w:rPr>
          <w:rFonts w:ascii="Times New Roman" w:hAnsi="Times New Roman" w:cs="Times New Roman"/>
          <w:sz w:val="24"/>
          <w:szCs w:val="24"/>
        </w:rPr>
        <w:t>0</w:t>
      </w:r>
      <w:r w:rsidRPr="00884C90">
        <w:rPr>
          <w:rFonts w:ascii="Times New Roman" w:hAnsi="Times New Roman" w:cs="Times New Roman"/>
          <w:sz w:val="24"/>
          <w:szCs w:val="24"/>
        </w:rPr>
        <w:t xml:space="preserve">.50 as a weak to moderate relationship, </w:t>
      </w:r>
      <w:r w:rsidR="00A90CC9">
        <w:rPr>
          <w:rFonts w:ascii="Times New Roman" w:hAnsi="Times New Roman" w:cs="Times New Roman"/>
          <w:sz w:val="24"/>
          <w:szCs w:val="24"/>
        </w:rPr>
        <w:t>0</w:t>
      </w:r>
      <w:r w:rsidRPr="00884C90">
        <w:rPr>
          <w:rFonts w:ascii="Times New Roman" w:hAnsi="Times New Roman" w:cs="Times New Roman"/>
          <w:sz w:val="24"/>
          <w:szCs w:val="24"/>
        </w:rPr>
        <w:t xml:space="preserve">.50 to </w:t>
      </w:r>
      <w:r w:rsidR="00A90CC9">
        <w:rPr>
          <w:rFonts w:ascii="Times New Roman" w:hAnsi="Times New Roman" w:cs="Times New Roman"/>
          <w:sz w:val="24"/>
          <w:szCs w:val="24"/>
        </w:rPr>
        <w:t>0</w:t>
      </w:r>
      <w:r w:rsidRPr="00884C90">
        <w:rPr>
          <w:rFonts w:ascii="Times New Roman" w:hAnsi="Times New Roman" w:cs="Times New Roman"/>
          <w:sz w:val="24"/>
          <w:szCs w:val="24"/>
        </w:rPr>
        <w:t xml:space="preserve">.75 as a moderate to strong relationship, and </w:t>
      </w:r>
      <w:r w:rsidR="00A90CC9">
        <w:rPr>
          <w:rFonts w:ascii="Times New Roman" w:hAnsi="Times New Roman" w:cs="Times New Roman"/>
          <w:sz w:val="24"/>
          <w:szCs w:val="24"/>
        </w:rPr>
        <w:t>0</w:t>
      </w:r>
      <w:r w:rsidRPr="00884C90">
        <w:rPr>
          <w:rFonts w:ascii="Times New Roman" w:hAnsi="Times New Roman" w:cs="Times New Roman"/>
          <w:sz w:val="24"/>
          <w:szCs w:val="24"/>
        </w:rPr>
        <w:t xml:space="preserve">.75 to 1.00 as a strong relationship.  As the study was exploratory, a positive correlation of </w:t>
      </w:r>
      <w:r w:rsidR="00A90CC9">
        <w:rPr>
          <w:rFonts w:ascii="Times New Roman" w:hAnsi="Times New Roman" w:cs="Times New Roman"/>
          <w:sz w:val="24"/>
          <w:szCs w:val="24"/>
        </w:rPr>
        <w:t>0</w:t>
      </w:r>
      <w:r w:rsidRPr="00884C90">
        <w:rPr>
          <w:rFonts w:ascii="Times New Roman" w:hAnsi="Times New Roman" w:cs="Times New Roman"/>
          <w:sz w:val="24"/>
          <w:szCs w:val="24"/>
        </w:rPr>
        <w:t>.25 and a negative correlation of -</w:t>
      </w:r>
      <w:r w:rsidR="00A90CC9">
        <w:rPr>
          <w:rFonts w:ascii="Times New Roman" w:hAnsi="Times New Roman" w:cs="Times New Roman"/>
          <w:sz w:val="24"/>
          <w:szCs w:val="24"/>
        </w:rPr>
        <w:t>0</w:t>
      </w:r>
      <w:r w:rsidRPr="00884C90">
        <w:rPr>
          <w:rFonts w:ascii="Times New Roman" w:hAnsi="Times New Roman" w:cs="Times New Roman"/>
          <w:sz w:val="24"/>
          <w:szCs w:val="24"/>
        </w:rPr>
        <w:t>.25 and higher were an acceptable level of prediction and relationship, as even a weak to moderate relationship should lead to further exploration.</w:t>
      </w:r>
    </w:p>
    <w:p w14:paraId="15CD3EE7" w14:textId="2C09143C"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 xml:space="preserve">The statistical analyses for determining the correlational relationship between the criterion and the predictor variables were the Wilcoxon matched pairs tests for Hypotheses 1 and 3 and both a Kruskall-Wallis test and a Spearman correlation for Hypotheses 2 and 4.  The predictor variable for Hypotheses 1 and Hypotheses 3, DMM, was nominal or dichotomous, defined as Period 1, beginning December 15, 2009 and ending November 30, 2010, with no direct mail received and Period 2, beginning December 1, 2010 and ending December 31, 2011, with direct mail received.  The criterion variables for Hypotheses 1 and 3, CV and ADT, were ratio data that measured the distance between the levels of visitation and ADT for Period 1 versus Period 2.  The predictor variable for Hypotheses 2 and 4, DMR, was nominal or dichotomous, defined as customers who redeemed at least one direct mail piece versus customers who did not redeem any direct mail pieces.  </w:t>
      </w:r>
    </w:p>
    <w:p w14:paraId="7DF2E82D" w14:textId="48D29037"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The study involved an attempt to address the criterion variables for Hypotheses 2 and 4, CV and ADT, by calculating a gain score based on subtracting the customer’s Period 1 CV and ADT from the customer’s Period 2 CV and ADT.  Using both the Wilcoxon matched pairs test for predictor and a Kruskall-Wallis test accompanied by a Spearman correlation was suitable due to the predictor variables of DMM and DMR being nominal or dichotomous and the measurement of the criterion variables of CV and ADT being on a ratio level (Steinberg, 2011).  The correlational coefficient generated by this statistic measured the strength of the relationship between the predictor and the criterion variables (Steinberg, 2011).</w:t>
      </w:r>
    </w:p>
    <w:p w14:paraId="3972A193" w14:textId="77777777" w:rsidR="00FE7FC8" w:rsidRDefault="00FE7FC8" w:rsidP="000677B8">
      <w:pPr>
        <w:spacing w:after="0" w:line="240" w:lineRule="auto"/>
        <w:jc w:val="both"/>
        <w:rPr>
          <w:rFonts w:ascii="Arial" w:hAnsi="Arial" w:cs="Arial"/>
          <w:sz w:val="24"/>
          <w:szCs w:val="24"/>
        </w:rPr>
      </w:pPr>
    </w:p>
    <w:p w14:paraId="6AC1F264" w14:textId="77777777"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Data Analysis</w:t>
      </w:r>
    </w:p>
    <w:p w14:paraId="7DAD4E81" w14:textId="77777777" w:rsidR="00FE7FC8" w:rsidRDefault="00FE7FC8" w:rsidP="000677B8">
      <w:pPr>
        <w:spacing w:after="0" w:line="240" w:lineRule="auto"/>
        <w:jc w:val="both"/>
        <w:rPr>
          <w:rFonts w:ascii="Times New Roman" w:hAnsi="Times New Roman" w:cs="Times New Roman"/>
          <w:sz w:val="24"/>
          <w:szCs w:val="24"/>
        </w:rPr>
      </w:pPr>
    </w:p>
    <w:p w14:paraId="2D7CE3D6" w14:textId="2E7A6839"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There were slightly more women in the sample (51.7%) than men (48.3%).  The ages of the customers ranged from 22 to 96 (M = 57.45, SD = 14.58) with 71.9% being 50 years of age or older which is fairly typical in a casino environment.  Most participants (84.9%) were residents of the state in which the casino is located, and 73.9% lived within 100 miles of the casino.  Just over one-fourth (26.1%) of the sample travel over 100 miles to visit the casino.  The number of redeemed offers ranged from 0 to 14 (M = 1.39, SD = 2.51).</w:t>
      </w:r>
    </w:p>
    <w:p w14:paraId="2B3D45BC" w14:textId="24DCF539"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The distribution of data in Table 1 indicates the number of customer casino trips per month (CV) during the two study periods.  Trips per month was more suitable than the actual number of trips because the length of the study was different in Period 1 (about 11 months) from in Period 2 (about 13 months).  The CV per month was similar in Period 1 (M = 1.29) and Period 2 (M = 1.31).  Examination of the distribution of the CV percentiles in Table 1 revealed pronounced positive skews in the data that signified nonnormal distributions.  Nonparametric statistical tests were suitable to test the hypotheses.</w:t>
      </w:r>
    </w:p>
    <w:p w14:paraId="28FD1A44" w14:textId="77777777" w:rsidR="00FE7FC8" w:rsidRDefault="00FE7FC8" w:rsidP="00FE7FC8">
      <w:pPr>
        <w:keepNext/>
        <w:tabs>
          <w:tab w:val="left" w:pos="547"/>
        </w:tabs>
        <w:spacing w:after="0" w:line="240" w:lineRule="auto"/>
        <w:rPr>
          <w:rFonts w:ascii="Times New Roman" w:eastAsia="Times New Roman" w:hAnsi="Times New Roman" w:cs="Times New Roman"/>
          <w:sz w:val="24"/>
          <w:szCs w:val="24"/>
        </w:rPr>
      </w:pPr>
      <w:bookmarkStart w:id="1" w:name="_Toc429182988"/>
    </w:p>
    <w:p w14:paraId="52C152CD" w14:textId="3B4B8CB1" w:rsidR="00BA3A72" w:rsidRPr="00BA3A72" w:rsidRDefault="00BA3A72" w:rsidP="00FE7FC8">
      <w:pPr>
        <w:keepNext/>
        <w:tabs>
          <w:tab w:val="left" w:pos="547"/>
        </w:tabs>
        <w:spacing w:after="0" w:line="240" w:lineRule="auto"/>
        <w:rPr>
          <w:rFonts w:ascii="Times New Roman" w:eastAsia="Times New Roman" w:hAnsi="Times New Roman" w:cs="Times New Roman"/>
          <w:i/>
          <w:sz w:val="24"/>
          <w:szCs w:val="24"/>
        </w:rPr>
      </w:pPr>
      <w:r w:rsidRPr="00BA3A72">
        <w:rPr>
          <w:rFonts w:ascii="Times New Roman" w:eastAsia="Times New Roman" w:hAnsi="Times New Roman" w:cs="Times New Roman"/>
          <w:sz w:val="24"/>
          <w:szCs w:val="24"/>
        </w:rPr>
        <w:t>Table</w:t>
      </w:r>
      <w:r w:rsidR="00FE7FC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w:t>
      </w:r>
      <w:r w:rsidRPr="00BA3A72">
        <w:rPr>
          <w:rFonts w:ascii="Times New Roman" w:eastAsia="Times New Roman" w:hAnsi="Times New Roman" w:cs="Times New Roman"/>
          <w:sz w:val="24"/>
          <w:szCs w:val="24"/>
        </w:rPr>
        <w:br/>
      </w:r>
      <w:r w:rsidRPr="00BA3A72">
        <w:rPr>
          <w:rFonts w:ascii="Times New Roman" w:eastAsia="Times New Roman" w:hAnsi="Times New Roman" w:cs="Times New Roman"/>
          <w:i/>
          <w:sz w:val="24"/>
          <w:szCs w:val="24"/>
        </w:rPr>
        <w:t>Distribution of Number of Trips (CV) per Month Data</w:t>
      </w:r>
      <w:bookmarkEnd w:id="1"/>
    </w:p>
    <w:tbl>
      <w:tblPr>
        <w:tblW w:w="4615" w:type="pct"/>
        <w:tblLook w:val="04A0" w:firstRow="1" w:lastRow="0" w:firstColumn="1" w:lastColumn="0" w:noHBand="0" w:noVBand="1"/>
      </w:tblPr>
      <w:tblGrid>
        <w:gridCol w:w="2378"/>
        <w:gridCol w:w="1476"/>
        <w:gridCol w:w="1476"/>
        <w:gridCol w:w="1980"/>
      </w:tblGrid>
      <w:tr w:rsidR="00BA3A72" w:rsidRPr="00BA3A72" w14:paraId="2049DD00" w14:textId="77777777" w:rsidTr="00B24A8F">
        <w:tc>
          <w:tcPr>
            <w:tcW w:w="0" w:type="auto"/>
            <w:tcBorders>
              <w:top w:val="single" w:sz="4" w:space="0" w:color="auto"/>
              <w:left w:val="nil"/>
              <w:bottom w:val="single" w:sz="4" w:space="0" w:color="auto"/>
              <w:right w:val="nil"/>
            </w:tcBorders>
            <w:shd w:val="clear" w:color="auto" w:fill="auto"/>
            <w:noWrap/>
            <w:vAlign w:val="bottom"/>
          </w:tcPr>
          <w:p w14:paraId="5D926F31" w14:textId="77777777" w:rsidR="00BA3A72" w:rsidRPr="00BA3A72" w:rsidRDefault="00BA3A72" w:rsidP="000677B8">
            <w:pPr>
              <w:spacing w:after="0" w:line="240" w:lineRule="auto"/>
              <w:contextualSpacing/>
              <w:jc w:val="both"/>
              <w:rPr>
                <w:rFonts w:ascii="Times New Roman" w:eastAsia="Times New Roman" w:hAnsi="Times New Roman" w:cs="Times New Roman"/>
                <w:iCs/>
                <w:color w:val="000000"/>
                <w:sz w:val="24"/>
                <w:szCs w:val="24"/>
                <w:vertAlign w:val="superscript"/>
              </w:rPr>
            </w:pPr>
            <w:r w:rsidRPr="00BA3A72">
              <w:rPr>
                <w:rFonts w:ascii="Times New Roman" w:eastAsia="Times New Roman" w:hAnsi="Times New Roman" w:cs="Times New Roman"/>
                <w:iCs/>
                <w:color w:val="000000"/>
                <w:sz w:val="24"/>
                <w:szCs w:val="24"/>
              </w:rPr>
              <w:t>Statistic</w:t>
            </w:r>
          </w:p>
        </w:tc>
        <w:tc>
          <w:tcPr>
            <w:tcW w:w="0" w:type="auto"/>
            <w:tcBorders>
              <w:top w:val="single" w:sz="4" w:space="0" w:color="auto"/>
              <w:left w:val="nil"/>
              <w:bottom w:val="single" w:sz="4" w:space="0" w:color="auto"/>
              <w:right w:val="nil"/>
            </w:tcBorders>
            <w:shd w:val="clear" w:color="auto" w:fill="auto"/>
            <w:noWrap/>
            <w:vAlign w:val="bottom"/>
          </w:tcPr>
          <w:p w14:paraId="55C09A25"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Period 1</w:t>
            </w:r>
          </w:p>
        </w:tc>
        <w:tc>
          <w:tcPr>
            <w:tcW w:w="0" w:type="auto"/>
            <w:tcBorders>
              <w:top w:val="single" w:sz="4" w:space="0" w:color="auto"/>
              <w:left w:val="nil"/>
              <w:bottom w:val="single" w:sz="4" w:space="0" w:color="auto"/>
              <w:right w:val="nil"/>
            </w:tcBorders>
            <w:shd w:val="clear" w:color="auto" w:fill="auto"/>
            <w:noWrap/>
            <w:vAlign w:val="bottom"/>
          </w:tcPr>
          <w:p w14:paraId="58E65422"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Period 2</w:t>
            </w:r>
          </w:p>
        </w:tc>
        <w:tc>
          <w:tcPr>
            <w:tcW w:w="0" w:type="auto"/>
            <w:tcBorders>
              <w:top w:val="single" w:sz="4" w:space="0" w:color="auto"/>
              <w:left w:val="nil"/>
              <w:bottom w:val="single" w:sz="4" w:space="0" w:color="auto"/>
              <w:right w:val="nil"/>
            </w:tcBorders>
            <w:shd w:val="clear" w:color="auto" w:fill="auto"/>
            <w:noWrap/>
            <w:vAlign w:val="bottom"/>
          </w:tcPr>
          <w:p w14:paraId="17367C43"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vertAlign w:val="superscript"/>
              </w:rPr>
            </w:pPr>
            <w:r w:rsidRPr="00BA3A72">
              <w:rPr>
                <w:rFonts w:ascii="Times New Roman" w:eastAsia="Times New Roman" w:hAnsi="Times New Roman" w:cs="Times New Roman"/>
                <w:color w:val="000000"/>
                <w:sz w:val="24"/>
                <w:szCs w:val="24"/>
              </w:rPr>
              <w:t xml:space="preserve">Difference </w:t>
            </w:r>
            <w:r w:rsidRPr="00BA3A72">
              <w:rPr>
                <w:rFonts w:ascii="Times New Roman" w:eastAsia="Times New Roman" w:hAnsi="Times New Roman" w:cs="Times New Roman"/>
                <w:color w:val="000000"/>
                <w:sz w:val="24"/>
                <w:szCs w:val="24"/>
                <w:vertAlign w:val="superscript"/>
              </w:rPr>
              <w:t>a</w:t>
            </w:r>
          </w:p>
        </w:tc>
      </w:tr>
      <w:tr w:rsidR="00BA3A72" w:rsidRPr="00BA3A72" w14:paraId="15322F8B" w14:textId="77777777" w:rsidTr="00B24A8F">
        <w:tc>
          <w:tcPr>
            <w:tcW w:w="0" w:type="auto"/>
            <w:tcBorders>
              <w:top w:val="single" w:sz="4" w:space="0" w:color="auto"/>
              <w:left w:val="nil"/>
              <w:bottom w:val="nil"/>
              <w:right w:val="nil"/>
            </w:tcBorders>
            <w:shd w:val="clear" w:color="auto" w:fill="auto"/>
            <w:noWrap/>
            <w:hideMark/>
          </w:tcPr>
          <w:p w14:paraId="4CB0077D" w14:textId="77777777" w:rsidR="00BA3A72" w:rsidRPr="00BA3A72" w:rsidRDefault="00BA3A72" w:rsidP="000677B8">
            <w:pPr>
              <w:spacing w:after="0" w:line="240" w:lineRule="auto"/>
              <w:contextualSpacing/>
              <w:jc w:val="both"/>
              <w:rPr>
                <w:rFonts w:ascii="Times New Roman" w:eastAsia="Times New Roman" w:hAnsi="Times New Roman" w:cs="Times New Roman"/>
                <w:i/>
                <w:iCs/>
                <w:color w:val="000000"/>
                <w:sz w:val="24"/>
                <w:szCs w:val="24"/>
              </w:rPr>
            </w:pPr>
            <w:r w:rsidRPr="00BA3A72">
              <w:rPr>
                <w:rFonts w:ascii="Times New Roman" w:eastAsia="Times New Roman" w:hAnsi="Times New Roman" w:cs="Times New Roman"/>
                <w:i/>
                <w:iCs/>
                <w:color w:val="000000"/>
                <w:sz w:val="24"/>
                <w:szCs w:val="24"/>
              </w:rPr>
              <w:t>M</w:t>
            </w:r>
          </w:p>
        </w:tc>
        <w:tc>
          <w:tcPr>
            <w:tcW w:w="0" w:type="auto"/>
            <w:tcBorders>
              <w:top w:val="single" w:sz="4" w:space="0" w:color="auto"/>
              <w:left w:val="nil"/>
              <w:bottom w:val="nil"/>
              <w:right w:val="nil"/>
            </w:tcBorders>
            <w:shd w:val="clear" w:color="auto" w:fill="auto"/>
            <w:noWrap/>
            <w:hideMark/>
          </w:tcPr>
          <w:p w14:paraId="181C32FC"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1.29</w:t>
            </w:r>
          </w:p>
        </w:tc>
        <w:tc>
          <w:tcPr>
            <w:tcW w:w="0" w:type="auto"/>
            <w:tcBorders>
              <w:top w:val="single" w:sz="4" w:space="0" w:color="auto"/>
              <w:left w:val="nil"/>
              <w:bottom w:val="nil"/>
              <w:right w:val="nil"/>
            </w:tcBorders>
            <w:shd w:val="clear" w:color="auto" w:fill="auto"/>
            <w:noWrap/>
            <w:hideMark/>
          </w:tcPr>
          <w:p w14:paraId="0CDCA898"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1.31</w:t>
            </w:r>
          </w:p>
        </w:tc>
        <w:tc>
          <w:tcPr>
            <w:tcW w:w="0" w:type="auto"/>
            <w:tcBorders>
              <w:top w:val="single" w:sz="4" w:space="0" w:color="auto"/>
              <w:left w:val="nil"/>
              <w:bottom w:val="nil"/>
              <w:right w:val="nil"/>
            </w:tcBorders>
            <w:shd w:val="clear" w:color="auto" w:fill="auto"/>
            <w:noWrap/>
            <w:hideMark/>
          </w:tcPr>
          <w:p w14:paraId="083C87CB"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0.02</w:t>
            </w:r>
          </w:p>
        </w:tc>
      </w:tr>
      <w:tr w:rsidR="00BA3A72" w:rsidRPr="00BA3A72" w14:paraId="13E97622" w14:textId="77777777" w:rsidTr="00B24A8F">
        <w:tc>
          <w:tcPr>
            <w:tcW w:w="0" w:type="auto"/>
            <w:tcBorders>
              <w:top w:val="nil"/>
              <w:left w:val="nil"/>
              <w:bottom w:val="nil"/>
              <w:right w:val="nil"/>
            </w:tcBorders>
            <w:shd w:val="clear" w:color="auto" w:fill="auto"/>
            <w:noWrap/>
            <w:hideMark/>
          </w:tcPr>
          <w:p w14:paraId="4156B532" w14:textId="77777777" w:rsidR="00BA3A72" w:rsidRPr="00BA3A72" w:rsidRDefault="00BA3A72" w:rsidP="000677B8">
            <w:pPr>
              <w:spacing w:after="0" w:line="240" w:lineRule="auto"/>
              <w:contextualSpacing/>
              <w:jc w:val="both"/>
              <w:rPr>
                <w:rFonts w:ascii="Times New Roman" w:eastAsia="Times New Roman" w:hAnsi="Times New Roman" w:cs="Times New Roman"/>
                <w:i/>
                <w:iCs/>
                <w:color w:val="000000"/>
                <w:sz w:val="24"/>
                <w:szCs w:val="24"/>
              </w:rPr>
            </w:pPr>
            <w:r w:rsidRPr="00BA3A72">
              <w:rPr>
                <w:rFonts w:ascii="Times New Roman" w:eastAsia="Times New Roman" w:hAnsi="Times New Roman" w:cs="Times New Roman"/>
                <w:i/>
                <w:iCs/>
                <w:color w:val="000000"/>
                <w:sz w:val="24"/>
                <w:szCs w:val="24"/>
              </w:rPr>
              <w:t>SD</w:t>
            </w:r>
          </w:p>
        </w:tc>
        <w:tc>
          <w:tcPr>
            <w:tcW w:w="0" w:type="auto"/>
            <w:tcBorders>
              <w:top w:val="nil"/>
              <w:left w:val="nil"/>
              <w:bottom w:val="nil"/>
              <w:right w:val="nil"/>
            </w:tcBorders>
            <w:shd w:val="clear" w:color="auto" w:fill="auto"/>
            <w:noWrap/>
            <w:hideMark/>
          </w:tcPr>
          <w:p w14:paraId="367226DE"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2.15</w:t>
            </w:r>
          </w:p>
        </w:tc>
        <w:tc>
          <w:tcPr>
            <w:tcW w:w="0" w:type="auto"/>
            <w:tcBorders>
              <w:top w:val="nil"/>
              <w:left w:val="nil"/>
              <w:bottom w:val="nil"/>
              <w:right w:val="nil"/>
            </w:tcBorders>
            <w:shd w:val="clear" w:color="auto" w:fill="auto"/>
            <w:noWrap/>
            <w:hideMark/>
          </w:tcPr>
          <w:p w14:paraId="5449D51C"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2.19</w:t>
            </w:r>
          </w:p>
        </w:tc>
        <w:tc>
          <w:tcPr>
            <w:tcW w:w="0" w:type="auto"/>
            <w:tcBorders>
              <w:top w:val="nil"/>
              <w:left w:val="nil"/>
              <w:bottom w:val="nil"/>
              <w:right w:val="nil"/>
            </w:tcBorders>
            <w:shd w:val="clear" w:color="auto" w:fill="auto"/>
            <w:noWrap/>
            <w:hideMark/>
          </w:tcPr>
          <w:p w14:paraId="2F81716F"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1.45</w:t>
            </w:r>
          </w:p>
        </w:tc>
      </w:tr>
      <w:tr w:rsidR="00BA3A72" w:rsidRPr="00BA3A72" w14:paraId="4AA6D0B1" w14:textId="77777777" w:rsidTr="00B24A8F">
        <w:tc>
          <w:tcPr>
            <w:tcW w:w="0" w:type="auto"/>
            <w:tcBorders>
              <w:top w:val="nil"/>
              <w:left w:val="nil"/>
              <w:bottom w:val="nil"/>
              <w:right w:val="nil"/>
            </w:tcBorders>
            <w:shd w:val="clear" w:color="auto" w:fill="auto"/>
            <w:noWrap/>
            <w:hideMark/>
          </w:tcPr>
          <w:p w14:paraId="7E65C2C6"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Minimum</w:t>
            </w:r>
          </w:p>
        </w:tc>
        <w:tc>
          <w:tcPr>
            <w:tcW w:w="0" w:type="auto"/>
            <w:tcBorders>
              <w:top w:val="nil"/>
              <w:left w:val="nil"/>
              <w:bottom w:val="nil"/>
              <w:right w:val="nil"/>
            </w:tcBorders>
            <w:shd w:val="clear" w:color="auto" w:fill="auto"/>
            <w:noWrap/>
            <w:hideMark/>
          </w:tcPr>
          <w:p w14:paraId="20EE30A0"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0.18</w:t>
            </w:r>
          </w:p>
        </w:tc>
        <w:tc>
          <w:tcPr>
            <w:tcW w:w="0" w:type="auto"/>
            <w:tcBorders>
              <w:top w:val="nil"/>
              <w:left w:val="nil"/>
              <w:bottom w:val="nil"/>
              <w:right w:val="nil"/>
            </w:tcBorders>
            <w:shd w:val="clear" w:color="auto" w:fill="auto"/>
            <w:noWrap/>
            <w:hideMark/>
          </w:tcPr>
          <w:p w14:paraId="6CCC25FE"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0.15</w:t>
            </w:r>
          </w:p>
        </w:tc>
        <w:tc>
          <w:tcPr>
            <w:tcW w:w="0" w:type="auto"/>
            <w:tcBorders>
              <w:top w:val="nil"/>
              <w:left w:val="nil"/>
              <w:bottom w:val="nil"/>
              <w:right w:val="nil"/>
            </w:tcBorders>
            <w:shd w:val="clear" w:color="auto" w:fill="auto"/>
            <w:noWrap/>
            <w:hideMark/>
          </w:tcPr>
          <w:p w14:paraId="6EDA6021"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-22.12</w:t>
            </w:r>
          </w:p>
        </w:tc>
      </w:tr>
      <w:tr w:rsidR="00BA3A72" w:rsidRPr="00BA3A72" w14:paraId="05A6F965" w14:textId="77777777" w:rsidTr="00B24A8F">
        <w:tc>
          <w:tcPr>
            <w:tcW w:w="0" w:type="auto"/>
            <w:tcBorders>
              <w:top w:val="nil"/>
              <w:left w:val="nil"/>
              <w:bottom w:val="nil"/>
              <w:right w:val="nil"/>
            </w:tcBorders>
            <w:shd w:val="clear" w:color="auto" w:fill="auto"/>
            <w:noWrap/>
            <w:hideMark/>
          </w:tcPr>
          <w:p w14:paraId="7CA0F621"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Maximum</w:t>
            </w:r>
          </w:p>
        </w:tc>
        <w:tc>
          <w:tcPr>
            <w:tcW w:w="0" w:type="auto"/>
            <w:tcBorders>
              <w:top w:val="nil"/>
              <w:left w:val="nil"/>
              <w:bottom w:val="nil"/>
              <w:right w:val="nil"/>
            </w:tcBorders>
            <w:shd w:val="clear" w:color="auto" w:fill="auto"/>
            <w:noWrap/>
            <w:hideMark/>
          </w:tcPr>
          <w:p w14:paraId="460F5C67"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25.00</w:t>
            </w:r>
          </w:p>
        </w:tc>
        <w:tc>
          <w:tcPr>
            <w:tcW w:w="0" w:type="auto"/>
            <w:tcBorders>
              <w:top w:val="nil"/>
              <w:left w:val="nil"/>
              <w:bottom w:val="nil"/>
              <w:right w:val="nil"/>
            </w:tcBorders>
            <w:shd w:val="clear" w:color="auto" w:fill="auto"/>
            <w:noWrap/>
            <w:hideMark/>
          </w:tcPr>
          <w:p w14:paraId="5658C48B"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28.31</w:t>
            </w:r>
          </w:p>
        </w:tc>
        <w:tc>
          <w:tcPr>
            <w:tcW w:w="0" w:type="auto"/>
            <w:tcBorders>
              <w:top w:val="nil"/>
              <w:left w:val="nil"/>
              <w:bottom w:val="nil"/>
              <w:right w:val="nil"/>
            </w:tcBorders>
            <w:shd w:val="clear" w:color="auto" w:fill="auto"/>
            <w:noWrap/>
            <w:hideMark/>
          </w:tcPr>
          <w:p w14:paraId="2678DC45"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14.61</w:t>
            </w:r>
          </w:p>
        </w:tc>
      </w:tr>
      <w:tr w:rsidR="00BA3A72" w:rsidRPr="00BA3A72" w14:paraId="40EAA006" w14:textId="77777777" w:rsidTr="00B24A8F">
        <w:tc>
          <w:tcPr>
            <w:tcW w:w="0" w:type="auto"/>
            <w:tcBorders>
              <w:top w:val="nil"/>
              <w:left w:val="nil"/>
              <w:bottom w:val="nil"/>
              <w:right w:val="nil"/>
            </w:tcBorders>
            <w:shd w:val="clear" w:color="auto" w:fill="auto"/>
            <w:noWrap/>
            <w:hideMark/>
          </w:tcPr>
          <w:p w14:paraId="71BA3F40"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1st percentile</w:t>
            </w:r>
          </w:p>
        </w:tc>
        <w:tc>
          <w:tcPr>
            <w:tcW w:w="0" w:type="auto"/>
            <w:tcBorders>
              <w:top w:val="nil"/>
              <w:left w:val="nil"/>
              <w:bottom w:val="nil"/>
              <w:right w:val="nil"/>
            </w:tcBorders>
            <w:shd w:val="clear" w:color="auto" w:fill="auto"/>
            <w:noWrap/>
            <w:hideMark/>
          </w:tcPr>
          <w:p w14:paraId="111976DC"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0.18</w:t>
            </w:r>
          </w:p>
        </w:tc>
        <w:tc>
          <w:tcPr>
            <w:tcW w:w="0" w:type="auto"/>
            <w:tcBorders>
              <w:top w:val="nil"/>
              <w:left w:val="nil"/>
              <w:bottom w:val="nil"/>
              <w:right w:val="nil"/>
            </w:tcBorders>
            <w:shd w:val="clear" w:color="auto" w:fill="auto"/>
            <w:noWrap/>
            <w:hideMark/>
          </w:tcPr>
          <w:p w14:paraId="18F18C19"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0.15</w:t>
            </w:r>
          </w:p>
        </w:tc>
        <w:tc>
          <w:tcPr>
            <w:tcW w:w="0" w:type="auto"/>
            <w:tcBorders>
              <w:top w:val="nil"/>
              <w:left w:val="nil"/>
              <w:bottom w:val="nil"/>
              <w:right w:val="nil"/>
            </w:tcBorders>
            <w:shd w:val="clear" w:color="auto" w:fill="auto"/>
            <w:noWrap/>
            <w:hideMark/>
          </w:tcPr>
          <w:p w14:paraId="05985B13"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-4.50</w:t>
            </w:r>
          </w:p>
        </w:tc>
      </w:tr>
      <w:tr w:rsidR="00BA3A72" w:rsidRPr="00BA3A72" w14:paraId="065B3E02" w14:textId="77777777" w:rsidTr="00B24A8F">
        <w:tc>
          <w:tcPr>
            <w:tcW w:w="0" w:type="auto"/>
            <w:tcBorders>
              <w:top w:val="nil"/>
              <w:left w:val="nil"/>
              <w:bottom w:val="nil"/>
              <w:right w:val="nil"/>
            </w:tcBorders>
            <w:shd w:val="clear" w:color="auto" w:fill="auto"/>
            <w:noWrap/>
            <w:hideMark/>
          </w:tcPr>
          <w:p w14:paraId="0409E1E5"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5th percentile</w:t>
            </w:r>
          </w:p>
        </w:tc>
        <w:tc>
          <w:tcPr>
            <w:tcW w:w="0" w:type="auto"/>
            <w:tcBorders>
              <w:top w:val="nil"/>
              <w:left w:val="nil"/>
              <w:bottom w:val="nil"/>
              <w:right w:val="nil"/>
            </w:tcBorders>
            <w:shd w:val="clear" w:color="auto" w:fill="auto"/>
            <w:noWrap/>
            <w:hideMark/>
          </w:tcPr>
          <w:p w14:paraId="0A2BCE42"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0.18</w:t>
            </w:r>
          </w:p>
        </w:tc>
        <w:tc>
          <w:tcPr>
            <w:tcW w:w="0" w:type="auto"/>
            <w:tcBorders>
              <w:top w:val="nil"/>
              <w:left w:val="nil"/>
              <w:bottom w:val="nil"/>
              <w:right w:val="nil"/>
            </w:tcBorders>
            <w:shd w:val="clear" w:color="auto" w:fill="auto"/>
            <w:noWrap/>
            <w:hideMark/>
          </w:tcPr>
          <w:p w14:paraId="4D947911"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0.15</w:t>
            </w:r>
          </w:p>
        </w:tc>
        <w:tc>
          <w:tcPr>
            <w:tcW w:w="0" w:type="auto"/>
            <w:tcBorders>
              <w:top w:val="nil"/>
              <w:left w:val="nil"/>
              <w:bottom w:val="nil"/>
              <w:right w:val="nil"/>
            </w:tcBorders>
            <w:shd w:val="clear" w:color="auto" w:fill="auto"/>
            <w:noWrap/>
            <w:hideMark/>
          </w:tcPr>
          <w:p w14:paraId="53F558C4"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-1.72</w:t>
            </w:r>
          </w:p>
        </w:tc>
      </w:tr>
      <w:tr w:rsidR="00BA3A72" w:rsidRPr="00BA3A72" w14:paraId="21F15AA8" w14:textId="77777777" w:rsidTr="00B24A8F">
        <w:tc>
          <w:tcPr>
            <w:tcW w:w="0" w:type="auto"/>
            <w:tcBorders>
              <w:top w:val="nil"/>
              <w:left w:val="nil"/>
              <w:bottom w:val="nil"/>
              <w:right w:val="nil"/>
            </w:tcBorders>
            <w:shd w:val="clear" w:color="auto" w:fill="auto"/>
            <w:noWrap/>
            <w:hideMark/>
          </w:tcPr>
          <w:p w14:paraId="75668E4B"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25th percentile</w:t>
            </w:r>
          </w:p>
        </w:tc>
        <w:tc>
          <w:tcPr>
            <w:tcW w:w="0" w:type="auto"/>
            <w:tcBorders>
              <w:top w:val="nil"/>
              <w:left w:val="nil"/>
              <w:bottom w:val="nil"/>
              <w:right w:val="nil"/>
            </w:tcBorders>
            <w:shd w:val="clear" w:color="auto" w:fill="auto"/>
            <w:noWrap/>
            <w:hideMark/>
          </w:tcPr>
          <w:p w14:paraId="7A6DBC98"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0.27</w:t>
            </w:r>
          </w:p>
        </w:tc>
        <w:tc>
          <w:tcPr>
            <w:tcW w:w="0" w:type="auto"/>
            <w:tcBorders>
              <w:top w:val="nil"/>
              <w:left w:val="nil"/>
              <w:bottom w:val="nil"/>
              <w:right w:val="nil"/>
            </w:tcBorders>
            <w:shd w:val="clear" w:color="auto" w:fill="auto"/>
            <w:noWrap/>
            <w:hideMark/>
          </w:tcPr>
          <w:p w14:paraId="5EE8FC0B"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0.23</w:t>
            </w:r>
          </w:p>
        </w:tc>
        <w:tc>
          <w:tcPr>
            <w:tcW w:w="0" w:type="auto"/>
            <w:tcBorders>
              <w:top w:val="nil"/>
              <w:left w:val="nil"/>
              <w:bottom w:val="nil"/>
              <w:right w:val="nil"/>
            </w:tcBorders>
            <w:shd w:val="clear" w:color="auto" w:fill="auto"/>
            <w:noWrap/>
            <w:hideMark/>
          </w:tcPr>
          <w:p w14:paraId="2B1A1055"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-0.30</w:t>
            </w:r>
          </w:p>
        </w:tc>
      </w:tr>
      <w:tr w:rsidR="00BA3A72" w:rsidRPr="00BA3A72" w14:paraId="1207196A" w14:textId="77777777" w:rsidTr="00B24A8F">
        <w:tc>
          <w:tcPr>
            <w:tcW w:w="0" w:type="auto"/>
            <w:tcBorders>
              <w:top w:val="nil"/>
              <w:left w:val="nil"/>
              <w:bottom w:val="nil"/>
              <w:right w:val="nil"/>
            </w:tcBorders>
            <w:shd w:val="clear" w:color="auto" w:fill="auto"/>
            <w:noWrap/>
            <w:hideMark/>
          </w:tcPr>
          <w:p w14:paraId="432FA756"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50th percentile</w:t>
            </w:r>
          </w:p>
        </w:tc>
        <w:tc>
          <w:tcPr>
            <w:tcW w:w="0" w:type="auto"/>
            <w:tcBorders>
              <w:top w:val="nil"/>
              <w:left w:val="nil"/>
              <w:bottom w:val="nil"/>
              <w:right w:val="nil"/>
            </w:tcBorders>
            <w:shd w:val="clear" w:color="auto" w:fill="auto"/>
            <w:noWrap/>
            <w:hideMark/>
          </w:tcPr>
          <w:p w14:paraId="163372F3"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0.55</w:t>
            </w:r>
          </w:p>
        </w:tc>
        <w:tc>
          <w:tcPr>
            <w:tcW w:w="0" w:type="auto"/>
            <w:tcBorders>
              <w:top w:val="nil"/>
              <w:left w:val="nil"/>
              <w:bottom w:val="nil"/>
              <w:right w:val="nil"/>
            </w:tcBorders>
            <w:shd w:val="clear" w:color="auto" w:fill="auto"/>
            <w:noWrap/>
            <w:hideMark/>
          </w:tcPr>
          <w:p w14:paraId="4ECD8C8C"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0.54</w:t>
            </w:r>
          </w:p>
        </w:tc>
        <w:tc>
          <w:tcPr>
            <w:tcW w:w="0" w:type="auto"/>
            <w:tcBorders>
              <w:top w:val="nil"/>
              <w:left w:val="nil"/>
              <w:bottom w:val="nil"/>
              <w:right w:val="nil"/>
            </w:tcBorders>
            <w:shd w:val="clear" w:color="auto" w:fill="auto"/>
            <w:noWrap/>
            <w:hideMark/>
          </w:tcPr>
          <w:p w14:paraId="3E95C082"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-0.03</w:t>
            </w:r>
          </w:p>
        </w:tc>
      </w:tr>
      <w:tr w:rsidR="00BA3A72" w:rsidRPr="00BA3A72" w14:paraId="4B1C1A51" w14:textId="77777777" w:rsidTr="00B24A8F">
        <w:tc>
          <w:tcPr>
            <w:tcW w:w="0" w:type="auto"/>
            <w:tcBorders>
              <w:top w:val="nil"/>
              <w:left w:val="nil"/>
              <w:bottom w:val="nil"/>
              <w:right w:val="nil"/>
            </w:tcBorders>
            <w:shd w:val="clear" w:color="auto" w:fill="auto"/>
            <w:noWrap/>
            <w:hideMark/>
          </w:tcPr>
          <w:p w14:paraId="3566B759"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75th percentile</w:t>
            </w:r>
          </w:p>
        </w:tc>
        <w:tc>
          <w:tcPr>
            <w:tcW w:w="0" w:type="auto"/>
            <w:tcBorders>
              <w:top w:val="nil"/>
              <w:left w:val="nil"/>
              <w:bottom w:val="nil"/>
              <w:right w:val="nil"/>
            </w:tcBorders>
            <w:shd w:val="clear" w:color="auto" w:fill="auto"/>
            <w:noWrap/>
            <w:hideMark/>
          </w:tcPr>
          <w:p w14:paraId="4094A1E1"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1.27</w:t>
            </w:r>
          </w:p>
        </w:tc>
        <w:tc>
          <w:tcPr>
            <w:tcW w:w="0" w:type="auto"/>
            <w:tcBorders>
              <w:top w:val="nil"/>
              <w:left w:val="nil"/>
              <w:bottom w:val="nil"/>
              <w:right w:val="nil"/>
            </w:tcBorders>
            <w:shd w:val="clear" w:color="auto" w:fill="auto"/>
            <w:noWrap/>
            <w:hideMark/>
          </w:tcPr>
          <w:p w14:paraId="211318B2"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1.31</w:t>
            </w:r>
          </w:p>
        </w:tc>
        <w:tc>
          <w:tcPr>
            <w:tcW w:w="0" w:type="auto"/>
            <w:tcBorders>
              <w:top w:val="nil"/>
              <w:left w:val="nil"/>
              <w:bottom w:val="nil"/>
              <w:right w:val="nil"/>
            </w:tcBorders>
            <w:shd w:val="clear" w:color="auto" w:fill="auto"/>
            <w:noWrap/>
            <w:hideMark/>
          </w:tcPr>
          <w:p w14:paraId="74A723FA"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0.27</w:t>
            </w:r>
          </w:p>
        </w:tc>
      </w:tr>
      <w:tr w:rsidR="00BA3A72" w:rsidRPr="00BA3A72" w14:paraId="05443C2B" w14:textId="77777777" w:rsidTr="00B24A8F">
        <w:tc>
          <w:tcPr>
            <w:tcW w:w="0" w:type="auto"/>
            <w:tcBorders>
              <w:top w:val="nil"/>
              <w:left w:val="nil"/>
              <w:right w:val="nil"/>
            </w:tcBorders>
            <w:shd w:val="clear" w:color="auto" w:fill="auto"/>
            <w:noWrap/>
            <w:hideMark/>
          </w:tcPr>
          <w:p w14:paraId="102A6FDE"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95th percentile</w:t>
            </w:r>
          </w:p>
        </w:tc>
        <w:tc>
          <w:tcPr>
            <w:tcW w:w="0" w:type="auto"/>
            <w:tcBorders>
              <w:top w:val="nil"/>
              <w:left w:val="nil"/>
              <w:right w:val="nil"/>
            </w:tcBorders>
            <w:shd w:val="clear" w:color="auto" w:fill="auto"/>
            <w:noWrap/>
            <w:hideMark/>
          </w:tcPr>
          <w:p w14:paraId="47125457"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5.18</w:t>
            </w:r>
          </w:p>
        </w:tc>
        <w:tc>
          <w:tcPr>
            <w:tcW w:w="0" w:type="auto"/>
            <w:tcBorders>
              <w:top w:val="nil"/>
              <w:left w:val="nil"/>
              <w:right w:val="nil"/>
            </w:tcBorders>
            <w:shd w:val="clear" w:color="auto" w:fill="auto"/>
            <w:noWrap/>
            <w:hideMark/>
          </w:tcPr>
          <w:p w14:paraId="253A6C64"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5.31</w:t>
            </w:r>
          </w:p>
        </w:tc>
        <w:tc>
          <w:tcPr>
            <w:tcW w:w="0" w:type="auto"/>
            <w:tcBorders>
              <w:top w:val="nil"/>
              <w:left w:val="nil"/>
              <w:right w:val="nil"/>
            </w:tcBorders>
            <w:shd w:val="clear" w:color="auto" w:fill="auto"/>
            <w:noWrap/>
            <w:hideMark/>
          </w:tcPr>
          <w:p w14:paraId="4D5D098D"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1.86</w:t>
            </w:r>
          </w:p>
        </w:tc>
      </w:tr>
      <w:tr w:rsidR="00BA3A72" w:rsidRPr="00BA3A72" w14:paraId="42B16CAF" w14:textId="77777777" w:rsidTr="00B24A8F">
        <w:tc>
          <w:tcPr>
            <w:tcW w:w="0" w:type="auto"/>
            <w:tcBorders>
              <w:top w:val="nil"/>
              <w:left w:val="nil"/>
              <w:bottom w:val="single" w:sz="4" w:space="0" w:color="auto"/>
              <w:right w:val="nil"/>
            </w:tcBorders>
            <w:shd w:val="clear" w:color="auto" w:fill="auto"/>
            <w:noWrap/>
            <w:hideMark/>
          </w:tcPr>
          <w:p w14:paraId="25C4FE36"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99th percentile</w:t>
            </w:r>
          </w:p>
        </w:tc>
        <w:tc>
          <w:tcPr>
            <w:tcW w:w="0" w:type="auto"/>
            <w:tcBorders>
              <w:top w:val="nil"/>
              <w:left w:val="nil"/>
              <w:bottom w:val="single" w:sz="4" w:space="0" w:color="auto"/>
              <w:right w:val="nil"/>
            </w:tcBorders>
            <w:shd w:val="clear" w:color="auto" w:fill="auto"/>
            <w:noWrap/>
            <w:hideMark/>
          </w:tcPr>
          <w:p w14:paraId="11592720"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11.36</w:t>
            </w:r>
          </w:p>
        </w:tc>
        <w:tc>
          <w:tcPr>
            <w:tcW w:w="0" w:type="auto"/>
            <w:tcBorders>
              <w:top w:val="nil"/>
              <w:left w:val="nil"/>
              <w:bottom w:val="single" w:sz="4" w:space="0" w:color="auto"/>
              <w:right w:val="nil"/>
            </w:tcBorders>
            <w:shd w:val="clear" w:color="auto" w:fill="auto"/>
            <w:noWrap/>
            <w:hideMark/>
          </w:tcPr>
          <w:p w14:paraId="243EB15F"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11.20</w:t>
            </w:r>
          </w:p>
        </w:tc>
        <w:tc>
          <w:tcPr>
            <w:tcW w:w="0" w:type="auto"/>
            <w:tcBorders>
              <w:top w:val="nil"/>
              <w:left w:val="nil"/>
              <w:bottom w:val="single" w:sz="4" w:space="0" w:color="auto"/>
              <w:right w:val="nil"/>
            </w:tcBorders>
            <w:shd w:val="clear" w:color="auto" w:fill="auto"/>
            <w:noWrap/>
            <w:hideMark/>
          </w:tcPr>
          <w:p w14:paraId="14274C93" w14:textId="77777777" w:rsidR="00BA3A72" w:rsidRPr="00BA3A72" w:rsidRDefault="00BA3A72" w:rsidP="000677B8">
            <w:pPr>
              <w:spacing w:after="0" w:line="240" w:lineRule="auto"/>
              <w:contextualSpacing/>
              <w:jc w:val="both"/>
              <w:rPr>
                <w:rFonts w:ascii="Times New Roman" w:eastAsia="Times New Roman" w:hAnsi="Times New Roman" w:cs="Times New Roman"/>
                <w:color w:val="000000"/>
                <w:sz w:val="24"/>
                <w:szCs w:val="24"/>
              </w:rPr>
            </w:pPr>
            <w:r w:rsidRPr="00BA3A72">
              <w:rPr>
                <w:rFonts w:ascii="Times New Roman" w:eastAsia="Times New Roman" w:hAnsi="Times New Roman" w:cs="Times New Roman"/>
                <w:color w:val="000000"/>
                <w:sz w:val="24"/>
                <w:szCs w:val="24"/>
              </w:rPr>
              <w:t xml:space="preserve">   5.12</w:t>
            </w:r>
          </w:p>
        </w:tc>
      </w:tr>
    </w:tbl>
    <w:p w14:paraId="2BA341C7" w14:textId="77777777" w:rsidR="00BA3A72" w:rsidRPr="00BA3A72" w:rsidRDefault="00BA3A72" w:rsidP="000677B8">
      <w:pPr>
        <w:spacing w:after="0" w:line="240" w:lineRule="auto"/>
        <w:jc w:val="both"/>
        <w:rPr>
          <w:rFonts w:ascii="Times New Roman" w:eastAsia="Calibri" w:hAnsi="Times New Roman" w:cs="Times New Roman"/>
          <w:sz w:val="24"/>
          <w:szCs w:val="24"/>
        </w:rPr>
      </w:pPr>
      <w:r w:rsidRPr="00BA3A72">
        <w:rPr>
          <w:rFonts w:ascii="Times New Roman" w:eastAsia="Calibri" w:hAnsi="Times New Roman" w:cs="Times New Roman"/>
          <w:i/>
          <w:sz w:val="24"/>
          <w:szCs w:val="24"/>
        </w:rPr>
        <w:t>Note.</w:t>
      </w:r>
      <w:r w:rsidRPr="00BA3A72">
        <w:rPr>
          <w:rFonts w:ascii="Times New Roman" w:eastAsia="Calibri" w:hAnsi="Times New Roman" w:cs="Times New Roman"/>
          <w:sz w:val="24"/>
          <w:szCs w:val="24"/>
        </w:rPr>
        <w:t xml:space="preserve"> </w:t>
      </w:r>
      <w:r w:rsidRPr="00BA3A72">
        <w:rPr>
          <w:rFonts w:ascii="Times New Roman" w:eastAsia="Calibri" w:hAnsi="Times New Roman" w:cs="Times New Roman"/>
          <w:i/>
          <w:sz w:val="24"/>
          <w:szCs w:val="24"/>
        </w:rPr>
        <w:t>N</w:t>
      </w:r>
      <w:r w:rsidRPr="00BA3A72">
        <w:rPr>
          <w:rFonts w:ascii="Times New Roman" w:eastAsia="Calibri" w:hAnsi="Times New Roman" w:cs="Times New Roman"/>
          <w:sz w:val="24"/>
          <w:szCs w:val="24"/>
        </w:rPr>
        <w:t xml:space="preserve"> = 9,568.</w:t>
      </w:r>
    </w:p>
    <w:p w14:paraId="311F3EB8" w14:textId="77777777" w:rsidR="00BA3A72" w:rsidRPr="00BA3A72" w:rsidRDefault="00BA3A72" w:rsidP="000677B8">
      <w:pPr>
        <w:spacing w:after="200" w:line="240" w:lineRule="auto"/>
        <w:jc w:val="both"/>
        <w:rPr>
          <w:rFonts w:ascii="Times New Roman" w:eastAsia="Calibri" w:hAnsi="Times New Roman" w:cs="Times New Roman"/>
          <w:sz w:val="24"/>
          <w:szCs w:val="24"/>
        </w:rPr>
      </w:pPr>
      <w:r w:rsidRPr="00BA3A72">
        <w:rPr>
          <w:rFonts w:ascii="Times New Roman" w:eastAsia="Calibri" w:hAnsi="Times New Roman" w:cs="Times New Roman"/>
          <w:sz w:val="24"/>
          <w:szCs w:val="24"/>
          <w:vertAlign w:val="superscript"/>
        </w:rPr>
        <w:t>a</w:t>
      </w:r>
      <w:r w:rsidRPr="00BA3A72">
        <w:rPr>
          <w:rFonts w:ascii="Times New Roman" w:eastAsia="Calibri" w:hAnsi="Times New Roman" w:cs="Times New Roman"/>
          <w:sz w:val="24"/>
          <w:szCs w:val="24"/>
        </w:rPr>
        <w:t xml:space="preserve"> Difference = Period 2 – Period 1.</w:t>
      </w:r>
    </w:p>
    <w:p w14:paraId="68A91197" w14:textId="177ADB26" w:rsidR="00884C90" w:rsidRDefault="00B24A8F"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884C90" w:rsidRPr="00884C90">
        <w:rPr>
          <w:rFonts w:ascii="Times New Roman" w:hAnsi="Times New Roman" w:cs="Times New Roman"/>
          <w:sz w:val="24"/>
          <w:szCs w:val="24"/>
        </w:rPr>
        <w:t>The distribution of data in Table 2 indicates the average amount spent per visit (ADT) during the two study periods.  Mean ADT values were similar in Period 1 (M = 90.66) and Period 2 (M = 88.30).  As with the trips per month data, an examination of the distribution of the percentiles revealed pronounced positive skews in the data that signified nonnormal distributions.  Nonparametric statistical tests were suitable to test the hypotheses.</w:t>
      </w:r>
    </w:p>
    <w:p w14:paraId="22A3BF85" w14:textId="77777777" w:rsidR="00FE7FC8" w:rsidRDefault="00FE7FC8" w:rsidP="000677B8">
      <w:pPr>
        <w:spacing w:after="0" w:line="240" w:lineRule="auto"/>
        <w:jc w:val="both"/>
        <w:rPr>
          <w:rFonts w:ascii="Times New Roman" w:hAnsi="Times New Roman" w:cs="Times New Roman"/>
          <w:sz w:val="24"/>
          <w:szCs w:val="24"/>
        </w:rPr>
      </w:pPr>
    </w:p>
    <w:p w14:paraId="7CA99D5A" w14:textId="77777777" w:rsidR="00FE7FC8" w:rsidRDefault="00FE7FC8" w:rsidP="000677B8">
      <w:pPr>
        <w:spacing w:after="0" w:line="240" w:lineRule="auto"/>
        <w:jc w:val="both"/>
        <w:rPr>
          <w:rFonts w:ascii="Times New Roman" w:hAnsi="Times New Roman" w:cs="Times New Roman"/>
          <w:sz w:val="24"/>
          <w:szCs w:val="24"/>
        </w:rPr>
      </w:pPr>
    </w:p>
    <w:p w14:paraId="12067484" w14:textId="77777777" w:rsidR="00FE7FC8" w:rsidRDefault="00FE7FC8" w:rsidP="000677B8">
      <w:pPr>
        <w:spacing w:after="0" w:line="240" w:lineRule="auto"/>
        <w:jc w:val="both"/>
        <w:rPr>
          <w:rFonts w:ascii="Times New Roman" w:hAnsi="Times New Roman" w:cs="Times New Roman"/>
          <w:sz w:val="24"/>
          <w:szCs w:val="24"/>
        </w:rPr>
      </w:pPr>
    </w:p>
    <w:p w14:paraId="1CB0B84F" w14:textId="77777777" w:rsidR="00FE7FC8" w:rsidRDefault="00FE7FC8" w:rsidP="000677B8">
      <w:pPr>
        <w:spacing w:after="0" w:line="240" w:lineRule="auto"/>
        <w:jc w:val="both"/>
        <w:rPr>
          <w:rFonts w:ascii="Times New Roman" w:hAnsi="Times New Roman" w:cs="Times New Roman"/>
          <w:sz w:val="24"/>
          <w:szCs w:val="24"/>
        </w:rPr>
      </w:pPr>
    </w:p>
    <w:p w14:paraId="429B65B2" w14:textId="77777777" w:rsidR="00FE7FC8" w:rsidRDefault="00FE7FC8" w:rsidP="000677B8">
      <w:pPr>
        <w:spacing w:after="0" w:line="240" w:lineRule="auto"/>
        <w:jc w:val="both"/>
        <w:rPr>
          <w:rFonts w:ascii="Times New Roman" w:hAnsi="Times New Roman" w:cs="Times New Roman"/>
          <w:sz w:val="24"/>
          <w:szCs w:val="24"/>
        </w:rPr>
      </w:pPr>
    </w:p>
    <w:p w14:paraId="5E9943F1" w14:textId="77777777" w:rsidR="00FE7FC8" w:rsidRDefault="00FE7FC8" w:rsidP="000677B8">
      <w:pPr>
        <w:spacing w:after="0" w:line="240" w:lineRule="auto"/>
        <w:jc w:val="both"/>
        <w:rPr>
          <w:rFonts w:ascii="Times New Roman" w:hAnsi="Times New Roman" w:cs="Times New Roman"/>
          <w:sz w:val="24"/>
          <w:szCs w:val="24"/>
        </w:rPr>
      </w:pPr>
    </w:p>
    <w:p w14:paraId="38D04C11" w14:textId="77777777" w:rsidR="00FE7FC8" w:rsidRDefault="00FE7FC8" w:rsidP="000677B8">
      <w:pPr>
        <w:spacing w:after="0" w:line="240" w:lineRule="auto"/>
        <w:jc w:val="both"/>
        <w:rPr>
          <w:rFonts w:ascii="Times New Roman" w:hAnsi="Times New Roman" w:cs="Times New Roman"/>
          <w:sz w:val="24"/>
          <w:szCs w:val="24"/>
        </w:rPr>
      </w:pPr>
    </w:p>
    <w:p w14:paraId="2A030803" w14:textId="77777777" w:rsidR="00FE7FC8" w:rsidRDefault="00FE7FC8" w:rsidP="000677B8">
      <w:pPr>
        <w:spacing w:after="0" w:line="240" w:lineRule="auto"/>
        <w:jc w:val="both"/>
        <w:rPr>
          <w:rFonts w:ascii="Times New Roman" w:hAnsi="Times New Roman" w:cs="Times New Roman"/>
          <w:sz w:val="24"/>
          <w:szCs w:val="24"/>
        </w:rPr>
      </w:pPr>
    </w:p>
    <w:p w14:paraId="51571AC7" w14:textId="77777777" w:rsidR="00FE7FC8" w:rsidRDefault="00FE7FC8" w:rsidP="000677B8">
      <w:pPr>
        <w:spacing w:after="0" w:line="240" w:lineRule="auto"/>
        <w:jc w:val="both"/>
        <w:rPr>
          <w:rFonts w:ascii="Times New Roman" w:hAnsi="Times New Roman" w:cs="Times New Roman"/>
          <w:sz w:val="24"/>
          <w:szCs w:val="24"/>
        </w:rPr>
      </w:pPr>
    </w:p>
    <w:p w14:paraId="1EFF9419" w14:textId="48175FF7" w:rsidR="00B24A8F" w:rsidRPr="00B24A8F" w:rsidRDefault="00B24A8F" w:rsidP="00FE7FC8">
      <w:pPr>
        <w:keepNext/>
        <w:tabs>
          <w:tab w:val="left" w:pos="547"/>
        </w:tabs>
        <w:spacing w:after="0" w:line="240" w:lineRule="auto"/>
        <w:rPr>
          <w:rFonts w:ascii="Times New Roman" w:eastAsia="Times New Roman" w:hAnsi="Times New Roman" w:cs="Times New Roman"/>
          <w:i/>
          <w:sz w:val="24"/>
          <w:szCs w:val="24"/>
        </w:rPr>
      </w:pPr>
      <w:bookmarkStart w:id="2" w:name="_Toc429182989"/>
      <w:r w:rsidRPr="00B24A8F">
        <w:rPr>
          <w:rFonts w:ascii="Times New Roman" w:eastAsia="Times New Roman" w:hAnsi="Times New Roman" w:cs="Times New Roman"/>
          <w:sz w:val="24"/>
          <w:szCs w:val="24"/>
        </w:rPr>
        <w:t>Table</w:t>
      </w:r>
      <w:r w:rsidR="00FE7FC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w:t>
      </w:r>
      <w:r w:rsidRPr="00B24A8F">
        <w:rPr>
          <w:rFonts w:ascii="Times New Roman" w:eastAsia="Times New Roman" w:hAnsi="Times New Roman" w:cs="Times New Roman"/>
          <w:sz w:val="24"/>
          <w:szCs w:val="24"/>
        </w:rPr>
        <w:br/>
      </w:r>
      <w:r w:rsidRPr="00B24A8F">
        <w:rPr>
          <w:rFonts w:ascii="Times New Roman" w:eastAsia="Times New Roman" w:hAnsi="Times New Roman" w:cs="Times New Roman"/>
          <w:i/>
          <w:sz w:val="24"/>
          <w:szCs w:val="24"/>
        </w:rPr>
        <w:t>Distribution of Data for Average Amount Spent Per Visit</w:t>
      </w:r>
      <w:bookmarkEnd w:id="2"/>
      <w:r w:rsidRPr="00B24A8F">
        <w:rPr>
          <w:rFonts w:ascii="Times New Roman" w:eastAsia="Times New Roman" w:hAnsi="Times New Roman" w:cs="Times New Roman"/>
          <w:i/>
          <w:sz w:val="24"/>
          <w:szCs w:val="24"/>
        </w:rPr>
        <w:t xml:space="preserve"> (ADT</w:t>
      </w:r>
      <w:r w:rsidR="00EA1BBF" w:rsidRPr="00B24A8F">
        <w:rPr>
          <w:rFonts w:ascii="Times New Roman" w:eastAsia="Times New Roman" w:hAnsi="Times New Roman" w:cs="Times New Roman"/>
          <w:i/>
          <w:sz w:val="24"/>
          <w:szCs w:val="24"/>
        </w:rPr>
        <w:t>)</w:t>
      </w:r>
      <w:r w:rsidR="00EA1BBF">
        <w:rPr>
          <w:rFonts w:ascii="Times New Roman" w:eastAsia="Times New Roman" w:hAnsi="Times New Roman" w:cs="Times New Roman"/>
          <w:i/>
          <w:sz w:val="24"/>
          <w:szCs w:val="24"/>
        </w:rPr>
        <w:t xml:space="preserve"> in</w:t>
      </w:r>
      <w:r>
        <w:rPr>
          <w:rFonts w:ascii="Times New Roman" w:eastAsia="Times New Roman" w:hAnsi="Times New Roman" w:cs="Times New Roman"/>
          <w:i/>
          <w:sz w:val="24"/>
          <w:szCs w:val="24"/>
        </w:rPr>
        <w:t xml:space="preserve"> US$</w:t>
      </w:r>
    </w:p>
    <w:tbl>
      <w:tblPr>
        <w:tblW w:w="4633" w:type="pct"/>
        <w:tblLook w:val="04A0" w:firstRow="1" w:lastRow="0" w:firstColumn="1" w:lastColumn="0" w:noHBand="0" w:noVBand="1"/>
      </w:tblPr>
      <w:tblGrid>
        <w:gridCol w:w="2466"/>
        <w:gridCol w:w="1579"/>
        <w:gridCol w:w="1579"/>
        <w:gridCol w:w="1715"/>
      </w:tblGrid>
      <w:tr w:rsidR="00B24A8F" w:rsidRPr="00B24A8F" w14:paraId="24D2A87B" w14:textId="77777777" w:rsidTr="00B24A8F">
        <w:tc>
          <w:tcPr>
            <w:tcW w:w="0" w:type="auto"/>
            <w:tcBorders>
              <w:top w:val="single" w:sz="4" w:space="0" w:color="auto"/>
              <w:left w:val="nil"/>
              <w:bottom w:val="single" w:sz="4" w:space="0" w:color="auto"/>
              <w:right w:val="nil"/>
            </w:tcBorders>
            <w:shd w:val="clear" w:color="auto" w:fill="auto"/>
            <w:noWrap/>
            <w:vAlign w:val="bottom"/>
          </w:tcPr>
          <w:p w14:paraId="4DE148D7" w14:textId="77777777" w:rsidR="00B24A8F" w:rsidRPr="00B24A8F" w:rsidRDefault="00B24A8F" w:rsidP="000677B8">
            <w:pPr>
              <w:spacing w:after="0" w:line="240" w:lineRule="auto"/>
              <w:contextualSpacing/>
              <w:jc w:val="both"/>
              <w:rPr>
                <w:rFonts w:ascii="Times New Roman" w:eastAsia="Times New Roman" w:hAnsi="Times New Roman" w:cs="Times New Roman"/>
                <w:iCs/>
                <w:color w:val="000000"/>
                <w:sz w:val="24"/>
                <w:szCs w:val="24"/>
              </w:rPr>
            </w:pPr>
            <w:r w:rsidRPr="00B24A8F">
              <w:rPr>
                <w:rFonts w:ascii="Times New Roman" w:eastAsia="Times New Roman" w:hAnsi="Times New Roman" w:cs="Times New Roman"/>
                <w:iCs/>
                <w:color w:val="000000"/>
                <w:sz w:val="24"/>
                <w:szCs w:val="24"/>
              </w:rPr>
              <w:t>Statistic</w:t>
            </w:r>
          </w:p>
        </w:tc>
        <w:tc>
          <w:tcPr>
            <w:tcW w:w="0" w:type="auto"/>
            <w:tcBorders>
              <w:top w:val="single" w:sz="4" w:space="0" w:color="auto"/>
              <w:left w:val="nil"/>
              <w:bottom w:val="single" w:sz="4" w:space="0" w:color="auto"/>
              <w:right w:val="nil"/>
            </w:tcBorders>
            <w:shd w:val="clear" w:color="auto" w:fill="auto"/>
            <w:noWrap/>
            <w:vAlign w:val="bottom"/>
          </w:tcPr>
          <w:p w14:paraId="56B43E1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Period 1</w:t>
            </w:r>
          </w:p>
        </w:tc>
        <w:tc>
          <w:tcPr>
            <w:tcW w:w="0" w:type="auto"/>
            <w:tcBorders>
              <w:top w:val="single" w:sz="4" w:space="0" w:color="auto"/>
              <w:left w:val="nil"/>
              <w:bottom w:val="single" w:sz="4" w:space="0" w:color="auto"/>
              <w:right w:val="nil"/>
            </w:tcBorders>
            <w:shd w:val="clear" w:color="auto" w:fill="auto"/>
            <w:noWrap/>
            <w:vAlign w:val="bottom"/>
          </w:tcPr>
          <w:p w14:paraId="5BBDE379"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Period 2</w:t>
            </w:r>
          </w:p>
        </w:tc>
        <w:tc>
          <w:tcPr>
            <w:tcW w:w="0" w:type="auto"/>
            <w:tcBorders>
              <w:top w:val="single" w:sz="4" w:space="0" w:color="auto"/>
              <w:left w:val="nil"/>
              <w:bottom w:val="single" w:sz="4" w:space="0" w:color="auto"/>
              <w:right w:val="nil"/>
            </w:tcBorders>
            <w:shd w:val="clear" w:color="auto" w:fill="auto"/>
            <w:noWrap/>
            <w:vAlign w:val="bottom"/>
          </w:tcPr>
          <w:p w14:paraId="1ECC75D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vertAlign w:val="superscript"/>
              </w:rPr>
            </w:pPr>
            <w:r w:rsidRPr="00B24A8F">
              <w:rPr>
                <w:rFonts w:ascii="Times New Roman" w:eastAsia="Times New Roman" w:hAnsi="Times New Roman" w:cs="Times New Roman"/>
                <w:color w:val="000000"/>
                <w:sz w:val="24"/>
                <w:szCs w:val="24"/>
              </w:rPr>
              <w:t xml:space="preserve">Increase </w:t>
            </w:r>
            <w:r w:rsidRPr="00B24A8F">
              <w:rPr>
                <w:rFonts w:ascii="Times New Roman" w:eastAsia="Times New Roman" w:hAnsi="Times New Roman" w:cs="Times New Roman"/>
                <w:color w:val="000000"/>
                <w:sz w:val="24"/>
                <w:szCs w:val="24"/>
                <w:vertAlign w:val="superscript"/>
              </w:rPr>
              <w:t>a</w:t>
            </w:r>
          </w:p>
        </w:tc>
      </w:tr>
      <w:tr w:rsidR="00B24A8F" w:rsidRPr="00B24A8F" w14:paraId="355EC493" w14:textId="77777777" w:rsidTr="00B24A8F">
        <w:tc>
          <w:tcPr>
            <w:tcW w:w="0" w:type="auto"/>
            <w:tcBorders>
              <w:top w:val="single" w:sz="4" w:space="0" w:color="auto"/>
              <w:left w:val="nil"/>
              <w:bottom w:val="nil"/>
              <w:right w:val="nil"/>
            </w:tcBorders>
            <w:shd w:val="clear" w:color="auto" w:fill="auto"/>
            <w:noWrap/>
            <w:vAlign w:val="bottom"/>
            <w:hideMark/>
          </w:tcPr>
          <w:p w14:paraId="40964090" w14:textId="77777777" w:rsidR="00B24A8F" w:rsidRPr="00B24A8F" w:rsidRDefault="00B24A8F" w:rsidP="000677B8">
            <w:pPr>
              <w:spacing w:after="0" w:line="240" w:lineRule="auto"/>
              <w:contextualSpacing/>
              <w:jc w:val="both"/>
              <w:rPr>
                <w:rFonts w:ascii="Times New Roman" w:eastAsia="Times New Roman" w:hAnsi="Times New Roman" w:cs="Times New Roman"/>
                <w:i/>
                <w:iCs/>
                <w:color w:val="000000"/>
                <w:sz w:val="24"/>
                <w:szCs w:val="24"/>
              </w:rPr>
            </w:pPr>
            <w:r w:rsidRPr="00B24A8F">
              <w:rPr>
                <w:rFonts w:ascii="Times New Roman" w:eastAsia="Times New Roman" w:hAnsi="Times New Roman" w:cs="Times New Roman"/>
                <w:i/>
                <w:iCs/>
                <w:color w:val="000000"/>
                <w:sz w:val="24"/>
                <w:szCs w:val="24"/>
              </w:rPr>
              <w:t>M</w:t>
            </w:r>
          </w:p>
        </w:tc>
        <w:tc>
          <w:tcPr>
            <w:tcW w:w="0" w:type="auto"/>
            <w:tcBorders>
              <w:top w:val="single" w:sz="4" w:space="0" w:color="auto"/>
              <w:left w:val="nil"/>
              <w:bottom w:val="nil"/>
              <w:right w:val="nil"/>
            </w:tcBorders>
            <w:shd w:val="clear" w:color="auto" w:fill="auto"/>
            <w:noWrap/>
            <w:hideMark/>
          </w:tcPr>
          <w:p w14:paraId="5F37B1E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90.66</w:t>
            </w:r>
          </w:p>
        </w:tc>
        <w:tc>
          <w:tcPr>
            <w:tcW w:w="0" w:type="auto"/>
            <w:tcBorders>
              <w:top w:val="single" w:sz="4" w:space="0" w:color="auto"/>
              <w:left w:val="nil"/>
              <w:bottom w:val="nil"/>
              <w:right w:val="nil"/>
            </w:tcBorders>
            <w:shd w:val="clear" w:color="auto" w:fill="auto"/>
            <w:noWrap/>
            <w:hideMark/>
          </w:tcPr>
          <w:p w14:paraId="76B0995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88.30</w:t>
            </w:r>
          </w:p>
        </w:tc>
        <w:tc>
          <w:tcPr>
            <w:tcW w:w="0" w:type="auto"/>
            <w:tcBorders>
              <w:top w:val="single" w:sz="4" w:space="0" w:color="auto"/>
              <w:left w:val="nil"/>
              <w:bottom w:val="nil"/>
              <w:right w:val="nil"/>
            </w:tcBorders>
            <w:shd w:val="clear" w:color="auto" w:fill="auto"/>
            <w:noWrap/>
            <w:hideMark/>
          </w:tcPr>
          <w:p w14:paraId="6FF8C307"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-2.36</w:t>
            </w:r>
          </w:p>
        </w:tc>
      </w:tr>
      <w:tr w:rsidR="00B24A8F" w:rsidRPr="00B24A8F" w14:paraId="20BB2F1F" w14:textId="77777777" w:rsidTr="00B24A8F">
        <w:tc>
          <w:tcPr>
            <w:tcW w:w="0" w:type="auto"/>
            <w:tcBorders>
              <w:top w:val="nil"/>
              <w:left w:val="nil"/>
              <w:bottom w:val="nil"/>
              <w:right w:val="nil"/>
            </w:tcBorders>
            <w:shd w:val="clear" w:color="auto" w:fill="auto"/>
            <w:noWrap/>
            <w:vAlign w:val="bottom"/>
            <w:hideMark/>
          </w:tcPr>
          <w:p w14:paraId="0FA81DF0" w14:textId="77777777" w:rsidR="00B24A8F" w:rsidRPr="00B24A8F" w:rsidRDefault="00B24A8F" w:rsidP="000677B8">
            <w:pPr>
              <w:spacing w:after="0" w:line="240" w:lineRule="auto"/>
              <w:contextualSpacing/>
              <w:jc w:val="both"/>
              <w:rPr>
                <w:rFonts w:ascii="Times New Roman" w:eastAsia="Times New Roman" w:hAnsi="Times New Roman" w:cs="Times New Roman"/>
                <w:i/>
                <w:iCs/>
                <w:color w:val="000000"/>
                <w:sz w:val="24"/>
                <w:szCs w:val="24"/>
              </w:rPr>
            </w:pPr>
            <w:r w:rsidRPr="00B24A8F">
              <w:rPr>
                <w:rFonts w:ascii="Times New Roman" w:eastAsia="Times New Roman" w:hAnsi="Times New Roman" w:cs="Times New Roman"/>
                <w:i/>
                <w:iCs/>
                <w:color w:val="000000"/>
                <w:sz w:val="24"/>
                <w:szCs w:val="24"/>
              </w:rPr>
              <w:t>SD</w:t>
            </w:r>
          </w:p>
        </w:tc>
        <w:tc>
          <w:tcPr>
            <w:tcW w:w="0" w:type="auto"/>
            <w:tcBorders>
              <w:top w:val="nil"/>
              <w:left w:val="nil"/>
              <w:bottom w:val="nil"/>
              <w:right w:val="nil"/>
            </w:tcBorders>
            <w:shd w:val="clear" w:color="auto" w:fill="auto"/>
            <w:noWrap/>
            <w:hideMark/>
          </w:tcPr>
          <w:p w14:paraId="3F912E32"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128.09</w:t>
            </w:r>
          </w:p>
        </w:tc>
        <w:tc>
          <w:tcPr>
            <w:tcW w:w="0" w:type="auto"/>
            <w:tcBorders>
              <w:top w:val="nil"/>
              <w:left w:val="nil"/>
              <w:bottom w:val="nil"/>
              <w:right w:val="nil"/>
            </w:tcBorders>
            <w:shd w:val="clear" w:color="auto" w:fill="auto"/>
            <w:noWrap/>
            <w:hideMark/>
          </w:tcPr>
          <w:p w14:paraId="3FA5FBD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128.63</w:t>
            </w:r>
          </w:p>
        </w:tc>
        <w:tc>
          <w:tcPr>
            <w:tcW w:w="0" w:type="auto"/>
            <w:tcBorders>
              <w:top w:val="nil"/>
              <w:left w:val="nil"/>
              <w:bottom w:val="nil"/>
              <w:right w:val="nil"/>
            </w:tcBorders>
            <w:shd w:val="clear" w:color="auto" w:fill="auto"/>
            <w:noWrap/>
            <w:hideMark/>
          </w:tcPr>
          <w:p w14:paraId="5DBC6D5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83.27</w:t>
            </w:r>
          </w:p>
        </w:tc>
      </w:tr>
      <w:tr w:rsidR="00B24A8F" w:rsidRPr="00B24A8F" w14:paraId="05902B1A" w14:textId="77777777" w:rsidTr="00B24A8F">
        <w:tc>
          <w:tcPr>
            <w:tcW w:w="0" w:type="auto"/>
            <w:tcBorders>
              <w:top w:val="nil"/>
              <w:left w:val="nil"/>
              <w:bottom w:val="nil"/>
              <w:right w:val="nil"/>
            </w:tcBorders>
            <w:shd w:val="clear" w:color="auto" w:fill="auto"/>
            <w:noWrap/>
            <w:vAlign w:val="bottom"/>
            <w:hideMark/>
          </w:tcPr>
          <w:p w14:paraId="480B788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Minimum</w:t>
            </w:r>
          </w:p>
        </w:tc>
        <w:tc>
          <w:tcPr>
            <w:tcW w:w="0" w:type="auto"/>
            <w:tcBorders>
              <w:top w:val="nil"/>
              <w:left w:val="nil"/>
              <w:bottom w:val="nil"/>
              <w:right w:val="nil"/>
            </w:tcBorders>
            <w:shd w:val="clear" w:color="auto" w:fill="auto"/>
            <w:noWrap/>
            <w:hideMark/>
          </w:tcPr>
          <w:p w14:paraId="7B1C8D37"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0.19</w:t>
            </w:r>
          </w:p>
        </w:tc>
        <w:tc>
          <w:tcPr>
            <w:tcW w:w="0" w:type="auto"/>
            <w:tcBorders>
              <w:top w:val="nil"/>
              <w:left w:val="nil"/>
              <w:bottom w:val="nil"/>
              <w:right w:val="nil"/>
            </w:tcBorders>
            <w:shd w:val="clear" w:color="auto" w:fill="auto"/>
            <w:noWrap/>
            <w:hideMark/>
          </w:tcPr>
          <w:p w14:paraId="11626893"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0.15</w:t>
            </w:r>
          </w:p>
        </w:tc>
        <w:tc>
          <w:tcPr>
            <w:tcW w:w="0" w:type="auto"/>
            <w:tcBorders>
              <w:top w:val="nil"/>
              <w:left w:val="nil"/>
              <w:bottom w:val="nil"/>
              <w:right w:val="nil"/>
            </w:tcBorders>
            <w:shd w:val="clear" w:color="auto" w:fill="auto"/>
            <w:noWrap/>
            <w:hideMark/>
          </w:tcPr>
          <w:p w14:paraId="075290F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-1,975.70</w:t>
            </w:r>
          </w:p>
        </w:tc>
      </w:tr>
      <w:tr w:rsidR="00B24A8F" w:rsidRPr="00B24A8F" w14:paraId="1B5ABD42" w14:textId="77777777" w:rsidTr="00B24A8F">
        <w:tc>
          <w:tcPr>
            <w:tcW w:w="0" w:type="auto"/>
            <w:tcBorders>
              <w:top w:val="nil"/>
              <w:left w:val="nil"/>
              <w:bottom w:val="nil"/>
              <w:right w:val="nil"/>
            </w:tcBorders>
            <w:shd w:val="clear" w:color="auto" w:fill="auto"/>
            <w:noWrap/>
            <w:vAlign w:val="bottom"/>
            <w:hideMark/>
          </w:tcPr>
          <w:p w14:paraId="06D22FF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Maximum</w:t>
            </w:r>
          </w:p>
        </w:tc>
        <w:tc>
          <w:tcPr>
            <w:tcW w:w="0" w:type="auto"/>
            <w:tcBorders>
              <w:top w:val="nil"/>
              <w:left w:val="nil"/>
              <w:bottom w:val="nil"/>
              <w:right w:val="nil"/>
            </w:tcBorders>
            <w:shd w:val="clear" w:color="auto" w:fill="auto"/>
            <w:noWrap/>
            <w:hideMark/>
          </w:tcPr>
          <w:p w14:paraId="4887781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3,212.45</w:t>
            </w:r>
          </w:p>
        </w:tc>
        <w:tc>
          <w:tcPr>
            <w:tcW w:w="0" w:type="auto"/>
            <w:tcBorders>
              <w:top w:val="nil"/>
              <w:left w:val="nil"/>
              <w:bottom w:val="nil"/>
              <w:right w:val="nil"/>
            </w:tcBorders>
            <w:shd w:val="clear" w:color="auto" w:fill="auto"/>
            <w:noWrap/>
            <w:hideMark/>
          </w:tcPr>
          <w:p w14:paraId="1017D8C3"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2,550.56</w:t>
            </w:r>
          </w:p>
        </w:tc>
        <w:tc>
          <w:tcPr>
            <w:tcW w:w="0" w:type="auto"/>
            <w:tcBorders>
              <w:top w:val="nil"/>
              <w:left w:val="nil"/>
              <w:bottom w:val="nil"/>
              <w:right w:val="nil"/>
            </w:tcBorders>
            <w:shd w:val="clear" w:color="auto" w:fill="auto"/>
            <w:noWrap/>
            <w:hideMark/>
          </w:tcPr>
          <w:p w14:paraId="7DE37DB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1,333.20</w:t>
            </w:r>
          </w:p>
        </w:tc>
      </w:tr>
      <w:tr w:rsidR="00B24A8F" w:rsidRPr="00B24A8F" w14:paraId="692C682E" w14:textId="77777777" w:rsidTr="00B24A8F">
        <w:tc>
          <w:tcPr>
            <w:tcW w:w="0" w:type="auto"/>
            <w:tcBorders>
              <w:top w:val="nil"/>
              <w:left w:val="nil"/>
              <w:bottom w:val="nil"/>
              <w:right w:val="nil"/>
            </w:tcBorders>
            <w:shd w:val="clear" w:color="auto" w:fill="auto"/>
            <w:noWrap/>
            <w:vAlign w:val="bottom"/>
            <w:hideMark/>
          </w:tcPr>
          <w:p w14:paraId="031B567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1st percentile</w:t>
            </w:r>
          </w:p>
        </w:tc>
        <w:tc>
          <w:tcPr>
            <w:tcW w:w="0" w:type="auto"/>
            <w:tcBorders>
              <w:top w:val="nil"/>
              <w:left w:val="nil"/>
              <w:bottom w:val="nil"/>
              <w:right w:val="nil"/>
            </w:tcBorders>
            <w:shd w:val="clear" w:color="auto" w:fill="auto"/>
            <w:noWrap/>
            <w:hideMark/>
          </w:tcPr>
          <w:p w14:paraId="4AD18DC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2.20</w:t>
            </w:r>
          </w:p>
        </w:tc>
        <w:tc>
          <w:tcPr>
            <w:tcW w:w="0" w:type="auto"/>
            <w:tcBorders>
              <w:top w:val="nil"/>
              <w:left w:val="nil"/>
              <w:bottom w:val="nil"/>
              <w:right w:val="nil"/>
            </w:tcBorders>
            <w:shd w:val="clear" w:color="auto" w:fill="auto"/>
            <w:noWrap/>
            <w:hideMark/>
          </w:tcPr>
          <w:p w14:paraId="643967C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2.01</w:t>
            </w:r>
          </w:p>
        </w:tc>
        <w:tc>
          <w:tcPr>
            <w:tcW w:w="0" w:type="auto"/>
            <w:tcBorders>
              <w:top w:val="nil"/>
              <w:left w:val="nil"/>
              <w:bottom w:val="nil"/>
              <w:right w:val="nil"/>
            </w:tcBorders>
            <w:shd w:val="clear" w:color="auto" w:fill="auto"/>
            <w:noWrap/>
            <w:hideMark/>
          </w:tcPr>
          <w:p w14:paraId="0950507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-241.34</w:t>
            </w:r>
          </w:p>
        </w:tc>
      </w:tr>
      <w:tr w:rsidR="00B24A8F" w:rsidRPr="00B24A8F" w14:paraId="18FCF082" w14:textId="77777777" w:rsidTr="00B24A8F">
        <w:tc>
          <w:tcPr>
            <w:tcW w:w="0" w:type="auto"/>
            <w:tcBorders>
              <w:top w:val="nil"/>
              <w:left w:val="nil"/>
              <w:bottom w:val="nil"/>
              <w:right w:val="nil"/>
            </w:tcBorders>
            <w:shd w:val="clear" w:color="auto" w:fill="auto"/>
            <w:noWrap/>
            <w:vAlign w:val="bottom"/>
            <w:hideMark/>
          </w:tcPr>
          <w:p w14:paraId="67A5A352"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5th percentile</w:t>
            </w:r>
          </w:p>
        </w:tc>
        <w:tc>
          <w:tcPr>
            <w:tcW w:w="0" w:type="auto"/>
            <w:tcBorders>
              <w:top w:val="nil"/>
              <w:left w:val="nil"/>
              <w:bottom w:val="nil"/>
              <w:right w:val="nil"/>
            </w:tcBorders>
            <w:shd w:val="clear" w:color="auto" w:fill="auto"/>
            <w:noWrap/>
            <w:hideMark/>
          </w:tcPr>
          <w:p w14:paraId="58776F3B"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6.53</w:t>
            </w:r>
          </w:p>
        </w:tc>
        <w:tc>
          <w:tcPr>
            <w:tcW w:w="0" w:type="auto"/>
            <w:tcBorders>
              <w:top w:val="nil"/>
              <w:left w:val="nil"/>
              <w:bottom w:val="nil"/>
              <w:right w:val="nil"/>
            </w:tcBorders>
            <w:shd w:val="clear" w:color="auto" w:fill="auto"/>
            <w:noWrap/>
            <w:hideMark/>
          </w:tcPr>
          <w:p w14:paraId="78F3209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5.37</w:t>
            </w:r>
          </w:p>
        </w:tc>
        <w:tc>
          <w:tcPr>
            <w:tcW w:w="0" w:type="auto"/>
            <w:tcBorders>
              <w:top w:val="nil"/>
              <w:left w:val="nil"/>
              <w:bottom w:val="nil"/>
              <w:right w:val="nil"/>
            </w:tcBorders>
            <w:shd w:val="clear" w:color="auto" w:fill="auto"/>
            <w:noWrap/>
            <w:hideMark/>
          </w:tcPr>
          <w:p w14:paraId="2236523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-98.77</w:t>
            </w:r>
          </w:p>
        </w:tc>
      </w:tr>
      <w:tr w:rsidR="00B24A8F" w:rsidRPr="00B24A8F" w14:paraId="72567614" w14:textId="77777777" w:rsidTr="00B24A8F">
        <w:tc>
          <w:tcPr>
            <w:tcW w:w="0" w:type="auto"/>
            <w:tcBorders>
              <w:top w:val="nil"/>
              <w:left w:val="nil"/>
              <w:bottom w:val="nil"/>
              <w:right w:val="nil"/>
            </w:tcBorders>
            <w:shd w:val="clear" w:color="auto" w:fill="auto"/>
            <w:noWrap/>
            <w:vAlign w:val="bottom"/>
            <w:hideMark/>
          </w:tcPr>
          <w:p w14:paraId="3AA36D9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25th percentile</w:t>
            </w:r>
          </w:p>
        </w:tc>
        <w:tc>
          <w:tcPr>
            <w:tcW w:w="0" w:type="auto"/>
            <w:tcBorders>
              <w:top w:val="nil"/>
              <w:left w:val="nil"/>
              <w:bottom w:val="nil"/>
              <w:right w:val="nil"/>
            </w:tcBorders>
            <w:shd w:val="clear" w:color="auto" w:fill="auto"/>
            <w:noWrap/>
            <w:hideMark/>
          </w:tcPr>
          <w:p w14:paraId="2AB0F754"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23.29</w:t>
            </w:r>
          </w:p>
        </w:tc>
        <w:tc>
          <w:tcPr>
            <w:tcW w:w="0" w:type="auto"/>
            <w:tcBorders>
              <w:top w:val="nil"/>
              <w:left w:val="nil"/>
              <w:bottom w:val="nil"/>
              <w:right w:val="nil"/>
            </w:tcBorders>
            <w:shd w:val="clear" w:color="auto" w:fill="auto"/>
            <w:noWrap/>
            <w:hideMark/>
          </w:tcPr>
          <w:p w14:paraId="620D1C7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19.90</w:t>
            </w:r>
          </w:p>
        </w:tc>
        <w:tc>
          <w:tcPr>
            <w:tcW w:w="0" w:type="auto"/>
            <w:tcBorders>
              <w:top w:val="nil"/>
              <w:left w:val="nil"/>
              <w:bottom w:val="nil"/>
              <w:right w:val="nil"/>
            </w:tcBorders>
            <w:shd w:val="clear" w:color="auto" w:fill="auto"/>
            <w:noWrap/>
            <w:hideMark/>
          </w:tcPr>
          <w:p w14:paraId="2C090D7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-20.61</w:t>
            </w:r>
          </w:p>
        </w:tc>
      </w:tr>
      <w:tr w:rsidR="00B24A8F" w:rsidRPr="00B24A8F" w14:paraId="4E4BFF23" w14:textId="77777777" w:rsidTr="00B24A8F">
        <w:tc>
          <w:tcPr>
            <w:tcW w:w="0" w:type="auto"/>
            <w:tcBorders>
              <w:top w:val="nil"/>
              <w:left w:val="nil"/>
              <w:bottom w:val="nil"/>
              <w:right w:val="nil"/>
            </w:tcBorders>
            <w:shd w:val="clear" w:color="auto" w:fill="auto"/>
            <w:noWrap/>
            <w:vAlign w:val="bottom"/>
            <w:hideMark/>
          </w:tcPr>
          <w:p w14:paraId="79FCD40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50th percentile</w:t>
            </w:r>
          </w:p>
        </w:tc>
        <w:tc>
          <w:tcPr>
            <w:tcW w:w="0" w:type="auto"/>
            <w:tcBorders>
              <w:top w:val="nil"/>
              <w:left w:val="nil"/>
              <w:bottom w:val="nil"/>
              <w:right w:val="nil"/>
            </w:tcBorders>
            <w:shd w:val="clear" w:color="auto" w:fill="auto"/>
            <w:noWrap/>
            <w:hideMark/>
          </w:tcPr>
          <w:p w14:paraId="735EE6A2"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51.45</w:t>
            </w:r>
          </w:p>
        </w:tc>
        <w:tc>
          <w:tcPr>
            <w:tcW w:w="0" w:type="auto"/>
            <w:tcBorders>
              <w:top w:val="nil"/>
              <w:left w:val="nil"/>
              <w:bottom w:val="nil"/>
              <w:right w:val="nil"/>
            </w:tcBorders>
            <w:shd w:val="clear" w:color="auto" w:fill="auto"/>
            <w:noWrap/>
            <w:hideMark/>
          </w:tcPr>
          <w:p w14:paraId="1AC2C9D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47.57</w:t>
            </w:r>
          </w:p>
        </w:tc>
        <w:tc>
          <w:tcPr>
            <w:tcW w:w="0" w:type="auto"/>
            <w:tcBorders>
              <w:top w:val="nil"/>
              <w:left w:val="nil"/>
              <w:bottom w:val="nil"/>
              <w:right w:val="nil"/>
            </w:tcBorders>
            <w:shd w:val="clear" w:color="auto" w:fill="auto"/>
            <w:noWrap/>
            <w:hideMark/>
          </w:tcPr>
          <w:p w14:paraId="3DC51F3B"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-1.95</w:t>
            </w:r>
          </w:p>
        </w:tc>
      </w:tr>
      <w:tr w:rsidR="00B24A8F" w:rsidRPr="00B24A8F" w14:paraId="7093471C" w14:textId="77777777" w:rsidTr="00B24A8F">
        <w:tc>
          <w:tcPr>
            <w:tcW w:w="0" w:type="auto"/>
            <w:tcBorders>
              <w:top w:val="nil"/>
              <w:left w:val="nil"/>
              <w:bottom w:val="nil"/>
              <w:right w:val="nil"/>
            </w:tcBorders>
            <w:shd w:val="clear" w:color="auto" w:fill="auto"/>
            <w:noWrap/>
            <w:vAlign w:val="bottom"/>
            <w:hideMark/>
          </w:tcPr>
          <w:p w14:paraId="5487C059"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75th percentile</w:t>
            </w:r>
          </w:p>
        </w:tc>
        <w:tc>
          <w:tcPr>
            <w:tcW w:w="0" w:type="auto"/>
            <w:tcBorders>
              <w:top w:val="nil"/>
              <w:left w:val="nil"/>
              <w:bottom w:val="nil"/>
              <w:right w:val="nil"/>
            </w:tcBorders>
            <w:shd w:val="clear" w:color="auto" w:fill="auto"/>
            <w:noWrap/>
            <w:hideMark/>
          </w:tcPr>
          <w:p w14:paraId="76EAFFF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109.64</w:t>
            </w:r>
          </w:p>
        </w:tc>
        <w:tc>
          <w:tcPr>
            <w:tcW w:w="0" w:type="auto"/>
            <w:tcBorders>
              <w:top w:val="nil"/>
              <w:left w:val="nil"/>
              <w:bottom w:val="nil"/>
              <w:right w:val="nil"/>
            </w:tcBorders>
            <w:shd w:val="clear" w:color="auto" w:fill="auto"/>
            <w:noWrap/>
            <w:hideMark/>
          </w:tcPr>
          <w:p w14:paraId="306B1E5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106.75</w:t>
            </w:r>
          </w:p>
        </w:tc>
        <w:tc>
          <w:tcPr>
            <w:tcW w:w="0" w:type="auto"/>
            <w:tcBorders>
              <w:top w:val="nil"/>
              <w:left w:val="nil"/>
              <w:bottom w:val="nil"/>
              <w:right w:val="nil"/>
            </w:tcBorders>
            <w:shd w:val="clear" w:color="auto" w:fill="auto"/>
            <w:noWrap/>
            <w:hideMark/>
          </w:tcPr>
          <w:p w14:paraId="1878E26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16.03</w:t>
            </w:r>
          </w:p>
        </w:tc>
      </w:tr>
      <w:tr w:rsidR="00B24A8F" w:rsidRPr="00B24A8F" w14:paraId="58AF67DE" w14:textId="77777777" w:rsidTr="00B24A8F">
        <w:tc>
          <w:tcPr>
            <w:tcW w:w="0" w:type="auto"/>
            <w:tcBorders>
              <w:top w:val="nil"/>
              <w:left w:val="nil"/>
              <w:right w:val="nil"/>
            </w:tcBorders>
            <w:shd w:val="clear" w:color="auto" w:fill="auto"/>
            <w:noWrap/>
            <w:vAlign w:val="bottom"/>
            <w:hideMark/>
          </w:tcPr>
          <w:p w14:paraId="5D1C035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95th percentile</w:t>
            </w:r>
          </w:p>
        </w:tc>
        <w:tc>
          <w:tcPr>
            <w:tcW w:w="0" w:type="auto"/>
            <w:tcBorders>
              <w:top w:val="nil"/>
              <w:left w:val="nil"/>
              <w:right w:val="nil"/>
            </w:tcBorders>
            <w:shd w:val="clear" w:color="auto" w:fill="auto"/>
            <w:noWrap/>
            <w:hideMark/>
          </w:tcPr>
          <w:p w14:paraId="16BA1347"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301.48</w:t>
            </w:r>
          </w:p>
        </w:tc>
        <w:tc>
          <w:tcPr>
            <w:tcW w:w="0" w:type="auto"/>
            <w:tcBorders>
              <w:top w:val="nil"/>
              <w:left w:val="nil"/>
              <w:right w:val="nil"/>
            </w:tcBorders>
            <w:shd w:val="clear" w:color="auto" w:fill="auto"/>
            <w:noWrap/>
            <w:hideMark/>
          </w:tcPr>
          <w:p w14:paraId="7B82545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298.58</w:t>
            </w:r>
          </w:p>
        </w:tc>
        <w:tc>
          <w:tcPr>
            <w:tcW w:w="0" w:type="auto"/>
            <w:tcBorders>
              <w:top w:val="nil"/>
              <w:left w:val="nil"/>
              <w:right w:val="nil"/>
            </w:tcBorders>
            <w:shd w:val="clear" w:color="auto" w:fill="auto"/>
            <w:noWrap/>
            <w:hideMark/>
          </w:tcPr>
          <w:p w14:paraId="51EBA89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94.26</w:t>
            </w:r>
          </w:p>
        </w:tc>
      </w:tr>
      <w:tr w:rsidR="00B24A8F" w:rsidRPr="00B24A8F" w14:paraId="23CD1B4A" w14:textId="77777777" w:rsidTr="00B24A8F">
        <w:tc>
          <w:tcPr>
            <w:tcW w:w="0" w:type="auto"/>
            <w:tcBorders>
              <w:top w:val="nil"/>
              <w:left w:val="nil"/>
              <w:bottom w:val="single" w:sz="4" w:space="0" w:color="auto"/>
              <w:right w:val="nil"/>
            </w:tcBorders>
            <w:shd w:val="clear" w:color="auto" w:fill="auto"/>
            <w:noWrap/>
            <w:vAlign w:val="bottom"/>
            <w:hideMark/>
          </w:tcPr>
          <w:p w14:paraId="5C30A6A2"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99th percentile</w:t>
            </w:r>
          </w:p>
        </w:tc>
        <w:tc>
          <w:tcPr>
            <w:tcW w:w="0" w:type="auto"/>
            <w:tcBorders>
              <w:top w:val="nil"/>
              <w:left w:val="nil"/>
              <w:bottom w:val="single" w:sz="4" w:space="0" w:color="auto"/>
              <w:right w:val="nil"/>
            </w:tcBorders>
            <w:shd w:val="clear" w:color="auto" w:fill="auto"/>
            <w:noWrap/>
            <w:hideMark/>
          </w:tcPr>
          <w:p w14:paraId="51757FC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585.83</w:t>
            </w:r>
          </w:p>
        </w:tc>
        <w:tc>
          <w:tcPr>
            <w:tcW w:w="0" w:type="auto"/>
            <w:tcBorders>
              <w:top w:val="nil"/>
              <w:left w:val="nil"/>
              <w:bottom w:val="single" w:sz="4" w:space="0" w:color="auto"/>
              <w:right w:val="nil"/>
            </w:tcBorders>
            <w:shd w:val="clear" w:color="auto" w:fill="auto"/>
            <w:noWrap/>
            <w:hideMark/>
          </w:tcPr>
          <w:p w14:paraId="23B3B07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596.04</w:t>
            </w:r>
          </w:p>
        </w:tc>
        <w:tc>
          <w:tcPr>
            <w:tcW w:w="0" w:type="auto"/>
            <w:tcBorders>
              <w:top w:val="nil"/>
              <w:left w:val="nil"/>
              <w:bottom w:val="single" w:sz="4" w:space="0" w:color="auto"/>
              <w:right w:val="nil"/>
            </w:tcBorders>
            <w:shd w:val="clear" w:color="auto" w:fill="auto"/>
            <w:noWrap/>
            <w:hideMark/>
          </w:tcPr>
          <w:p w14:paraId="3F8671EB"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 xml:space="preserve">    244.23</w:t>
            </w:r>
          </w:p>
        </w:tc>
      </w:tr>
    </w:tbl>
    <w:p w14:paraId="0E9CB456" w14:textId="77777777" w:rsidR="00B24A8F" w:rsidRPr="00B24A8F" w:rsidRDefault="00B24A8F" w:rsidP="000677B8">
      <w:pPr>
        <w:spacing w:after="0" w:line="240" w:lineRule="auto"/>
        <w:jc w:val="both"/>
        <w:rPr>
          <w:rFonts w:ascii="Times New Roman" w:eastAsia="Calibri" w:hAnsi="Times New Roman" w:cs="Times New Roman"/>
          <w:sz w:val="24"/>
          <w:szCs w:val="24"/>
        </w:rPr>
      </w:pPr>
      <w:r w:rsidRPr="00B24A8F">
        <w:rPr>
          <w:rFonts w:ascii="Times New Roman" w:eastAsia="Calibri" w:hAnsi="Times New Roman" w:cs="Times New Roman"/>
          <w:i/>
          <w:sz w:val="24"/>
          <w:szCs w:val="24"/>
        </w:rPr>
        <w:t>Note.</w:t>
      </w:r>
      <w:r w:rsidRPr="00B24A8F">
        <w:rPr>
          <w:rFonts w:ascii="Times New Roman" w:eastAsia="Calibri" w:hAnsi="Times New Roman" w:cs="Times New Roman"/>
          <w:sz w:val="24"/>
          <w:szCs w:val="24"/>
        </w:rPr>
        <w:t xml:space="preserve"> </w:t>
      </w:r>
      <w:r w:rsidRPr="00B24A8F">
        <w:rPr>
          <w:rFonts w:ascii="Times New Roman" w:eastAsia="Calibri" w:hAnsi="Times New Roman" w:cs="Times New Roman"/>
          <w:i/>
          <w:sz w:val="24"/>
          <w:szCs w:val="24"/>
        </w:rPr>
        <w:t>N</w:t>
      </w:r>
      <w:r w:rsidRPr="00B24A8F">
        <w:rPr>
          <w:rFonts w:ascii="Times New Roman" w:eastAsia="Calibri" w:hAnsi="Times New Roman" w:cs="Times New Roman"/>
          <w:sz w:val="24"/>
          <w:szCs w:val="24"/>
        </w:rPr>
        <w:t xml:space="preserve"> = 9,568.</w:t>
      </w:r>
    </w:p>
    <w:p w14:paraId="2CBF018A" w14:textId="77777777" w:rsidR="00B24A8F" w:rsidRPr="00B24A8F" w:rsidRDefault="00B24A8F" w:rsidP="000677B8">
      <w:pPr>
        <w:spacing w:after="200" w:line="240" w:lineRule="auto"/>
        <w:jc w:val="both"/>
        <w:rPr>
          <w:rFonts w:ascii="Times New Roman" w:eastAsia="Calibri" w:hAnsi="Times New Roman" w:cs="Times New Roman"/>
          <w:sz w:val="24"/>
          <w:szCs w:val="24"/>
        </w:rPr>
      </w:pPr>
      <w:r w:rsidRPr="00B24A8F">
        <w:rPr>
          <w:rFonts w:ascii="Times New Roman" w:eastAsia="Calibri" w:hAnsi="Times New Roman" w:cs="Times New Roman"/>
          <w:sz w:val="24"/>
          <w:szCs w:val="24"/>
          <w:vertAlign w:val="superscript"/>
        </w:rPr>
        <w:t>a</w:t>
      </w:r>
      <w:r w:rsidRPr="00B24A8F">
        <w:rPr>
          <w:rFonts w:ascii="Times New Roman" w:eastAsia="Calibri" w:hAnsi="Times New Roman" w:cs="Times New Roman"/>
          <w:sz w:val="24"/>
          <w:szCs w:val="24"/>
        </w:rPr>
        <w:t xml:space="preserve"> Increase = Period 2 – Period 1.</w:t>
      </w:r>
    </w:p>
    <w:p w14:paraId="3914B4F5" w14:textId="68A01C66" w:rsidR="00884C90" w:rsidRPr="000677B8" w:rsidRDefault="00884C90" w:rsidP="000677B8">
      <w:pPr>
        <w:spacing w:after="0" w:line="240" w:lineRule="auto"/>
        <w:jc w:val="both"/>
        <w:rPr>
          <w:rFonts w:ascii="Arial" w:hAnsi="Arial" w:cs="Arial"/>
          <w:sz w:val="24"/>
          <w:szCs w:val="24"/>
        </w:rPr>
      </w:pPr>
      <w:r w:rsidRPr="000677B8">
        <w:rPr>
          <w:rFonts w:ascii="Arial" w:hAnsi="Arial" w:cs="Arial"/>
          <w:sz w:val="24"/>
          <w:szCs w:val="24"/>
        </w:rPr>
        <w:t>Statistical Analysis</w:t>
      </w:r>
    </w:p>
    <w:p w14:paraId="15AB2D45" w14:textId="77777777" w:rsidR="00FE7FC8" w:rsidRDefault="00FE7FC8" w:rsidP="000677B8">
      <w:pPr>
        <w:spacing w:after="0" w:line="240" w:lineRule="auto"/>
        <w:jc w:val="both"/>
        <w:rPr>
          <w:rFonts w:ascii="Times New Roman" w:hAnsi="Times New Roman" w:cs="Times New Roman"/>
          <w:sz w:val="24"/>
          <w:szCs w:val="24"/>
        </w:rPr>
      </w:pPr>
    </w:p>
    <w:p w14:paraId="6A6EF271" w14:textId="10E56817" w:rsid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 xml:space="preserve">Table 3 displays the results of the Wilcoxon matched pairs test comparing the number of trips per month to the casino between the two time periods.  A Wilcoxon test was more suitable than the more common paired </w:t>
      </w:r>
      <w:r w:rsidRPr="00F2592A">
        <w:rPr>
          <w:rFonts w:ascii="Times New Roman" w:hAnsi="Times New Roman" w:cs="Times New Roman"/>
          <w:i/>
          <w:sz w:val="24"/>
          <w:szCs w:val="24"/>
        </w:rPr>
        <w:t>t</w:t>
      </w:r>
      <w:r w:rsidRPr="00884C90">
        <w:rPr>
          <w:rFonts w:ascii="Times New Roman" w:hAnsi="Times New Roman" w:cs="Times New Roman"/>
          <w:sz w:val="24"/>
          <w:szCs w:val="24"/>
        </w:rPr>
        <w:t xml:space="preserve"> test due to the nonnormal distribution of the data.  CV during Period 1 was 1.29, and during Period 2 was 1.31.  The number of trips to the casino during Period 2 was statistically significantly higher than during Period 1 (</w:t>
      </w:r>
      <w:r w:rsidRPr="00F2592A">
        <w:rPr>
          <w:rFonts w:ascii="Times New Roman" w:hAnsi="Times New Roman" w:cs="Times New Roman"/>
          <w:i/>
          <w:sz w:val="24"/>
          <w:szCs w:val="24"/>
        </w:rPr>
        <w:t xml:space="preserve">z </w:t>
      </w:r>
      <w:r w:rsidRPr="00884C90">
        <w:rPr>
          <w:rFonts w:ascii="Times New Roman" w:hAnsi="Times New Roman" w:cs="Times New Roman"/>
          <w:sz w:val="24"/>
          <w:szCs w:val="24"/>
        </w:rPr>
        <w:t xml:space="preserve">= 3.06, </w:t>
      </w:r>
      <w:r w:rsidRPr="00F2592A">
        <w:rPr>
          <w:rFonts w:ascii="Times New Roman" w:hAnsi="Times New Roman" w:cs="Times New Roman"/>
          <w:i/>
          <w:sz w:val="24"/>
          <w:szCs w:val="24"/>
        </w:rPr>
        <w:t>p</w:t>
      </w:r>
      <w:r w:rsidRPr="00884C90">
        <w:rPr>
          <w:rFonts w:ascii="Times New Roman" w:hAnsi="Times New Roman" w:cs="Times New Roman"/>
          <w:sz w:val="24"/>
          <w:szCs w:val="24"/>
        </w:rPr>
        <w:t xml:space="preserve"> = </w:t>
      </w:r>
      <w:r w:rsidR="00F2592A">
        <w:rPr>
          <w:rFonts w:ascii="Times New Roman" w:hAnsi="Times New Roman" w:cs="Times New Roman"/>
          <w:sz w:val="24"/>
          <w:szCs w:val="24"/>
        </w:rPr>
        <w:t>0</w:t>
      </w:r>
      <w:r w:rsidRPr="00884C90">
        <w:rPr>
          <w:rFonts w:ascii="Times New Roman" w:hAnsi="Times New Roman" w:cs="Times New Roman"/>
          <w:sz w:val="24"/>
          <w:szCs w:val="24"/>
        </w:rPr>
        <w:t>.002).  This finding reject</w:t>
      </w:r>
      <w:r w:rsidR="00517C16">
        <w:rPr>
          <w:rFonts w:ascii="Times New Roman" w:hAnsi="Times New Roman" w:cs="Times New Roman"/>
          <w:sz w:val="24"/>
          <w:szCs w:val="24"/>
        </w:rPr>
        <w:t>ed</w:t>
      </w:r>
      <w:r w:rsidRPr="00884C90">
        <w:rPr>
          <w:rFonts w:ascii="Times New Roman" w:hAnsi="Times New Roman" w:cs="Times New Roman"/>
          <w:sz w:val="24"/>
          <w:szCs w:val="24"/>
        </w:rPr>
        <w:t xml:space="preserve"> the null hypothesis H1</w:t>
      </w:r>
      <w:r w:rsidR="00517C16">
        <w:rPr>
          <w:rFonts w:ascii="Times New Roman" w:hAnsi="Times New Roman" w:cs="Times New Roman"/>
          <w:sz w:val="24"/>
          <w:szCs w:val="24"/>
          <w:vertAlign w:val="subscript"/>
        </w:rPr>
        <w:t>0</w:t>
      </w:r>
      <w:r w:rsidRPr="00884C90">
        <w:rPr>
          <w:rFonts w:ascii="Times New Roman" w:hAnsi="Times New Roman" w:cs="Times New Roman"/>
          <w:sz w:val="24"/>
          <w:szCs w:val="24"/>
        </w:rPr>
        <w:t>.</w:t>
      </w:r>
    </w:p>
    <w:p w14:paraId="59B8D75F" w14:textId="77777777" w:rsidR="00B94EA6" w:rsidRDefault="00B94EA6" w:rsidP="000677B8">
      <w:pPr>
        <w:spacing w:after="0" w:line="240" w:lineRule="auto"/>
        <w:jc w:val="both"/>
        <w:rPr>
          <w:rFonts w:ascii="Times New Roman" w:hAnsi="Times New Roman" w:cs="Times New Roman"/>
          <w:sz w:val="24"/>
          <w:szCs w:val="24"/>
        </w:rPr>
      </w:pPr>
    </w:p>
    <w:p w14:paraId="7D477DDA" w14:textId="70399650" w:rsidR="00B24A8F" w:rsidRPr="00B24A8F" w:rsidRDefault="00B24A8F" w:rsidP="00FE7FC8">
      <w:pPr>
        <w:keepNext/>
        <w:tabs>
          <w:tab w:val="left" w:pos="547"/>
        </w:tabs>
        <w:spacing w:after="0" w:line="240" w:lineRule="auto"/>
        <w:rPr>
          <w:rFonts w:ascii="Times New Roman" w:eastAsia="Times New Roman" w:hAnsi="Times New Roman" w:cs="Times New Roman"/>
          <w:i/>
          <w:sz w:val="24"/>
          <w:szCs w:val="24"/>
        </w:rPr>
      </w:pPr>
      <w:bookmarkStart w:id="3" w:name="_Toc429182990"/>
      <w:r w:rsidRPr="00B24A8F">
        <w:rPr>
          <w:rFonts w:ascii="Times New Roman" w:eastAsia="Times New Roman" w:hAnsi="Times New Roman" w:cs="Times New Roman"/>
          <w:sz w:val="24"/>
          <w:szCs w:val="24"/>
        </w:rPr>
        <w:t>Table</w:t>
      </w:r>
      <w:r w:rsidR="00FE7FC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3</w:t>
      </w:r>
      <w:r w:rsidRPr="00B24A8F">
        <w:rPr>
          <w:rFonts w:ascii="Times New Roman" w:eastAsia="Times New Roman" w:hAnsi="Times New Roman" w:cs="Times New Roman"/>
          <w:sz w:val="24"/>
          <w:szCs w:val="24"/>
        </w:rPr>
        <w:br/>
      </w:r>
      <w:r w:rsidRPr="00B24A8F">
        <w:rPr>
          <w:rFonts w:ascii="Times New Roman" w:eastAsia="Times New Roman" w:hAnsi="Times New Roman" w:cs="Times New Roman"/>
          <w:i/>
          <w:sz w:val="24"/>
          <w:szCs w:val="24"/>
        </w:rPr>
        <w:t>Wilcoxon Matched Pairs Tests Comparing Number of Trips per Month (CV) and Average Amount Spent Per Visit from Period 1 to Period 2</w:t>
      </w:r>
      <w:bookmarkEnd w:id="3"/>
    </w:p>
    <w:tbl>
      <w:tblPr>
        <w:tblW w:w="3961" w:type="pct"/>
        <w:tblLook w:val="04A0" w:firstRow="1" w:lastRow="0" w:firstColumn="1" w:lastColumn="0" w:noHBand="0" w:noVBand="1"/>
      </w:tblPr>
      <w:tblGrid>
        <w:gridCol w:w="3054"/>
        <w:gridCol w:w="756"/>
        <w:gridCol w:w="876"/>
        <w:gridCol w:w="794"/>
        <w:gridCol w:w="794"/>
      </w:tblGrid>
      <w:tr w:rsidR="00B24A8F" w:rsidRPr="00B24A8F" w14:paraId="56E4143F" w14:textId="77777777" w:rsidTr="00B24A8F">
        <w:tc>
          <w:tcPr>
            <w:tcW w:w="0" w:type="auto"/>
            <w:tcBorders>
              <w:top w:val="single" w:sz="4" w:space="0" w:color="auto"/>
              <w:left w:val="nil"/>
              <w:bottom w:val="single" w:sz="4" w:space="0" w:color="auto"/>
              <w:right w:val="nil"/>
            </w:tcBorders>
            <w:shd w:val="clear" w:color="auto" w:fill="auto"/>
            <w:vAlign w:val="bottom"/>
          </w:tcPr>
          <w:p w14:paraId="3AB40D2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Variable and period</w:t>
            </w:r>
          </w:p>
        </w:tc>
        <w:tc>
          <w:tcPr>
            <w:tcW w:w="0" w:type="auto"/>
            <w:tcBorders>
              <w:top w:val="single" w:sz="4" w:space="0" w:color="auto"/>
              <w:left w:val="nil"/>
              <w:bottom w:val="single" w:sz="4" w:space="0" w:color="auto"/>
              <w:right w:val="nil"/>
            </w:tcBorders>
            <w:shd w:val="clear" w:color="auto" w:fill="auto"/>
            <w:vAlign w:val="bottom"/>
          </w:tcPr>
          <w:p w14:paraId="28688B6C" w14:textId="77777777" w:rsidR="00B24A8F" w:rsidRPr="00B24A8F" w:rsidRDefault="00B24A8F" w:rsidP="000677B8">
            <w:pPr>
              <w:spacing w:after="0" w:line="240" w:lineRule="auto"/>
              <w:contextualSpacing/>
              <w:jc w:val="both"/>
              <w:rPr>
                <w:rFonts w:ascii="Times New Roman" w:eastAsia="Times New Roman" w:hAnsi="Times New Roman" w:cs="Times New Roman"/>
                <w:i/>
                <w:color w:val="000000"/>
                <w:sz w:val="24"/>
                <w:szCs w:val="24"/>
              </w:rPr>
            </w:pPr>
            <w:r w:rsidRPr="00B24A8F">
              <w:rPr>
                <w:rFonts w:ascii="Times New Roman" w:eastAsia="Times New Roman" w:hAnsi="Times New Roman" w:cs="Times New Roman"/>
                <w:i/>
                <w:color w:val="000000"/>
                <w:sz w:val="24"/>
                <w:szCs w:val="24"/>
              </w:rPr>
              <w:t>M</w:t>
            </w:r>
          </w:p>
        </w:tc>
        <w:tc>
          <w:tcPr>
            <w:tcW w:w="0" w:type="auto"/>
            <w:tcBorders>
              <w:top w:val="single" w:sz="4" w:space="0" w:color="auto"/>
              <w:left w:val="nil"/>
              <w:bottom w:val="single" w:sz="4" w:space="0" w:color="auto"/>
              <w:right w:val="nil"/>
            </w:tcBorders>
            <w:shd w:val="clear" w:color="auto" w:fill="auto"/>
            <w:vAlign w:val="bottom"/>
          </w:tcPr>
          <w:p w14:paraId="4DB97F4E" w14:textId="77777777" w:rsidR="00B24A8F" w:rsidRPr="00B24A8F" w:rsidRDefault="00B24A8F" w:rsidP="000677B8">
            <w:pPr>
              <w:spacing w:after="0" w:line="240" w:lineRule="auto"/>
              <w:contextualSpacing/>
              <w:jc w:val="both"/>
              <w:rPr>
                <w:rFonts w:ascii="Times New Roman" w:eastAsia="Times New Roman" w:hAnsi="Times New Roman" w:cs="Times New Roman"/>
                <w:i/>
                <w:color w:val="000000"/>
                <w:sz w:val="24"/>
                <w:szCs w:val="24"/>
              </w:rPr>
            </w:pPr>
            <w:r w:rsidRPr="00B24A8F">
              <w:rPr>
                <w:rFonts w:ascii="Times New Roman" w:eastAsia="Times New Roman" w:hAnsi="Times New Roman" w:cs="Times New Roman"/>
                <w:i/>
                <w:color w:val="000000"/>
                <w:sz w:val="24"/>
                <w:szCs w:val="24"/>
              </w:rPr>
              <w:t>SD</w:t>
            </w:r>
          </w:p>
        </w:tc>
        <w:tc>
          <w:tcPr>
            <w:tcW w:w="633" w:type="pct"/>
            <w:tcBorders>
              <w:top w:val="single" w:sz="4" w:space="0" w:color="auto"/>
              <w:left w:val="nil"/>
              <w:bottom w:val="single" w:sz="4" w:space="0" w:color="auto"/>
              <w:right w:val="nil"/>
            </w:tcBorders>
            <w:shd w:val="clear" w:color="auto" w:fill="auto"/>
            <w:vAlign w:val="bottom"/>
          </w:tcPr>
          <w:p w14:paraId="6055C1B4" w14:textId="77777777" w:rsidR="00B24A8F" w:rsidRPr="00B24A8F" w:rsidRDefault="00B24A8F" w:rsidP="000677B8">
            <w:pPr>
              <w:spacing w:after="0" w:line="240" w:lineRule="auto"/>
              <w:contextualSpacing/>
              <w:jc w:val="both"/>
              <w:rPr>
                <w:rFonts w:ascii="Times New Roman" w:eastAsia="Times New Roman" w:hAnsi="Times New Roman" w:cs="Times New Roman"/>
                <w:i/>
                <w:color w:val="000000"/>
                <w:sz w:val="24"/>
                <w:szCs w:val="24"/>
              </w:rPr>
            </w:pPr>
            <w:r w:rsidRPr="00B24A8F">
              <w:rPr>
                <w:rFonts w:ascii="Times New Roman" w:eastAsia="Times New Roman" w:hAnsi="Times New Roman" w:cs="Times New Roman"/>
                <w:i/>
                <w:sz w:val="24"/>
                <w:szCs w:val="24"/>
              </w:rPr>
              <w:t>z</w:t>
            </w:r>
          </w:p>
        </w:tc>
        <w:tc>
          <w:tcPr>
            <w:tcW w:w="633" w:type="pct"/>
            <w:tcBorders>
              <w:top w:val="single" w:sz="4" w:space="0" w:color="auto"/>
              <w:left w:val="nil"/>
              <w:bottom w:val="single" w:sz="4" w:space="0" w:color="auto"/>
              <w:right w:val="nil"/>
            </w:tcBorders>
            <w:shd w:val="clear" w:color="auto" w:fill="auto"/>
            <w:noWrap/>
            <w:vAlign w:val="bottom"/>
          </w:tcPr>
          <w:p w14:paraId="54F50595" w14:textId="77777777" w:rsidR="00B24A8F" w:rsidRPr="00B24A8F" w:rsidRDefault="00B24A8F" w:rsidP="000677B8">
            <w:pPr>
              <w:spacing w:after="0" w:line="240" w:lineRule="auto"/>
              <w:contextualSpacing/>
              <w:jc w:val="both"/>
              <w:rPr>
                <w:rFonts w:ascii="Times New Roman" w:eastAsia="Times New Roman" w:hAnsi="Times New Roman" w:cs="Times New Roman"/>
                <w:i/>
                <w:sz w:val="24"/>
                <w:szCs w:val="24"/>
              </w:rPr>
            </w:pPr>
            <w:r w:rsidRPr="00B24A8F">
              <w:rPr>
                <w:rFonts w:ascii="Times New Roman" w:eastAsia="Times New Roman" w:hAnsi="Times New Roman" w:cs="Times New Roman"/>
                <w:i/>
                <w:sz w:val="24"/>
                <w:szCs w:val="24"/>
              </w:rPr>
              <w:t>p</w:t>
            </w:r>
          </w:p>
        </w:tc>
      </w:tr>
      <w:tr w:rsidR="00B24A8F" w:rsidRPr="00B24A8F" w14:paraId="091D9A55" w14:textId="77777777" w:rsidTr="00B24A8F">
        <w:tc>
          <w:tcPr>
            <w:tcW w:w="0" w:type="auto"/>
            <w:tcBorders>
              <w:top w:val="single" w:sz="4" w:space="0" w:color="auto"/>
              <w:left w:val="nil"/>
              <w:bottom w:val="nil"/>
              <w:right w:val="nil"/>
            </w:tcBorders>
            <w:shd w:val="clear" w:color="auto" w:fill="auto"/>
            <w:vAlign w:val="bottom"/>
            <w:hideMark/>
          </w:tcPr>
          <w:p w14:paraId="06E99D0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Trips per month (CV)</w:t>
            </w:r>
          </w:p>
        </w:tc>
        <w:tc>
          <w:tcPr>
            <w:tcW w:w="0" w:type="auto"/>
            <w:tcBorders>
              <w:top w:val="single" w:sz="4" w:space="0" w:color="auto"/>
              <w:left w:val="nil"/>
              <w:bottom w:val="nil"/>
              <w:right w:val="nil"/>
            </w:tcBorders>
            <w:shd w:val="clear" w:color="auto" w:fill="auto"/>
            <w:vAlign w:val="bottom"/>
            <w:hideMark/>
          </w:tcPr>
          <w:p w14:paraId="4B3A4E8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single" w:sz="4" w:space="0" w:color="auto"/>
              <w:left w:val="nil"/>
              <w:bottom w:val="nil"/>
              <w:right w:val="nil"/>
            </w:tcBorders>
            <w:shd w:val="clear" w:color="auto" w:fill="auto"/>
            <w:vAlign w:val="bottom"/>
            <w:hideMark/>
          </w:tcPr>
          <w:p w14:paraId="16E3F00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633" w:type="pct"/>
            <w:tcBorders>
              <w:top w:val="single" w:sz="4" w:space="0" w:color="auto"/>
              <w:left w:val="nil"/>
              <w:bottom w:val="nil"/>
              <w:right w:val="nil"/>
            </w:tcBorders>
            <w:shd w:val="clear" w:color="auto" w:fill="auto"/>
            <w:vAlign w:val="bottom"/>
            <w:hideMark/>
          </w:tcPr>
          <w:p w14:paraId="417C2BF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3.06</w:t>
            </w:r>
          </w:p>
        </w:tc>
        <w:tc>
          <w:tcPr>
            <w:tcW w:w="633" w:type="pct"/>
            <w:tcBorders>
              <w:top w:val="single" w:sz="4" w:space="0" w:color="auto"/>
              <w:left w:val="nil"/>
              <w:bottom w:val="nil"/>
              <w:right w:val="nil"/>
            </w:tcBorders>
            <w:shd w:val="clear" w:color="auto" w:fill="auto"/>
            <w:noWrap/>
            <w:vAlign w:val="bottom"/>
            <w:hideMark/>
          </w:tcPr>
          <w:p w14:paraId="53AF5A07" w14:textId="7CECF388" w:rsidR="00B24A8F" w:rsidRPr="00B24A8F" w:rsidRDefault="00F2592A" w:rsidP="000677B8">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00B24A8F" w:rsidRPr="00B24A8F">
              <w:rPr>
                <w:rFonts w:ascii="Times New Roman" w:eastAsia="Times New Roman" w:hAnsi="Times New Roman" w:cs="Times New Roman"/>
                <w:sz w:val="24"/>
                <w:szCs w:val="24"/>
              </w:rPr>
              <w:t>.002</w:t>
            </w:r>
          </w:p>
        </w:tc>
      </w:tr>
      <w:tr w:rsidR="00B24A8F" w:rsidRPr="00B24A8F" w14:paraId="5E8C0DD5" w14:textId="77777777" w:rsidTr="00B24A8F">
        <w:tc>
          <w:tcPr>
            <w:tcW w:w="0" w:type="auto"/>
            <w:tcBorders>
              <w:top w:val="nil"/>
              <w:left w:val="nil"/>
              <w:bottom w:val="nil"/>
              <w:right w:val="nil"/>
            </w:tcBorders>
            <w:shd w:val="clear" w:color="auto" w:fill="auto"/>
            <w:hideMark/>
          </w:tcPr>
          <w:p w14:paraId="4FB675E9"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Period 1</w:t>
            </w:r>
          </w:p>
        </w:tc>
        <w:tc>
          <w:tcPr>
            <w:tcW w:w="0" w:type="auto"/>
            <w:tcBorders>
              <w:top w:val="nil"/>
              <w:left w:val="nil"/>
              <w:bottom w:val="nil"/>
              <w:right w:val="nil"/>
            </w:tcBorders>
            <w:shd w:val="clear" w:color="auto" w:fill="auto"/>
            <w:noWrap/>
            <w:hideMark/>
          </w:tcPr>
          <w:p w14:paraId="25D64CF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1.29</w:t>
            </w:r>
          </w:p>
        </w:tc>
        <w:tc>
          <w:tcPr>
            <w:tcW w:w="0" w:type="auto"/>
            <w:tcBorders>
              <w:top w:val="nil"/>
              <w:left w:val="nil"/>
              <w:bottom w:val="nil"/>
              <w:right w:val="nil"/>
            </w:tcBorders>
            <w:shd w:val="clear" w:color="auto" w:fill="auto"/>
            <w:noWrap/>
            <w:hideMark/>
          </w:tcPr>
          <w:p w14:paraId="2953EAC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2.15</w:t>
            </w:r>
          </w:p>
        </w:tc>
        <w:tc>
          <w:tcPr>
            <w:tcW w:w="633" w:type="pct"/>
            <w:tcBorders>
              <w:top w:val="nil"/>
              <w:left w:val="nil"/>
              <w:bottom w:val="nil"/>
              <w:right w:val="nil"/>
            </w:tcBorders>
            <w:shd w:val="clear" w:color="auto" w:fill="auto"/>
            <w:noWrap/>
            <w:hideMark/>
          </w:tcPr>
          <w:p w14:paraId="1363044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633" w:type="pct"/>
            <w:tcBorders>
              <w:top w:val="nil"/>
              <w:left w:val="nil"/>
              <w:bottom w:val="nil"/>
              <w:right w:val="nil"/>
            </w:tcBorders>
            <w:shd w:val="clear" w:color="auto" w:fill="auto"/>
            <w:noWrap/>
            <w:hideMark/>
          </w:tcPr>
          <w:p w14:paraId="58A8CB4C" w14:textId="77777777" w:rsidR="00B24A8F" w:rsidRPr="00B24A8F" w:rsidRDefault="00B24A8F" w:rsidP="000677B8">
            <w:pPr>
              <w:spacing w:after="0" w:line="240" w:lineRule="auto"/>
              <w:contextualSpacing/>
              <w:jc w:val="both"/>
              <w:rPr>
                <w:rFonts w:ascii="Times New Roman" w:eastAsia="Times New Roman" w:hAnsi="Times New Roman" w:cs="Times New Roman"/>
                <w:sz w:val="24"/>
                <w:szCs w:val="24"/>
              </w:rPr>
            </w:pPr>
          </w:p>
        </w:tc>
      </w:tr>
      <w:tr w:rsidR="00B24A8F" w:rsidRPr="00B24A8F" w14:paraId="7B2950F2" w14:textId="77777777" w:rsidTr="00B24A8F">
        <w:tc>
          <w:tcPr>
            <w:tcW w:w="0" w:type="auto"/>
            <w:tcBorders>
              <w:top w:val="nil"/>
              <w:left w:val="nil"/>
              <w:bottom w:val="nil"/>
              <w:right w:val="nil"/>
            </w:tcBorders>
            <w:shd w:val="clear" w:color="auto" w:fill="auto"/>
            <w:hideMark/>
          </w:tcPr>
          <w:p w14:paraId="3DFB7B72"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Period 2</w:t>
            </w:r>
          </w:p>
        </w:tc>
        <w:tc>
          <w:tcPr>
            <w:tcW w:w="0" w:type="auto"/>
            <w:tcBorders>
              <w:top w:val="nil"/>
              <w:left w:val="nil"/>
              <w:bottom w:val="nil"/>
              <w:right w:val="nil"/>
            </w:tcBorders>
            <w:shd w:val="clear" w:color="auto" w:fill="auto"/>
            <w:noWrap/>
            <w:hideMark/>
          </w:tcPr>
          <w:p w14:paraId="73BBA0C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1.31</w:t>
            </w:r>
          </w:p>
        </w:tc>
        <w:tc>
          <w:tcPr>
            <w:tcW w:w="0" w:type="auto"/>
            <w:tcBorders>
              <w:top w:val="nil"/>
              <w:left w:val="nil"/>
              <w:bottom w:val="nil"/>
              <w:right w:val="nil"/>
            </w:tcBorders>
            <w:shd w:val="clear" w:color="auto" w:fill="auto"/>
            <w:noWrap/>
            <w:hideMark/>
          </w:tcPr>
          <w:p w14:paraId="0014B0E4"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2.19</w:t>
            </w:r>
          </w:p>
        </w:tc>
        <w:tc>
          <w:tcPr>
            <w:tcW w:w="633" w:type="pct"/>
            <w:tcBorders>
              <w:top w:val="nil"/>
              <w:left w:val="nil"/>
              <w:bottom w:val="nil"/>
              <w:right w:val="nil"/>
            </w:tcBorders>
            <w:shd w:val="clear" w:color="auto" w:fill="auto"/>
            <w:noWrap/>
            <w:hideMark/>
          </w:tcPr>
          <w:p w14:paraId="34D2DB3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633" w:type="pct"/>
            <w:tcBorders>
              <w:top w:val="nil"/>
              <w:left w:val="nil"/>
              <w:bottom w:val="nil"/>
              <w:right w:val="nil"/>
            </w:tcBorders>
            <w:shd w:val="clear" w:color="auto" w:fill="auto"/>
            <w:noWrap/>
            <w:hideMark/>
          </w:tcPr>
          <w:p w14:paraId="182FC1C5" w14:textId="77777777" w:rsidR="00B24A8F" w:rsidRPr="00B24A8F" w:rsidRDefault="00B24A8F" w:rsidP="000677B8">
            <w:pPr>
              <w:spacing w:after="0" w:line="240" w:lineRule="auto"/>
              <w:contextualSpacing/>
              <w:jc w:val="both"/>
              <w:rPr>
                <w:rFonts w:ascii="Times New Roman" w:eastAsia="Times New Roman" w:hAnsi="Times New Roman" w:cs="Times New Roman"/>
                <w:sz w:val="24"/>
                <w:szCs w:val="24"/>
              </w:rPr>
            </w:pPr>
          </w:p>
        </w:tc>
      </w:tr>
      <w:tr w:rsidR="00B24A8F" w:rsidRPr="00B24A8F" w14:paraId="1F8753C2" w14:textId="77777777" w:rsidTr="00B24A8F">
        <w:tc>
          <w:tcPr>
            <w:tcW w:w="0" w:type="auto"/>
            <w:tcBorders>
              <w:top w:val="nil"/>
              <w:left w:val="nil"/>
              <w:bottom w:val="nil"/>
              <w:right w:val="nil"/>
            </w:tcBorders>
            <w:shd w:val="clear" w:color="auto" w:fill="auto"/>
            <w:hideMark/>
          </w:tcPr>
          <w:p w14:paraId="7B133E7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Average amount spent per visit</w:t>
            </w:r>
          </w:p>
        </w:tc>
        <w:tc>
          <w:tcPr>
            <w:tcW w:w="0" w:type="auto"/>
            <w:tcBorders>
              <w:top w:val="nil"/>
              <w:left w:val="nil"/>
              <w:bottom w:val="nil"/>
              <w:right w:val="nil"/>
            </w:tcBorders>
            <w:shd w:val="clear" w:color="auto" w:fill="auto"/>
            <w:noWrap/>
            <w:hideMark/>
          </w:tcPr>
          <w:p w14:paraId="2C501A19"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1805F3D9"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633" w:type="pct"/>
            <w:tcBorders>
              <w:top w:val="nil"/>
              <w:left w:val="nil"/>
              <w:bottom w:val="nil"/>
              <w:right w:val="nil"/>
            </w:tcBorders>
            <w:shd w:val="clear" w:color="auto" w:fill="auto"/>
            <w:noWrap/>
            <w:hideMark/>
          </w:tcPr>
          <w:p w14:paraId="3768793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6.96</w:t>
            </w:r>
          </w:p>
        </w:tc>
        <w:tc>
          <w:tcPr>
            <w:tcW w:w="633" w:type="pct"/>
            <w:tcBorders>
              <w:top w:val="nil"/>
              <w:left w:val="nil"/>
              <w:bottom w:val="nil"/>
              <w:right w:val="nil"/>
            </w:tcBorders>
            <w:shd w:val="clear" w:color="auto" w:fill="auto"/>
            <w:noWrap/>
            <w:hideMark/>
          </w:tcPr>
          <w:p w14:paraId="3DFFF5D9" w14:textId="2947AB9B" w:rsidR="00B24A8F" w:rsidRPr="00B24A8F" w:rsidRDefault="00F2592A" w:rsidP="000677B8">
            <w:pPr>
              <w:spacing w:after="0" w:line="24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w:t>
            </w:r>
            <w:r w:rsidR="00B24A8F" w:rsidRPr="00B24A8F">
              <w:rPr>
                <w:rFonts w:ascii="Times New Roman" w:eastAsia="Times New Roman" w:hAnsi="Times New Roman" w:cs="Times New Roman"/>
                <w:sz w:val="24"/>
                <w:szCs w:val="24"/>
              </w:rPr>
              <w:t>.001</w:t>
            </w:r>
          </w:p>
        </w:tc>
      </w:tr>
      <w:tr w:rsidR="00B24A8F" w:rsidRPr="00B24A8F" w14:paraId="103FC77D" w14:textId="77777777" w:rsidTr="00B24A8F">
        <w:tc>
          <w:tcPr>
            <w:tcW w:w="0" w:type="auto"/>
            <w:tcBorders>
              <w:top w:val="nil"/>
              <w:left w:val="nil"/>
              <w:right w:val="nil"/>
            </w:tcBorders>
            <w:shd w:val="clear" w:color="auto" w:fill="auto"/>
            <w:hideMark/>
          </w:tcPr>
          <w:p w14:paraId="25A50FB9"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Period 1</w:t>
            </w:r>
          </w:p>
        </w:tc>
        <w:tc>
          <w:tcPr>
            <w:tcW w:w="0" w:type="auto"/>
            <w:tcBorders>
              <w:top w:val="nil"/>
              <w:left w:val="nil"/>
              <w:right w:val="nil"/>
            </w:tcBorders>
            <w:shd w:val="clear" w:color="auto" w:fill="auto"/>
            <w:noWrap/>
            <w:hideMark/>
          </w:tcPr>
          <w:p w14:paraId="4858E24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90.66</w:t>
            </w:r>
          </w:p>
        </w:tc>
        <w:tc>
          <w:tcPr>
            <w:tcW w:w="0" w:type="auto"/>
            <w:tcBorders>
              <w:top w:val="nil"/>
              <w:left w:val="nil"/>
              <w:right w:val="nil"/>
            </w:tcBorders>
            <w:shd w:val="clear" w:color="auto" w:fill="auto"/>
            <w:noWrap/>
            <w:hideMark/>
          </w:tcPr>
          <w:p w14:paraId="14EEA9B9"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128.09</w:t>
            </w:r>
          </w:p>
        </w:tc>
        <w:tc>
          <w:tcPr>
            <w:tcW w:w="633" w:type="pct"/>
            <w:tcBorders>
              <w:top w:val="nil"/>
              <w:left w:val="nil"/>
              <w:right w:val="nil"/>
            </w:tcBorders>
            <w:shd w:val="clear" w:color="auto" w:fill="auto"/>
            <w:noWrap/>
            <w:hideMark/>
          </w:tcPr>
          <w:p w14:paraId="22F1DA74"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633" w:type="pct"/>
            <w:tcBorders>
              <w:top w:val="nil"/>
              <w:left w:val="nil"/>
              <w:right w:val="nil"/>
            </w:tcBorders>
            <w:shd w:val="clear" w:color="auto" w:fill="auto"/>
            <w:noWrap/>
            <w:hideMark/>
          </w:tcPr>
          <w:p w14:paraId="3356491E" w14:textId="77777777" w:rsidR="00B24A8F" w:rsidRPr="00B24A8F" w:rsidRDefault="00B24A8F" w:rsidP="000677B8">
            <w:pPr>
              <w:spacing w:after="0" w:line="240" w:lineRule="auto"/>
              <w:contextualSpacing/>
              <w:jc w:val="both"/>
              <w:rPr>
                <w:rFonts w:ascii="Times New Roman" w:eastAsia="Times New Roman" w:hAnsi="Times New Roman" w:cs="Times New Roman"/>
                <w:sz w:val="24"/>
                <w:szCs w:val="24"/>
              </w:rPr>
            </w:pPr>
          </w:p>
        </w:tc>
      </w:tr>
      <w:tr w:rsidR="00B24A8F" w:rsidRPr="00B24A8F" w14:paraId="189DBBB9" w14:textId="77777777" w:rsidTr="00B24A8F">
        <w:tc>
          <w:tcPr>
            <w:tcW w:w="0" w:type="auto"/>
            <w:tcBorders>
              <w:top w:val="nil"/>
              <w:left w:val="nil"/>
              <w:bottom w:val="single" w:sz="4" w:space="0" w:color="auto"/>
              <w:right w:val="nil"/>
            </w:tcBorders>
            <w:shd w:val="clear" w:color="auto" w:fill="auto"/>
            <w:hideMark/>
          </w:tcPr>
          <w:p w14:paraId="79D4B3BD"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Period 2</w:t>
            </w:r>
          </w:p>
        </w:tc>
        <w:tc>
          <w:tcPr>
            <w:tcW w:w="0" w:type="auto"/>
            <w:tcBorders>
              <w:top w:val="nil"/>
              <w:left w:val="nil"/>
              <w:bottom w:val="single" w:sz="4" w:space="0" w:color="auto"/>
              <w:right w:val="nil"/>
            </w:tcBorders>
            <w:shd w:val="clear" w:color="auto" w:fill="auto"/>
            <w:noWrap/>
            <w:hideMark/>
          </w:tcPr>
          <w:p w14:paraId="700055B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88.30</w:t>
            </w:r>
          </w:p>
        </w:tc>
        <w:tc>
          <w:tcPr>
            <w:tcW w:w="0" w:type="auto"/>
            <w:tcBorders>
              <w:top w:val="nil"/>
              <w:left w:val="nil"/>
              <w:bottom w:val="single" w:sz="4" w:space="0" w:color="auto"/>
              <w:right w:val="nil"/>
            </w:tcBorders>
            <w:shd w:val="clear" w:color="auto" w:fill="auto"/>
            <w:noWrap/>
            <w:hideMark/>
          </w:tcPr>
          <w:p w14:paraId="57E62C12"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128.63</w:t>
            </w:r>
          </w:p>
        </w:tc>
        <w:tc>
          <w:tcPr>
            <w:tcW w:w="633" w:type="pct"/>
            <w:tcBorders>
              <w:top w:val="nil"/>
              <w:left w:val="nil"/>
              <w:bottom w:val="single" w:sz="4" w:space="0" w:color="auto"/>
              <w:right w:val="nil"/>
            </w:tcBorders>
            <w:shd w:val="clear" w:color="auto" w:fill="auto"/>
            <w:noWrap/>
            <w:hideMark/>
          </w:tcPr>
          <w:p w14:paraId="3435847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633" w:type="pct"/>
            <w:tcBorders>
              <w:top w:val="nil"/>
              <w:left w:val="nil"/>
              <w:bottom w:val="single" w:sz="4" w:space="0" w:color="auto"/>
              <w:right w:val="nil"/>
            </w:tcBorders>
            <w:shd w:val="clear" w:color="auto" w:fill="auto"/>
            <w:noWrap/>
            <w:hideMark/>
          </w:tcPr>
          <w:p w14:paraId="042849A4" w14:textId="77777777" w:rsidR="00B24A8F" w:rsidRPr="00B24A8F" w:rsidRDefault="00B24A8F" w:rsidP="000677B8">
            <w:pPr>
              <w:spacing w:after="0" w:line="240" w:lineRule="auto"/>
              <w:contextualSpacing/>
              <w:jc w:val="both"/>
              <w:rPr>
                <w:rFonts w:ascii="Times New Roman" w:eastAsia="Times New Roman" w:hAnsi="Times New Roman" w:cs="Times New Roman"/>
                <w:sz w:val="24"/>
                <w:szCs w:val="24"/>
              </w:rPr>
            </w:pPr>
          </w:p>
        </w:tc>
      </w:tr>
    </w:tbl>
    <w:p w14:paraId="763762F3" w14:textId="77777777" w:rsidR="00B24A8F" w:rsidRDefault="00B24A8F" w:rsidP="000677B8">
      <w:pPr>
        <w:spacing w:after="0" w:line="240" w:lineRule="auto"/>
        <w:jc w:val="both"/>
        <w:rPr>
          <w:rFonts w:ascii="Times New Roman" w:eastAsia="Calibri" w:hAnsi="Times New Roman" w:cs="Times New Roman"/>
          <w:sz w:val="24"/>
          <w:szCs w:val="24"/>
        </w:rPr>
      </w:pPr>
      <w:r w:rsidRPr="00B24A8F">
        <w:rPr>
          <w:rFonts w:ascii="Times New Roman" w:eastAsia="Calibri" w:hAnsi="Times New Roman" w:cs="Times New Roman"/>
          <w:i/>
          <w:sz w:val="24"/>
          <w:szCs w:val="24"/>
        </w:rPr>
        <w:t>Note.</w:t>
      </w:r>
      <w:r w:rsidRPr="00B24A8F">
        <w:rPr>
          <w:rFonts w:ascii="Times New Roman" w:eastAsia="Calibri" w:hAnsi="Times New Roman" w:cs="Times New Roman"/>
          <w:sz w:val="24"/>
          <w:szCs w:val="24"/>
        </w:rPr>
        <w:t xml:space="preserve"> </w:t>
      </w:r>
      <w:r w:rsidRPr="00B24A8F">
        <w:rPr>
          <w:rFonts w:ascii="Times New Roman" w:eastAsia="Calibri" w:hAnsi="Times New Roman" w:cs="Times New Roman"/>
          <w:i/>
          <w:sz w:val="24"/>
          <w:szCs w:val="24"/>
        </w:rPr>
        <w:t>N</w:t>
      </w:r>
      <w:r w:rsidRPr="00B24A8F">
        <w:rPr>
          <w:rFonts w:ascii="Times New Roman" w:eastAsia="Calibri" w:hAnsi="Times New Roman" w:cs="Times New Roman"/>
          <w:sz w:val="24"/>
          <w:szCs w:val="24"/>
        </w:rPr>
        <w:t xml:space="preserve"> = 9,568.</w:t>
      </w:r>
    </w:p>
    <w:p w14:paraId="6C48610A" w14:textId="77777777" w:rsidR="00FE7FC8" w:rsidRPr="00B24A8F" w:rsidRDefault="00FE7FC8" w:rsidP="000677B8">
      <w:pPr>
        <w:spacing w:after="0" w:line="240" w:lineRule="auto"/>
        <w:jc w:val="both"/>
        <w:rPr>
          <w:rFonts w:ascii="Times New Roman" w:eastAsia="Calibri" w:hAnsi="Times New Roman" w:cs="Times New Roman"/>
          <w:sz w:val="24"/>
          <w:szCs w:val="24"/>
        </w:rPr>
      </w:pPr>
    </w:p>
    <w:p w14:paraId="3D57D848" w14:textId="39FA86DB" w:rsidR="00884C90" w:rsidRDefault="00B24A8F"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884C90" w:rsidRPr="00884C90">
        <w:rPr>
          <w:rFonts w:ascii="Times New Roman" w:hAnsi="Times New Roman" w:cs="Times New Roman"/>
          <w:sz w:val="24"/>
          <w:szCs w:val="24"/>
        </w:rPr>
        <w:t>Table 4 displays the results of the Kruskall-Wallis test and a Spearman correlation comparing the increase in the number of trips to the casino between the two time periods when a customer redeemed a direct mail offer.  These nonparametric tests were more suitable than a one-way analysis of variance and a Pearson correlation due to the nonnormal data distribution.  The number of trips per month to the casino statistically significantly increased (</w:t>
      </w:r>
      <w:r w:rsidR="00884C90" w:rsidRPr="00F2592A">
        <w:rPr>
          <w:rFonts w:ascii="Times New Roman" w:hAnsi="Times New Roman" w:cs="Times New Roman"/>
          <w:i/>
          <w:sz w:val="24"/>
          <w:szCs w:val="24"/>
        </w:rPr>
        <w:t>p</w:t>
      </w:r>
      <w:r w:rsidR="00884C90" w:rsidRPr="00884C90">
        <w:rPr>
          <w:rFonts w:ascii="Times New Roman" w:hAnsi="Times New Roman" w:cs="Times New Roman"/>
          <w:sz w:val="24"/>
          <w:szCs w:val="24"/>
        </w:rPr>
        <w:t xml:space="preserve"> = </w:t>
      </w:r>
      <w:r w:rsidR="00F2592A">
        <w:rPr>
          <w:rFonts w:ascii="Times New Roman" w:hAnsi="Times New Roman" w:cs="Times New Roman"/>
          <w:sz w:val="24"/>
          <w:szCs w:val="24"/>
        </w:rPr>
        <w:t>0</w:t>
      </w:r>
      <w:r w:rsidR="00884C90" w:rsidRPr="00884C90">
        <w:rPr>
          <w:rFonts w:ascii="Times New Roman" w:hAnsi="Times New Roman" w:cs="Times New Roman"/>
          <w:sz w:val="24"/>
          <w:szCs w:val="24"/>
        </w:rPr>
        <w:t>.001) based on the number of redeemed direct mail pieces, as indicated by the ascending pattern of the means as well as by the Spearman correlation (</w:t>
      </w:r>
      <w:r w:rsidR="00884C90" w:rsidRPr="00F2592A">
        <w:rPr>
          <w:rFonts w:ascii="Times New Roman" w:hAnsi="Times New Roman" w:cs="Times New Roman"/>
          <w:i/>
          <w:sz w:val="24"/>
          <w:szCs w:val="24"/>
        </w:rPr>
        <w:t>rs</w:t>
      </w:r>
      <w:r w:rsidR="00884C90" w:rsidRPr="00884C90">
        <w:rPr>
          <w:rFonts w:ascii="Times New Roman" w:hAnsi="Times New Roman" w:cs="Times New Roman"/>
          <w:sz w:val="24"/>
          <w:szCs w:val="24"/>
        </w:rPr>
        <w:t xml:space="preserve"> = </w:t>
      </w:r>
      <w:r w:rsidR="00F2592A">
        <w:rPr>
          <w:rFonts w:ascii="Times New Roman" w:hAnsi="Times New Roman" w:cs="Times New Roman"/>
          <w:sz w:val="24"/>
          <w:szCs w:val="24"/>
        </w:rPr>
        <w:t>0</w:t>
      </w:r>
      <w:r w:rsidR="00884C90" w:rsidRPr="00884C90">
        <w:rPr>
          <w:rFonts w:ascii="Times New Roman" w:hAnsi="Times New Roman" w:cs="Times New Roman"/>
          <w:sz w:val="24"/>
          <w:szCs w:val="24"/>
        </w:rPr>
        <w:t>.25).  This combination of findings reject</w:t>
      </w:r>
      <w:r w:rsidR="00517C16">
        <w:rPr>
          <w:rFonts w:ascii="Times New Roman" w:hAnsi="Times New Roman" w:cs="Times New Roman"/>
          <w:sz w:val="24"/>
          <w:szCs w:val="24"/>
        </w:rPr>
        <w:t>ed</w:t>
      </w:r>
      <w:r w:rsidR="00884C90" w:rsidRPr="00884C90">
        <w:rPr>
          <w:rFonts w:ascii="Times New Roman" w:hAnsi="Times New Roman" w:cs="Times New Roman"/>
          <w:sz w:val="24"/>
          <w:szCs w:val="24"/>
        </w:rPr>
        <w:t xml:space="preserve"> </w:t>
      </w:r>
      <w:r w:rsidR="00517C16">
        <w:rPr>
          <w:rFonts w:ascii="Times New Roman" w:hAnsi="Times New Roman" w:cs="Times New Roman"/>
          <w:sz w:val="24"/>
          <w:szCs w:val="24"/>
        </w:rPr>
        <w:t xml:space="preserve">the </w:t>
      </w:r>
      <w:r w:rsidR="00884C90" w:rsidRPr="00884C90">
        <w:rPr>
          <w:rFonts w:ascii="Times New Roman" w:hAnsi="Times New Roman" w:cs="Times New Roman"/>
          <w:sz w:val="24"/>
          <w:szCs w:val="24"/>
        </w:rPr>
        <w:t>null hypothesis H2</w:t>
      </w:r>
      <w:r w:rsidR="00517C16">
        <w:rPr>
          <w:rFonts w:ascii="Times New Roman" w:hAnsi="Times New Roman" w:cs="Times New Roman"/>
          <w:sz w:val="24"/>
          <w:szCs w:val="24"/>
          <w:vertAlign w:val="subscript"/>
        </w:rPr>
        <w:t>0</w:t>
      </w:r>
      <w:r w:rsidR="00884C90" w:rsidRPr="00884C90">
        <w:rPr>
          <w:rFonts w:ascii="Times New Roman" w:hAnsi="Times New Roman" w:cs="Times New Roman"/>
          <w:sz w:val="24"/>
          <w:szCs w:val="24"/>
        </w:rPr>
        <w:t>.</w:t>
      </w:r>
    </w:p>
    <w:p w14:paraId="48E466B9" w14:textId="77777777" w:rsidR="00FE7FC8" w:rsidRDefault="00FE7FC8" w:rsidP="000677B8">
      <w:pPr>
        <w:spacing w:after="0" w:line="240" w:lineRule="auto"/>
        <w:jc w:val="both"/>
        <w:rPr>
          <w:rFonts w:ascii="Times New Roman" w:hAnsi="Times New Roman" w:cs="Times New Roman"/>
          <w:sz w:val="24"/>
          <w:szCs w:val="24"/>
        </w:rPr>
      </w:pPr>
    </w:p>
    <w:p w14:paraId="68101DF1" w14:textId="6538A37A" w:rsidR="00B24A8F" w:rsidRPr="00B24A8F" w:rsidRDefault="00B24A8F" w:rsidP="00FE7FC8">
      <w:pPr>
        <w:tabs>
          <w:tab w:val="left" w:pos="547"/>
        </w:tabs>
        <w:spacing w:after="0" w:line="240" w:lineRule="auto"/>
        <w:rPr>
          <w:rFonts w:ascii="Times New Roman" w:eastAsia="Calibri" w:hAnsi="Times New Roman" w:cs="Times New Roman"/>
          <w:sz w:val="24"/>
          <w:szCs w:val="24"/>
        </w:rPr>
      </w:pPr>
      <w:bookmarkStart w:id="4" w:name="_Toc429182991"/>
      <w:r w:rsidRPr="00B24A8F">
        <w:rPr>
          <w:rFonts w:ascii="Times New Roman" w:eastAsia="Times New Roman" w:hAnsi="Times New Roman" w:cs="Times New Roman"/>
          <w:sz w:val="24"/>
          <w:szCs w:val="24"/>
        </w:rPr>
        <w:t>Table</w:t>
      </w:r>
      <w:r w:rsidR="00FE7FC8">
        <w:rPr>
          <w:rFonts w:ascii="Times New Roman" w:eastAsia="Times New Roman" w:hAnsi="Times New Roman" w:cs="Times New Roman"/>
          <w:sz w:val="24"/>
          <w:szCs w:val="24"/>
        </w:rPr>
        <w:t xml:space="preserve"> </w:t>
      </w:r>
      <w:r w:rsidR="00B94EA6">
        <w:rPr>
          <w:rFonts w:ascii="Times New Roman" w:eastAsia="Times New Roman" w:hAnsi="Times New Roman" w:cs="Times New Roman"/>
          <w:sz w:val="24"/>
          <w:szCs w:val="24"/>
        </w:rPr>
        <w:t>4</w:t>
      </w:r>
      <w:r w:rsidRPr="00B24A8F">
        <w:rPr>
          <w:rFonts w:ascii="Times New Roman" w:eastAsia="Times New Roman" w:hAnsi="Times New Roman" w:cs="Times New Roman"/>
          <w:sz w:val="24"/>
          <w:szCs w:val="24"/>
        </w:rPr>
        <w:br/>
      </w:r>
      <w:r w:rsidRPr="00B24A8F">
        <w:rPr>
          <w:rFonts w:ascii="Times New Roman" w:eastAsia="Times New Roman" w:hAnsi="Times New Roman" w:cs="Times New Roman"/>
          <w:i/>
          <w:sz w:val="24"/>
          <w:szCs w:val="24"/>
        </w:rPr>
        <w:t xml:space="preserve">Kruskall-Wallis Tests and Spearman Correlation Comparing Increase in Number of Trips per Month </w:t>
      </w:r>
      <w:r>
        <w:rPr>
          <w:rFonts w:ascii="Times New Roman" w:eastAsia="Times New Roman" w:hAnsi="Times New Roman" w:cs="Times New Roman"/>
          <w:i/>
          <w:sz w:val="24"/>
          <w:szCs w:val="24"/>
        </w:rPr>
        <w:t>(</w:t>
      </w:r>
      <w:r w:rsidRPr="00B24A8F">
        <w:rPr>
          <w:rFonts w:ascii="Times New Roman" w:eastAsia="Times New Roman" w:hAnsi="Times New Roman" w:cs="Times New Roman"/>
          <w:i/>
          <w:sz w:val="24"/>
          <w:szCs w:val="24"/>
        </w:rPr>
        <w:t>CV) and Increase in Average Amount Spent Per Visit</w:t>
      </w:r>
      <w:r>
        <w:rPr>
          <w:rFonts w:ascii="Times New Roman" w:eastAsia="Times New Roman" w:hAnsi="Times New Roman" w:cs="Times New Roman"/>
          <w:i/>
          <w:sz w:val="24"/>
          <w:szCs w:val="24"/>
        </w:rPr>
        <w:t xml:space="preserve"> (US$)</w:t>
      </w:r>
      <w:r w:rsidRPr="00B24A8F">
        <w:rPr>
          <w:rFonts w:ascii="Times New Roman" w:eastAsia="Times New Roman" w:hAnsi="Times New Roman" w:cs="Times New Roman"/>
          <w:i/>
          <w:sz w:val="24"/>
          <w:szCs w:val="24"/>
        </w:rPr>
        <w:t xml:space="preserve"> Based on Number of Redeemed Direct Mail Pieces</w:t>
      </w:r>
      <w:bookmarkEnd w:id="4"/>
    </w:p>
    <w:tbl>
      <w:tblPr>
        <w:tblW w:w="4773" w:type="pct"/>
        <w:tblLook w:val="04A0" w:firstRow="1" w:lastRow="0" w:firstColumn="1" w:lastColumn="0" w:noHBand="0" w:noVBand="1"/>
      </w:tblPr>
      <w:tblGrid>
        <w:gridCol w:w="3024"/>
        <w:gridCol w:w="756"/>
        <w:gridCol w:w="756"/>
        <w:gridCol w:w="756"/>
        <w:gridCol w:w="636"/>
        <w:gridCol w:w="876"/>
        <w:gridCol w:w="756"/>
      </w:tblGrid>
      <w:tr w:rsidR="00B24A8F" w:rsidRPr="00B24A8F" w14:paraId="468AA307" w14:textId="77777777" w:rsidTr="00B24A8F">
        <w:tc>
          <w:tcPr>
            <w:tcW w:w="2459" w:type="pct"/>
            <w:tcBorders>
              <w:top w:val="single" w:sz="4" w:space="0" w:color="auto"/>
              <w:left w:val="nil"/>
              <w:bottom w:val="single" w:sz="4" w:space="0" w:color="auto"/>
              <w:right w:val="nil"/>
            </w:tcBorders>
            <w:shd w:val="clear" w:color="auto" w:fill="auto"/>
            <w:vAlign w:val="bottom"/>
          </w:tcPr>
          <w:p w14:paraId="4D59827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Variable and number of redemptions</w:t>
            </w:r>
          </w:p>
        </w:tc>
        <w:tc>
          <w:tcPr>
            <w:tcW w:w="0" w:type="auto"/>
            <w:tcBorders>
              <w:top w:val="single" w:sz="4" w:space="0" w:color="auto"/>
              <w:left w:val="nil"/>
              <w:bottom w:val="single" w:sz="4" w:space="0" w:color="auto"/>
              <w:right w:val="nil"/>
            </w:tcBorders>
            <w:shd w:val="clear" w:color="auto" w:fill="auto"/>
            <w:vAlign w:val="bottom"/>
          </w:tcPr>
          <w:p w14:paraId="7DEFCA60" w14:textId="77777777" w:rsidR="00B24A8F" w:rsidRPr="00B24A8F" w:rsidRDefault="00B24A8F" w:rsidP="000677B8">
            <w:pPr>
              <w:spacing w:after="0" w:line="240" w:lineRule="auto"/>
              <w:contextualSpacing/>
              <w:jc w:val="both"/>
              <w:rPr>
                <w:rFonts w:ascii="Times New Roman" w:eastAsia="Times New Roman" w:hAnsi="Times New Roman" w:cs="Times New Roman"/>
                <w:i/>
                <w:color w:val="000000"/>
                <w:sz w:val="24"/>
                <w:szCs w:val="24"/>
              </w:rPr>
            </w:pPr>
            <w:r w:rsidRPr="00B24A8F">
              <w:rPr>
                <w:rFonts w:ascii="Times New Roman" w:eastAsia="Times New Roman" w:hAnsi="Times New Roman" w:cs="Times New Roman"/>
                <w:i/>
                <w:color w:val="000000"/>
                <w:sz w:val="24"/>
                <w:szCs w:val="24"/>
              </w:rPr>
              <w:t>n</w:t>
            </w:r>
          </w:p>
        </w:tc>
        <w:tc>
          <w:tcPr>
            <w:tcW w:w="0" w:type="auto"/>
            <w:tcBorders>
              <w:top w:val="single" w:sz="4" w:space="0" w:color="auto"/>
              <w:left w:val="nil"/>
              <w:bottom w:val="single" w:sz="4" w:space="0" w:color="auto"/>
              <w:right w:val="nil"/>
            </w:tcBorders>
            <w:shd w:val="clear" w:color="auto" w:fill="auto"/>
            <w:vAlign w:val="bottom"/>
          </w:tcPr>
          <w:p w14:paraId="7333C453" w14:textId="77777777" w:rsidR="00B24A8F" w:rsidRPr="00B24A8F" w:rsidRDefault="00B24A8F" w:rsidP="000677B8">
            <w:pPr>
              <w:spacing w:after="0" w:line="240" w:lineRule="auto"/>
              <w:contextualSpacing/>
              <w:jc w:val="both"/>
              <w:rPr>
                <w:rFonts w:ascii="Times New Roman" w:eastAsia="Times New Roman" w:hAnsi="Times New Roman" w:cs="Times New Roman"/>
                <w:i/>
                <w:color w:val="000000"/>
                <w:sz w:val="24"/>
                <w:szCs w:val="24"/>
              </w:rPr>
            </w:pPr>
            <w:r w:rsidRPr="00B24A8F">
              <w:rPr>
                <w:rFonts w:ascii="Times New Roman" w:eastAsia="Times New Roman" w:hAnsi="Times New Roman" w:cs="Times New Roman"/>
                <w:i/>
                <w:color w:val="000000"/>
                <w:sz w:val="24"/>
                <w:szCs w:val="24"/>
              </w:rPr>
              <w:t>M</w:t>
            </w:r>
          </w:p>
        </w:tc>
        <w:tc>
          <w:tcPr>
            <w:tcW w:w="0" w:type="auto"/>
            <w:tcBorders>
              <w:top w:val="single" w:sz="4" w:space="0" w:color="auto"/>
              <w:left w:val="nil"/>
              <w:bottom w:val="single" w:sz="4" w:space="0" w:color="auto"/>
              <w:right w:val="nil"/>
            </w:tcBorders>
            <w:shd w:val="clear" w:color="auto" w:fill="auto"/>
            <w:vAlign w:val="bottom"/>
          </w:tcPr>
          <w:p w14:paraId="23FFA34F" w14:textId="77777777" w:rsidR="00B24A8F" w:rsidRPr="00B24A8F" w:rsidRDefault="00B24A8F" w:rsidP="000677B8">
            <w:pPr>
              <w:spacing w:after="0" w:line="240" w:lineRule="auto"/>
              <w:contextualSpacing/>
              <w:jc w:val="both"/>
              <w:rPr>
                <w:rFonts w:ascii="Times New Roman" w:eastAsia="Times New Roman" w:hAnsi="Times New Roman" w:cs="Times New Roman"/>
                <w:i/>
                <w:color w:val="000000"/>
                <w:sz w:val="24"/>
                <w:szCs w:val="24"/>
              </w:rPr>
            </w:pPr>
            <w:r w:rsidRPr="00B24A8F">
              <w:rPr>
                <w:rFonts w:ascii="Times New Roman" w:eastAsia="Times New Roman" w:hAnsi="Times New Roman" w:cs="Times New Roman"/>
                <w:i/>
                <w:color w:val="000000"/>
                <w:sz w:val="24"/>
                <w:szCs w:val="24"/>
              </w:rPr>
              <w:t>SD</w:t>
            </w:r>
          </w:p>
        </w:tc>
        <w:tc>
          <w:tcPr>
            <w:tcW w:w="0" w:type="auto"/>
            <w:tcBorders>
              <w:top w:val="single" w:sz="4" w:space="0" w:color="auto"/>
              <w:left w:val="nil"/>
              <w:bottom w:val="single" w:sz="4" w:space="0" w:color="auto"/>
              <w:right w:val="nil"/>
            </w:tcBorders>
            <w:shd w:val="clear" w:color="auto" w:fill="auto"/>
            <w:vAlign w:val="bottom"/>
          </w:tcPr>
          <w:p w14:paraId="2128CA9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vertAlign w:val="superscript"/>
              </w:rPr>
            </w:pPr>
            <w:r w:rsidRPr="00B24A8F">
              <w:rPr>
                <w:rFonts w:ascii="Times New Roman" w:eastAsia="Times New Roman" w:hAnsi="Times New Roman" w:cs="Times New Roman"/>
                <w:i/>
                <w:color w:val="000000"/>
                <w:sz w:val="24"/>
                <w:szCs w:val="24"/>
              </w:rPr>
              <w:t>r</w:t>
            </w:r>
            <w:r w:rsidRPr="00B24A8F">
              <w:rPr>
                <w:rFonts w:ascii="Times New Roman" w:eastAsia="Times New Roman" w:hAnsi="Times New Roman" w:cs="Times New Roman"/>
                <w:i/>
                <w:color w:val="000000"/>
                <w:sz w:val="24"/>
                <w:szCs w:val="24"/>
                <w:vertAlign w:val="subscript"/>
              </w:rPr>
              <w:t>s</w:t>
            </w:r>
          </w:p>
        </w:tc>
        <w:tc>
          <w:tcPr>
            <w:tcW w:w="0" w:type="auto"/>
            <w:tcBorders>
              <w:top w:val="single" w:sz="4" w:space="0" w:color="auto"/>
              <w:left w:val="nil"/>
              <w:bottom w:val="single" w:sz="4" w:space="0" w:color="auto"/>
              <w:right w:val="nil"/>
            </w:tcBorders>
            <w:shd w:val="clear" w:color="auto" w:fill="auto"/>
            <w:vAlign w:val="bottom"/>
          </w:tcPr>
          <w:p w14:paraId="34F1DCB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Calibri" w:hAnsi="Times New Roman" w:cs="Times New Roman"/>
                <w:sz w:val="24"/>
                <w:szCs w:val="24"/>
              </w:rPr>
              <w:t>χ</w:t>
            </w:r>
            <w:r w:rsidRPr="00B24A8F">
              <w:rPr>
                <w:rFonts w:ascii="Times New Roman" w:eastAsia="Calibri" w:hAnsi="Times New Roman" w:cs="Times New Roman"/>
                <w:sz w:val="24"/>
                <w:szCs w:val="24"/>
                <w:vertAlign w:val="superscript"/>
              </w:rPr>
              <w:t>2</w:t>
            </w:r>
          </w:p>
        </w:tc>
        <w:tc>
          <w:tcPr>
            <w:tcW w:w="0" w:type="auto"/>
            <w:tcBorders>
              <w:top w:val="single" w:sz="4" w:space="0" w:color="auto"/>
              <w:left w:val="nil"/>
              <w:bottom w:val="single" w:sz="4" w:space="0" w:color="auto"/>
              <w:right w:val="nil"/>
            </w:tcBorders>
            <w:shd w:val="clear" w:color="auto" w:fill="auto"/>
            <w:vAlign w:val="bottom"/>
          </w:tcPr>
          <w:p w14:paraId="3DAD906E" w14:textId="77777777" w:rsidR="00B24A8F" w:rsidRPr="00B24A8F" w:rsidRDefault="00B24A8F" w:rsidP="000677B8">
            <w:pPr>
              <w:spacing w:after="0" w:line="240" w:lineRule="auto"/>
              <w:contextualSpacing/>
              <w:jc w:val="both"/>
              <w:rPr>
                <w:rFonts w:ascii="Times New Roman" w:eastAsia="Times New Roman" w:hAnsi="Times New Roman" w:cs="Times New Roman"/>
                <w:i/>
                <w:color w:val="000000"/>
                <w:sz w:val="24"/>
                <w:szCs w:val="24"/>
              </w:rPr>
            </w:pPr>
            <w:r w:rsidRPr="00B24A8F">
              <w:rPr>
                <w:rFonts w:ascii="Times New Roman" w:eastAsia="Times New Roman" w:hAnsi="Times New Roman" w:cs="Times New Roman"/>
                <w:i/>
                <w:color w:val="000000"/>
                <w:sz w:val="24"/>
                <w:szCs w:val="24"/>
              </w:rPr>
              <w:t>p</w:t>
            </w:r>
          </w:p>
        </w:tc>
      </w:tr>
      <w:tr w:rsidR="00B24A8F" w:rsidRPr="00B24A8F" w14:paraId="38F9CBE8" w14:textId="77777777" w:rsidTr="00B24A8F">
        <w:tc>
          <w:tcPr>
            <w:tcW w:w="2459" w:type="pct"/>
            <w:tcBorders>
              <w:top w:val="single" w:sz="4" w:space="0" w:color="auto"/>
              <w:left w:val="nil"/>
              <w:bottom w:val="nil"/>
              <w:right w:val="nil"/>
            </w:tcBorders>
            <w:shd w:val="clear" w:color="auto" w:fill="auto"/>
            <w:vAlign w:val="bottom"/>
            <w:hideMark/>
          </w:tcPr>
          <w:p w14:paraId="4F9D1FE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Trips per month (CV)</w:t>
            </w:r>
          </w:p>
        </w:tc>
        <w:tc>
          <w:tcPr>
            <w:tcW w:w="0" w:type="auto"/>
            <w:tcBorders>
              <w:top w:val="single" w:sz="4" w:space="0" w:color="auto"/>
              <w:left w:val="nil"/>
              <w:bottom w:val="nil"/>
              <w:right w:val="nil"/>
            </w:tcBorders>
            <w:shd w:val="clear" w:color="auto" w:fill="auto"/>
            <w:vAlign w:val="bottom"/>
            <w:hideMark/>
          </w:tcPr>
          <w:p w14:paraId="59DEC5E0"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single" w:sz="4" w:space="0" w:color="auto"/>
              <w:left w:val="nil"/>
              <w:bottom w:val="nil"/>
              <w:right w:val="nil"/>
            </w:tcBorders>
            <w:shd w:val="clear" w:color="auto" w:fill="auto"/>
            <w:vAlign w:val="bottom"/>
            <w:hideMark/>
          </w:tcPr>
          <w:p w14:paraId="525A091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single" w:sz="4" w:space="0" w:color="auto"/>
              <w:left w:val="nil"/>
              <w:bottom w:val="nil"/>
              <w:right w:val="nil"/>
            </w:tcBorders>
            <w:shd w:val="clear" w:color="auto" w:fill="auto"/>
            <w:vAlign w:val="bottom"/>
            <w:hideMark/>
          </w:tcPr>
          <w:p w14:paraId="631C056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single" w:sz="4" w:space="0" w:color="auto"/>
              <w:left w:val="nil"/>
              <w:bottom w:val="nil"/>
              <w:right w:val="nil"/>
            </w:tcBorders>
            <w:shd w:val="clear" w:color="auto" w:fill="auto"/>
            <w:vAlign w:val="bottom"/>
            <w:hideMark/>
          </w:tcPr>
          <w:p w14:paraId="45085440" w14:textId="5B1458A6" w:rsidR="00B24A8F" w:rsidRPr="00B24A8F" w:rsidRDefault="00F2592A" w:rsidP="000677B8">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00B24A8F" w:rsidRPr="00B24A8F">
              <w:rPr>
                <w:rFonts w:ascii="Times New Roman" w:eastAsia="Times New Roman" w:hAnsi="Times New Roman" w:cs="Times New Roman"/>
                <w:color w:val="000000"/>
                <w:sz w:val="24"/>
                <w:szCs w:val="24"/>
              </w:rPr>
              <w:t>.25</w:t>
            </w:r>
          </w:p>
        </w:tc>
        <w:tc>
          <w:tcPr>
            <w:tcW w:w="0" w:type="auto"/>
            <w:tcBorders>
              <w:top w:val="single" w:sz="4" w:space="0" w:color="auto"/>
              <w:left w:val="nil"/>
              <w:bottom w:val="nil"/>
              <w:right w:val="nil"/>
            </w:tcBorders>
            <w:shd w:val="clear" w:color="auto" w:fill="auto"/>
            <w:vAlign w:val="bottom"/>
            <w:hideMark/>
          </w:tcPr>
          <w:p w14:paraId="6B95038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675.01</w:t>
            </w:r>
          </w:p>
        </w:tc>
        <w:tc>
          <w:tcPr>
            <w:tcW w:w="0" w:type="auto"/>
            <w:tcBorders>
              <w:top w:val="single" w:sz="4" w:space="0" w:color="auto"/>
              <w:left w:val="nil"/>
              <w:bottom w:val="nil"/>
              <w:right w:val="nil"/>
            </w:tcBorders>
            <w:shd w:val="clear" w:color="auto" w:fill="auto"/>
            <w:vAlign w:val="bottom"/>
            <w:hideMark/>
          </w:tcPr>
          <w:p w14:paraId="4EB60C11" w14:textId="4128E90E" w:rsidR="00B24A8F" w:rsidRPr="00B24A8F" w:rsidRDefault="00F2592A" w:rsidP="000677B8">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00B24A8F" w:rsidRPr="00B24A8F">
              <w:rPr>
                <w:rFonts w:ascii="Times New Roman" w:eastAsia="Times New Roman" w:hAnsi="Times New Roman" w:cs="Times New Roman"/>
                <w:color w:val="000000"/>
                <w:sz w:val="24"/>
                <w:szCs w:val="24"/>
              </w:rPr>
              <w:t>.001</w:t>
            </w:r>
          </w:p>
        </w:tc>
      </w:tr>
      <w:tr w:rsidR="00B24A8F" w:rsidRPr="00B24A8F" w14:paraId="7E1BA640" w14:textId="77777777" w:rsidTr="00B24A8F">
        <w:tc>
          <w:tcPr>
            <w:tcW w:w="2459" w:type="pct"/>
            <w:tcBorders>
              <w:top w:val="nil"/>
              <w:left w:val="nil"/>
              <w:bottom w:val="nil"/>
              <w:right w:val="nil"/>
            </w:tcBorders>
            <w:shd w:val="clear" w:color="auto" w:fill="auto"/>
            <w:hideMark/>
          </w:tcPr>
          <w:p w14:paraId="6210540D"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None</w:t>
            </w:r>
          </w:p>
        </w:tc>
        <w:tc>
          <w:tcPr>
            <w:tcW w:w="0" w:type="auto"/>
            <w:tcBorders>
              <w:top w:val="nil"/>
              <w:left w:val="nil"/>
              <w:bottom w:val="nil"/>
              <w:right w:val="nil"/>
            </w:tcBorders>
            <w:shd w:val="clear" w:color="auto" w:fill="auto"/>
            <w:noWrap/>
            <w:hideMark/>
          </w:tcPr>
          <w:p w14:paraId="27756F9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5,796</w:t>
            </w:r>
          </w:p>
        </w:tc>
        <w:tc>
          <w:tcPr>
            <w:tcW w:w="0" w:type="auto"/>
            <w:tcBorders>
              <w:top w:val="nil"/>
              <w:left w:val="nil"/>
              <w:bottom w:val="nil"/>
              <w:right w:val="nil"/>
            </w:tcBorders>
            <w:shd w:val="clear" w:color="auto" w:fill="auto"/>
            <w:noWrap/>
            <w:hideMark/>
          </w:tcPr>
          <w:p w14:paraId="5F46807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-0.17</w:t>
            </w:r>
          </w:p>
        </w:tc>
        <w:tc>
          <w:tcPr>
            <w:tcW w:w="0" w:type="auto"/>
            <w:tcBorders>
              <w:top w:val="nil"/>
              <w:left w:val="nil"/>
              <w:bottom w:val="nil"/>
              <w:right w:val="nil"/>
            </w:tcBorders>
            <w:shd w:val="clear" w:color="auto" w:fill="auto"/>
            <w:noWrap/>
            <w:hideMark/>
          </w:tcPr>
          <w:p w14:paraId="2EBA5CA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1.22</w:t>
            </w:r>
          </w:p>
        </w:tc>
        <w:tc>
          <w:tcPr>
            <w:tcW w:w="0" w:type="auto"/>
            <w:tcBorders>
              <w:top w:val="nil"/>
              <w:left w:val="nil"/>
              <w:bottom w:val="nil"/>
              <w:right w:val="nil"/>
            </w:tcBorders>
            <w:shd w:val="clear" w:color="auto" w:fill="auto"/>
            <w:noWrap/>
            <w:hideMark/>
          </w:tcPr>
          <w:p w14:paraId="3E82025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1CA14F07"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73617D9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3C75D26E" w14:textId="77777777" w:rsidTr="00B24A8F">
        <w:tc>
          <w:tcPr>
            <w:tcW w:w="2459" w:type="pct"/>
            <w:tcBorders>
              <w:top w:val="nil"/>
              <w:left w:val="nil"/>
              <w:bottom w:val="nil"/>
              <w:right w:val="nil"/>
            </w:tcBorders>
            <w:shd w:val="clear" w:color="auto" w:fill="auto"/>
            <w:hideMark/>
          </w:tcPr>
          <w:p w14:paraId="05C5DF76"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 time</w:t>
            </w:r>
          </w:p>
        </w:tc>
        <w:tc>
          <w:tcPr>
            <w:tcW w:w="0" w:type="auto"/>
            <w:tcBorders>
              <w:top w:val="nil"/>
              <w:left w:val="nil"/>
              <w:bottom w:val="nil"/>
              <w:right w:val="nil"/>
            </w:tcBorders>
            <w:shd w:val="clear" w:color="auto" w:fill="auto"/>
            <w:noWrap/>
            <w:hideMark/>
          </w:tcPr>
          <w:p w14:paraId="131A6F3D"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1,189</w:t>
            </w:r>
          </w:p>
        </w:tc>
        <w:tc>
          <w:tcPr>
            <w:tcW w:w="0" w:type="auto"/>
            <w:tcBorders>
              <w:top w:val="nil"/>
              <w:left w:val="nil"/>
              <w:bottom w:val="nil"/>
              <w:right w:val="nil"/>
            </w:tcBorders>
            <w:shd w:val="clear" w:color="auto" w:fill="auto"/>
            <w:noWrap/>
            <w:hideMark/>
          </w:tcPr>
          <w:p w14:paraId="782A219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-0.05</w:t>
            </w:r>
          </w:p>
        </w:tc>
        <w:tc>
          <w:tcPr>
            <w:tcW w:w="0" w:type="auto"/>
            <w:tcBorders>
              <w:top w:val="nil"/>
              <w:left w:val="nil"/>
              <w:bottom w:val="nil"/>
              <w:right w:val="nil"/>
            </w:tcBorders>
            <w:shd w:val="clear" w:color="auto" w:fill="auto"/>
            <w:noWrap/>
            <w:hideMark/>
          </w:tcPr>
          <w:p w14:paraId="0356B08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1.03</w:t>
            </w:r>
          </w:p>
        </w:tc>
        <w:tc>
          <w:tcPr>
            <w:tcW w:w="0" w:type="auto"/>
            <w:tcBorders>
              <w:top w:val="nil"/>
              <w:left w:val="nil"/>
              <w:bottom w:val="nil"/>
              <w:right w:val="nil"/>
            </w:tcBorders>
            <w:shd w:val="clear" w:color="auto" w:fill="auto"/>
            <w:noWrap/>
            <w:hideMark/>
          </w:tcPr>
          <w:p w14:paraId="2FBF5129"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5999601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6C095103"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7D698C69" w14:textId="77777777" w:rsidTr="00B24A8F">
        <w:tc>
          <w:tcPr>
            <w:tcW w:w="2459" w:type="pct"/>
            <w:tcBorders>
              <w:top w:val="nil"/>
              <w:left w:val="nil"/>
              <w:bottom w:val="nil"/>
              <w:right w:val="nil"/>
            </w:tcBorders>
            <w:shd w:val="clear" w:color="auto" w:fill="auto"/>
            <w:hideMark/>
          </w:tcPr>
          <w:p w14:paraId="0F16A6FF"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2-3 times</w:t>
            </w:r>
          </w:p>
        </w:tc>
        <w:tc>
          <w:tcPr>
            <w:tcW w:w="0" w:type="auto"/>
            <w:tcBorders>
              <w:top w:val="nil"/>
              <w:left w:val="nil"/>
              <w:bottom w:val="nil"/>
              <w:right w:val="nil"/>
            </w:tcBorders>
            <w:shd w:val="clear" w:color="auto" w:fill="auto"/>
            <w:noWrap/>
            <w:hideMark/>
          </w:tcPr>
          <w:p w14:paraId="731140B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1,226</w:t>
            </w:r>
          </w:p>
        </w:tc>
        <w:tc>
          <w:tcPr>
            <w:tcW w:w="0" w:type="auto"/>
            <w:tcBorders>
              <w:top w:val="nil"/>
              <w:left w:val="nil"/>
              <w:bottom w:val="nil"/>
              <w:right w:val="nil"/>
            </w:tcBorders>
            <w:shd w:val="clear" w:color="auto" w:fill="auto"/>
            <w:noWrap/>
            <w:hideMark/>
          </w:tcPr>
          <w:p w14:paraId="77ED135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0.09</w:t>
            </w:r>
          </w:p>
        </w:tc>
        <w:tc>
          <w:tcPr>
            <w:tcW w:w="0" w:type="auto"/>
            <w:tcBorders>
              <w:top w:val="nil"/>
              <w:left w:val="nil"/>
              <w:bottom w:val="nil"/>
              <w:right w:val="nil"/>
            </w:tcBorders>
            <w:shd w:val="clear" w:color="auto" w:fill="auto"/>
            <w:noWrap/>
            <w:hideMark/>
          </w:tcPr>
          <w:p w14:paraId="5D0B962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1.16</w:t>
            </w:r>
          </w:p>
        </w:tc>
        <w:tc>
          <w:tcPr>
            <w:tcW w:w="0" w:type="auto"/>
            <w:tcBorders>
              <w:top w:val="nil"/>
              <w:left w:val="nil"/>
              <w:bottom w:val="nil"/>
              <w:right w:val="nil"/>
            </w:tcBorders>
            <w:shd w:val="clear" w:color="auto" w:fill="auto"/>
            <w:noWrap/>
            <w:hideMark/>
          </w:tcPr>
          <w:p w14:paraId="208BE36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31A0D292"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01BAFC3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66566703" w14:textId="77777777" w:rsidTr="00B24A8F">
        <w:tc>
          <w:tcPr>
            <w:tcW w:w="2459" w:type="pct"/>
            <w:tcBorders>
              <w:top w:val="nil"/>
              <w:left w:val="nil"/>
              <w:bottom w:val="nil"/>
              <w:right w:val="nil"/>
            </w:tcBorders>
            <w:shd w:val="clear" w:color="auto" w:fill="auto"/>
            <w:hideMark/>
          </w:tcPr>
          <w:p w14:paraId="553C8338"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4-6 times</w:t>
            </w:r>
          </w:p>
        </w:tc>
        <w:tc>
          <w:tcPr>
            <w:tcW w:w="0" w:type="auto"/>
            <w:tcBorders>
              <w:top w:val="nil"/>
              <w:left w:val="nil"/>
              <w:bottom w:val="nil"/>
              <w:right w:val="nil"/>
            </w:tcBorders>
            <w:shd w:val="clear" w:color="auto" w:fill="auto"/>
            <w:noWrap/>
            <w:hideMark/>
          </w:tcPr>
          <w:p w14:paraId="0D82DB7B"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720</w:t>
            </w:r>
          </w:p>
        </w:tc>
        <w:tc>
          <w:tcPr>
            <w:tcW w:w="0" w:type="auto"/>
            <w:tcBorders>
              <w:top w:val="nil"/>
              <w:left w:val="nil"/>
              <w:bottom w:val="nil"/>
              <w:right w:val="nil"/>
            </w:tcBorders>
            <w:shd w:val="clear" w:color="auto" w:fill="auto"/>
            <w:noWrap/>
            <w:hideMark/>
          </w:tcPr>
          <w:p w14:paraId="702AB2E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0.46</w:t>
            </w:r>
          </w:p>
        </w:tc>
        <w:tc>
          <w:tcPr>
            <w:tcW w:w="0" w:type="auto"/>
            <w:tcBorders>
              <w:top w:val="nil"/>
              <w:left w:val="nil"/>
              <w:bottom w:val="nil"/>
              <w:right w:val="nil"/>
            </w:tcBorders>
            <w:shd w:val="clear" w:color="auto" w:fill="auto"/>
            <w:noWrap/>
            <w:hideMark/>
          </w:tcPr>
          <w:p w14:paraId="311D609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1.70</w:t>
            </w:r>
          </w:p>
        </w:tc>
        <w:tc>
          <w:tcPr>
            <w:tcW w:w="0" w:type="auto"/>
            <w:tcBorders>
              <w:top w:val="nil"/>
              <w:left w:val="nil"/>
              <w:bottom w:val="nil"/>
              <w:right w:val="nil"/>
            </w:tcBorders>
            <w:shd w:val="clear" w:color="auto" w:fill="auto"/>
            <w:noWrap/>
            <w:hideMark/>
          </w:tcPr>
          <w:p w14:paraId="4F0F6EA0"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1E13CDF0"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78D0338B"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1925C736" w14:textId="77777777" w:rsidTr="00B24A8F">
        <w:tc>
          <w:tcPr>
            <w:tcW w:w="2459" w:type="pct"/>
            <w:tcBorders>
              <w:top w:val="nil"/>
              <w:left w:val="nil"/>
              <w:bottom w:val="nil"/>
              <w:right w:val="nil"/>
            </w:tcBorders>
            <w:shd w:val="clear" w:color="auto" w:fill="auto"/>
            <w:hideMark/>
          </w:tcPr>
          <w:p w14:paraId="1BBAC053"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7+ times</w:t>
            </w:r>
          </w:p>
        </w:tc>
        <w:tc>
          <w:tcPr>
            <w:tcW w:w="0" w:type="auto"/>
            <w:tcBorders>
              <w:top w:val="nil"/>
              <w:left w:val="nil"/>
              <w:bottom w:val="nil"/>
              <w:right w:val="nil"/>
            </w:tcBorders>
            <w:shd w:val="clear" w:color="auto" w:fill="auto"/>
            <w:noWrap/>
            <w:hideMark/>
          </w:tcPr>
          <w:p w14:paraId="6670E8A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637</w:t>
            </w:r>
          </w:p>
        </w:tc>
        <w:tc>
          <w:tcPr>
            <w:tcW w:w="0" w:type="auto"/>
            <w:tcBorders>
              <w:top w:val="nil"/>
              <w:left w:val="nil"/>
              <w:bottom w:val="nil"/>
              <w:right w:val="nil"/>
            </w:tcBorders>
            <w:shd w:val="clear" w:color="auto" w:fill="auto"/>
            <w:noWrap/>
            <w:hideMark/>
          </w:tcPr>
          <w:p w14:paraId="149A0080"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1.31</w:t>
            </w:r>
          </w:p>
        </w:tc>
        <w:tc>
          <w:tcPr>
            <w:tcW w:w="0" w:type="auto"/>
            <w:tcBorders>
              <w:top w:val="nil"/>
              <w:left w:val="nil"/>
              <w:bottom w:val="nil"/>
              <w:right w:val="nil"/>
            </w:tcBorders>
            <w:shd w:val="clear" w:color="auto" w:fill="auto"/>
            <w:noWrap/>
            <w:hideMark/>
          </w:tcPr>
          <w:p w14:paraId="7311D9F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2.81</w:t>
            </w:r>
          </w:p>
        </w:tc>
        <w:tc>
          <w:tcPr>
            <w:tcW w:w="0" w:type="auto"/>
            <w:tcBorders>
              <w:top w:val="nil"/>
              <w:left w:val="nil"/>
              <w:bottom w:val="nil"/>
              <w:right w:val="nil"/>
            </w:tcBorders>
            <w:shd w:val="clear" w:color="auto" w:fill="auto"/>
            <w:noWrap/>
            <w:hideMark/>
          </w:tcPr>
          <w:p w14:paraId="0EE3735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46CC49F0"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263D4FA9"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23B799B0" w14:textId="77777777" w:rsidTr="00B24A8F">
        <w:tc>
          <w:tcPr>
            <w:tcW w:w="2459" w:type="pct"/>
            <w:tcBorders>
              <w:top w:val="nil"/>
              <w:left w:val="nil"/>
              <w:bottom w:val="nil"/>
              <w:right w:val="nil"/>
            </w:tcBorders>
            <w:shd w:val="clear" w:color="auto" w:fill="auto"/>
            <w:hideMark/>
          </w:tcPr>
          <w:p w14:paraId="59581AA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Average amount spent per visit</w:t>
            </w:r>
          </w:p>
        </w:tc>
        <w:tc>
          <w:tcPr>
            <w:tcW w:w="0" w:type="auto"/>
            <w:tcBorders>
              <w:top w:val="nil"/>
              <w:left w:val="nil"/>
              <w:bottom w:val="nil"/>
              <w:right w:val="nil"/>
            </w:tcBorders>
            <w:shd w:val="clear" w:color="auto" w:fill="auto"/>
            <w:noWrap/>
            <w:hideMark/>
          </w:tcPr>
          <w:p w14:paraId="2403C08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3EFCD90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051F867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257551CD" w14:textId="3699B105" w:rsidR="00B24A8F" w:rsidRPr="00B24A8F" w:rsidRDefault="00F2592A" w:rsidP="000677B8">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00B24A8F" w:rsidRPr="00B24A8F">
              <w:rPr>
                <w:rFonts w:ascii="Times New Roman" w:eastAsia="Times New Roman" w:hAnsi="Times New Roman" w:cs="Times New Roman"/>
                <w:color w:val="000000"/>
                <w:sz w:val="24"/>
                <w:szCs w:val="24"/>
              </w:rPr>
              <w:t>.17</w:t>
            </w:r>
          </w:p>
        </w:tc>
        <w:tc>
          <w:tcPr>
            <w:tcW w:w="0" w:type="auto"/>
            <w:tcBorders>
              <w:top w:val="nil"/>
              <w:left w:val="nil"/>
              <w:bottom w:val="nil"/>
              <w:right w:val="nil"/>
            </w:tcBorders>
            <w:shd w:val="clear" w:color="auto" w:fill="auto"/>
            <w:noWrap/>
            <w:hideMark/>
          </w:tcPr>
          <w:p w14:paraId="20CFFA85"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271.30</w:t>
            </w:r>
          </w:p>
        </w:tc>
        <w:tc>
          <w:tcPr>
            <w:tcW w:w="0" w:type="auto"/>
            <w:tcBorders>
              <w:top w:val="nil"/>
              <w:left w:val="nil"/>
              <w:bottom w:val="nil"/>
              <w:right w:val="nil"/>
            </w:tcBorders>
            <w:shd w:val="clear" w:color="auto" w:fill="auto"/>
            <w:noWrap/>
            <w:hideMark/>
          </w:tcPr>
          <w:p w14:paraId="65CA7A02" w14:textId="59818890" w:rsidR="00B24A8F" w:rsidRPr="00B24A8F" w:rsidRDefault="00F2592A" w:rsidP="000677B8">
            <w:pPr>
              <w:spacing w:after="0" w:line="240" w:lineRule="auto"/>
              <w:contextualSpacing/>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00B24A8F" w:rsidRPr="00B24A8F">
              <w:rPr>
                <w:rFonts w:ascii="Times New Roman" w:eastAsia="Times New Roman" w:hAnsi="Times New Roman" w:cs="Times New Roman"/>
                <w:color w:val="000000"/>
                <w:sz w:val="24"/>
                <w:szCs w:val="24"/>
              </w:rPr>
              <w:t>.001</w:t>
            </w:r>
          </w:p>
        </w:tc>
      </w:tr>
      <w:tr w:rsidR="00B24A8F" w:rsidRPr="00B24A8F" w14:paraId="3BF89234" w14:textId="77777777" w:rsidTr="00B24A8F">
        <w:tc>
          <w:tcPr>
            <w:tcW w:w="2459" w:type="pct"/>
            <w:tcBorders>
              <w:top w:val="nil"/>
              <w:left w:val="nil"/>
              <w:bottom w:val="nil"/>
              <w:right w:val="nil"/>
            </w:tcBorders>
            <w:shd w:val="clear" w:color="auto" w:fill="auto"/>
            <w:hideMark/>
          </w:tcPr>
          <w:p w14:paraId="558FAB2F"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None</w:t>
            </w:r>
          </w:p>
        </w:tc>
        <w:tc>
          <w:tcPr>
            <w:tcW w:w="0" w:type="auto"/>
            <w:tcBorders>
              <w:top w:val="nil"/>
              <w:left w:val="nil"/>
              <w:bottom w:val="nil"/>
              <w:right w:val="nil"/>
            </w:tcBorders>
            <w:shd w:val="clear" w:color="auto" w:fill="auto"/>
            <w:noWrap/>
            <w:hideMark/>
          </w:tcPr>
          <w:p w14:paraId="03A7176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5,796</w:t>
            </w:r>
          </w:p>
        </w:tc>
        <w:tc>
          <w:tcPr>
            <w:tcW w:w="0" w:type="auto"/>
            <w:tcBorders>
              <w:top w:val="nil"/>
              <w:left w:val="nil"/>
              <w:bottom w:val="nil"/>
              <w:right w:val="nil"/>
            </w:tcBorders>
            <w:shd w:val="clear" w:color="auto" w:fill="auto"/>
            <w:noWrap/>
            <w:hideMark/>
          </w:tcPr>
          <w:p w14:paraId="3C39580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-9.59</w:t>
            </w:r>
          </w:p>
        </w:tc>
        <w:tc>
          <w:tcPr>
            <w:tcW w:w="0" w:type="auto"/>
            <w:tcBorders>
              <w:top w:val="nil"/>
              <w:left w:val="nil"/>
              <w:bottom w:val="nil"/>
              <w:right w:val="nil"/>
            </w:tcBorders>
            <w:shd w:val="clear" w:color="auto" w:fill="auto"/>
            <w:noWrap/>
            <w:hideMark/>
          </w:tcPr>
          <w:p w14:paraId="7EF3ED2B"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80.52</w:t>
            </w:r>
          </w:p>
        </w:tc>
        <w:tc>
          <w:tcPr>
            <w:tcW w:w="0" w:type="auto"/>
            <w:tcBorders>
              <w:top w:val="nil"/>
              <w:left w:val="nil"/>
              <w:bottom w:val="nil"/>
              <w:right w:val="nil"/>
            </w:tcBorders>
            <w:shd w:val="clear" w:color="auto" w:fill="auto"/>
            <w:noWrap/>
            <w:hideMark/>
          </w:tcPr>
          <w:p w14:paraId="6EDE93E3"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6BDC62AC"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00C26064"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6A5A55E1" w14:textId="77777777" w:rsidTr="00B24A8F">
        <w:tc>
          <w:tcPr>
            <w:tcW w:w="2459" w:type="pct"/>
            <w:tcBorders>
              <w:top w:val="nil"/>
              <w:left w:val="nil"/>
              <w:bottom w:val="nil"/>
              <w:right w:val="nil"/>
            </w:tcBorders>
            <w:shd w:val="clear" w:color="auto" w:fill="auto"/>
            <w:hideMark/>
          </w:tcPr>
          <w:p w14:paraId="4A0D9F5F"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 time</w:t>
            </w:r>
          </w:p>
        </w:tc>
        <w:tc>
          <w:tcPr>
            <w:tcW w:w="0" w:type="auto"/>
            <w:tcBorders>
              <w:top w:val="nil"/>
              <w:left w:val="nil"/>
              <w:bottom w:val="nil"/>
              <w:right w:val="nil"/>
            </w:tcBorders>
            <w:shd w:val="clear" w:color="auto" w:fill="auto"/>
            <w:noWrap/>
            <w:hideMark/>
          </w:tcPr>
          <w:p w14:paraId="07A7D39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1,189</w:t>
            </w:r>
          </w:p>
        </w:tc>
        <w:tc>
          <w:tcPr>
            <w:tcW w:w="0" w:type="auto"/>
            <w:tcBorders>
              <w:top w:val="nil"/>
              <w:left w:val="nil"/>
              <w:bottom w:val="nil"/>
              <w:right w:val="nil"/>
            </w:tcBorders>
            <w:shd w:val="clear" w:color="auto" w:fill="auto"/>
            <w:noWrap/>
            <w:hideMark/>
          </w:tcPr>
          <w:p w14:paraId="4C6CCD53"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3.44</w:t>
            </w:r>
          </w:p>
        </w:tc>
        <w:tc>
          <w:tcPr>
            <w:tcW w:w="0" w:type="auto"/>
            <w:tcBorders>
              <w:top w:val="nil"/>
              <w:left w:val="nil"/>
              <w:bottom w:val="nil"/>
              <w:right w:val="nil"/>
            </w:tcBorders>
            <w:shd w:val="clear" w:color="auto" w:fill="auto"/>
            <w:noWrap/>
            <w:hideMark/>
          </w:tcPr>
          <w:p w14:paraId="050DCCF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88.47</w:t>
            </w:r>
          </w:p>
        </w:tc>
        <w:tc>
          <w:tcPr>
            <w:tcW w:w="0" w:type="auto"/>
            <w:tcBorders>
              <w:top w:val="nil"/>
              <w:left w:val="nil"/>
              <w:bottom w:val="nil"/>
              <w:right w:val="nil"/>
            </w:tcBorders>
            <w:shd w:val="clear" w:color="auto" w:fill="auto"/>
            <w:noWrap/>
            <w:hideMark/>
          </w:tcPr>
          <w:p w14:paraId="7D7CAAB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32AF2FC3"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05C825A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64787487" w14:textId="77777777" w:rsidTr="00B24A8F">
        <w:tc>
          <w:tcPr>
            <w:tcW w:w="2459" w:type="pct"/>
            <w:tcBorders>
              <w:top w:val="nil"/>
              <w:left w:val="nil"/>
              <w:bottom w:val="nil"/>
              <w:right w:val="nil"/>
            </w:tcBorders>
            <w:shd w:val="clear" w:color="auto" w:fill="auto"/>
            <w:hideMark/>
          </w:tcPr>
          <w:p w14:paraId="269D987E"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2-3 times</w:t>
            </w:r>
          </w:p>
        </w:tc>
        <w:tc>
          <w:tcPr>
            <w:tcW w:w="0" w:type="auto"/>
            <w:tcBorders>
              <w:top w:val="nil"/>
              <w:left w:val="nil"/>
              <w:bottom w:val="nil"/>
              <w:right w:val="nil"/>
            </w:tcBorders>
            <w:shd w:val="clear" w:color="auto" w:fill="auto"/>
            <w:noWrap/>
            <w:hideMark/>
          </w:tcPr>
          <w:p w14:paraId="06EFE80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1,226</w:t>
            </w:r>
          </w:p>
        </w:tc>
        <w:tc>
          <w:tcPr>
            <w:tcW w:w="0" w:type="auto"/>
            <w:tcBorders>
              <w:top w:val="nil"/>
              <w:left w:val="nil"/>
              <w:bottom w:val="nil"/>
              <w:right w:val="nil"/>
            </w:tcBorders>
            <w:shd w:val="clear" w:color="auto" w:fill="auto"/>
            <w:noWrap/>
            <w:hideMark/>
          </w:tcPr>
          <w:p w14:paraId="3CA413C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5.19</w:t>
            </w:r>
          </w:p>
        </w:tc>
        <w:tc>
          <w:tcPr>
            <w:tcW w:w="0" w:type="auto"/>
            <w:tcBorders>
              <w:top w:val="nil"/>
              <w:left w:val="nil"/>
              <w:bottom w:val="nil"/>
              <w:right w:val="nil"/>
            </w:tcBorders>
            <w:shd w:val="clear" w:color="auto" w:fill="auto"/>
            <w:noWrap/>
            <w:hideMark/>
          </w:tcPr>
          <w:p w14:paraId="7D969F16"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86.23</w:t>
            </w:r>
          </w:p>
        </w:tc>
        <w:tc>
          <w:tcPr>
            <w:tcW w:w="0" w:type="auto"/>
            <w:tcBorders>
              <w:top w:val="nil"/>
              <w:left w:val="nil"/>
              <w:bottom w:val="nil"/>
              <w:right w:val="nil"/>
            </w:tcBorders>
            <w:shd w:val="clear" w:color="auto" w:fill="auto"/>
            <w:noWrap/>
            <w:hideMark/>
          </w:tcPr>
          <w:p w14:paraId="1662163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4BFBF6C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nil"/>
              <w:right w:val="nil"/>
            </w:tcBorders>
            <w:shd w:val="clear" w:color="auto" w:fill="auto"/>
            <w:noWrap/>
            <w:hideMark/>
          </w:tcPr>
          <w:p w14:paraId="1C3626BA"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678D9350" w14:textId="77777777" w:rsidTr="00B24A8F">
        <w:tc>
          <w:tcPr>
            <w:tcW w:w="2459" w:type="pct"/>
            <w:tcBorders>
              <w:top w:val="nil"/>
              <w:left w:val="nil"/>
              <w:right w:val="nil"/>
            </w:tcBorders>
            <w:shd w:val="clear" w:color="auto" w:fill="auto"/>
            <w:hideMark/>
          </w:tcPr>
          <w:p w14:paraId="7C1B3967"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4-6 times</w:t>
            </w:r>
          </w:p>
        </w:tc>
        <w:tc>
          <w:tcPr>
            <w:tcW w:w="0" w:type="auto"/>
            <w:tcBorders>
              <w:top w:val="nil"/>
              <w:left w:val="nil"/>
              <w:right w:val="nil"/>
            </w:tcBorders>
            <w:shd w:val="clear" w:color="auto" w:fill="auto"/>
            <w:noWrap/>
            <w:hideMark/>
          </w:tcPr>
          <w:p w14:paraId="3B7626D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720</w:t>
            </w:r>
          </w:p>
        </w:tc>
        <w:tc>
          <w:tcPr>
            <w:tcW w:w="0" w:type="auto"/>
            <w:tcBorders>
              <w:top w:val="nil"/>
              <w:left w:val="nil"/>
              <w:right w:val="nil"/>
            </w:tcBorders>
            <w:shd w:val="clear" w:color="auto" w:fill="auto"/>
            <w:noWrap/>
            <w:hideMark/>
          </w:tcPr>
          <w:p w14:paraId="3EBDF5A1"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18.66</w:t>
            </w:r>
          </w:p>
        </w:tc>
        <w:tc>
          <w:tcPr>
            <w:tcW w:w="0" w:type="auto"/>
            <w:tcBorders>
              <w:top w:val="nil"/>
              <w:left w:val="nil"/>
              <w:right w:val="nil"/>
            </w:tcBorders>
            <w:shd w:val="clear" w:color="auto" w:fill="auto"/>
            <w:noWrap/>
            <w:hideMark/>
          </w:tcPr>
          <w:p w14:paraId="1884F94F"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93.36</w:t>
            </w:r>
          </w:p>
        </w:tc>
        <w:tc>
          <w:tcPr>
            <w:tcW w:w="0" w:type="auto"/>
            <w:tcBorders>
              <w:top w:val="nil"/>
              <w:left w:val="nil"/>
              <w:right w:val="nil"/>
            </w:tcBorders>
            <w:shd w:val="clear" w:color="auto" w:fill="auto"/>
            <w:noWrap/>
            <w:hideMark/>
          </w:tcPr>
          <w:p w14:paraId="405CFAA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right w:val="nil"/>
            </w:tcBorders>
            <w:shd w:val="clear" w:color="auto" w:fill="auto"/>
            <w:noWrap/>
            <w:hideMark/>
          </w:tcPr>
          <w:p w14:paraId="4A09BAC7"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right w:val="nil"/>
            </w:tcBorders>
            <w:shd w:val="clear" w:color="auto" w:fill="auto"/>
            <w:noWrap/>
            <w:hideMark/>
          </w:tcPr>
          <w:p w14:paraId="724F4EC3"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r w:rsidR="00B24A8F" w:rsidRPr="00B24A8F" w14:paraId="7B452CD1" w14:textId="77777777" w:rsidTr="00B24A8F">
        <w:tc>
          <w:tcPr>
            <w:tcW w:w="2459" w:type="pct"/>
            <w:tcBorders>
              <w:top w:val="nil"/>
              <w:left w:val="nil"/>
              <w:bottom w:val="single" w:sz="4" w:space="0" w:color="auto"/>
              <w:right w:val="nil"/>
            </w:tcBorders>
            <w:shd w:val="clear" w:color="auto" w:fill="auto"/>
            <w:hideMark/>
          </w:tcPr>
          <w:p w14:paraId="3D59434C" w14:textId="77777777" w:rsidR="00B24A8F" w:rsidRPr="00B24A8F" w:rsidRDefault="00B24A8F" w:rsidP="000677B8">
            <w:pPr>
              <w:spacing w:after="0" w:line="240" w:lineRule="auto"/>
              <w:ind w:left="270"/>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7+ times</w:t>
            </w:r>
          </w:p>
        </w:tc>
        <w:tc>
          <w:tcPr>
            <w:tcW w:w="0" w:type="auto"/>
            <w:tcBorders>
              <w:top w:val="nil"/>
              <w:left w:val="nil"/>
              <w:bottom w:val="single" w:sz="4" w:space="0" w:color="auto"/>
              <w:right w:val="nil"/>
            </w:tcBorders>
            <w:shd w:val="clear" w:color="auto" w:fill="auto"/>
            <w:noWrap/>
            <w:hideMark/>
          </w:tcPr>
          <w:p w14:paraId="24778F48"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637</w:t>
            </w:r>
          </w:p>
        </w:tc>
        <w:tc>
          <w:tcPr>
            <w:tcW w:w="0" w:type="auto"/>
            <w:tcBorders>
              <w:top w:val="nil"/>
              <w:left w:val="nil"/>
              <w:bottom w:val="single" w:sz="4" w:space="0" w:color="auto"/>
              <w:right w:val="nil"/>
            </w:tcBorders>
            <w:shd w:val="clear" w:color="auto" w:fill="auto"/>
            <w:noWrap/>
            <w:hideMark/>
          </w:tcPr>
          <w:p w14:paraId="19C07A60"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14.36</w:t>
            </w:r>
          </w:p>
        </w:tc>
        <w:tc>
          <w:tcPr>
            <w:tcW w:w="0" w:type="auto"/>
            <w:tcBorders>
              <w:top w:val="nil"/>
              <w:left w:val="nil"/>
              <w:bottom w:val="single" w:sz="4" w:space="0" w:color="auto"/>
              <w:right w:val="nil"/>
            </w:tcBorders>
            <w:shd w:val="clear" w:color="auto" w:fill="auto"/>
            <w:noWrap/>
            <w:hideMark/>
          </w:tcPr>
          <w:p w14:paraId="082377B7"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r w:rsidRPr="00B24A8F">
              <w:rPr>
                <w:rFonts w:ascii="Times New Roman" w:eastAsia="Times New Roman" w:hAnsi="Times New Roman" w:cs="Times New Roman"/>
                <w:color w:val="000000"/>
                <w:sz w:val="24"/>
                <w:szCs w:val="24"/>
              </w:rPr>
              <w:t>70.70</w:t>
            </w:r>
          </w:p>
        </w:tc>
        <w:tc>
          <w:tcPr>
            <w:tcW w:w="0" w:type="auto"/>
            <w:tcBorders>
              <w:top w:val="nil"/>
              <w:left w:val="nil"/>
              <w:bottom w:val="single" w:sz="4" w:space="0" w:color="auto"/>
              <w:right w:val="nil"/>
            </w:tcBorders>
            <w:shd w:val="clear" w:color="auto" w:fill="auto"/>
            <w:noWrap/>
            <w:hideMark/>
          </w:tcPr>
          <w:p w14:paraId="53B45BDB"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single" w:sz="4" w:space="0" w:color="auto"/>
              <w:right w:val="nil"/>
            </w:tcBorders>
            <w:shd w:val="clear" w:color="auto" w:fill="auto"/>
            <w:noWrap/>
            <w:hideMark/>
          </w:tcPr>
          <w:p w14:paraId="4934B920"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c>
          <w:tcPr>
            <w:tcW w:w="0" w:type="auto"/>
            <w:tcBorders>
              <w:top w:val="nil"/>
              <w:left w:val="nil"/>
              <w:bottom w:val="single" w:sz="4" w:space="0" w:color="auto"/>
              <w:right w:val="nil"/>
            </w:tcBorders>
            <w:shd w:val="clear" w:color="auto" w:fill="auto"/>
            <w:noWrap/>
            <w:hideMark/>
          </w:tcPr>
          <w:p w14:paraId="06AECEEE" w14:textId="77777777" w:rsidR="00B24A8F" w:rsidRPr="00B24A8F" w:rsidRDefault="00B24A8F" w:rsidP="000677B8">
            <w:pPr>
              <w:spacing w:after="0" w:line="240" w:lineRule="auto"/>
              <w:contextualSpacing/>
              <w:jc w:val="both"/>
              <w:rPr>
                <w:rFonts w:ascii="Times New Roman" w:eastAsia="Times New Roman" w:hAnsi="Times New Roman" w:cs="Times New Roman"/>
                <w:color w:val="000000"/>
                <w:sz w:val="24"/>
                <w:szCs w:val="24"/>
              </w:rPr>
            </w:pPr>
          </w:p>
        </w:tc>
      </w:tr>
    </w:tbl>
    <w:p w14:paraId="27D53C26" w14:textId="77777777" w:rsidR="00B24A8F" w:rsidRPr="00B24A8F" w:rsidRDefault="00B24A8F" w:rsidP="000677B8">
      <w:pPr>
        <w:spacing w:after="0" w:line="240" w:lineRule="auto"/>
        <w:contextualSpacing/>
        <w:jc w:val="both"/>
        <w:rPr>
          <w:rFonts w:ascii="Times New Roman" w:eastAsia="Times New Roman" w:hAnsi="Times New Roman" w:cs="Times New Roman"/>
          <w:sz w:val="24"/>
          <w:szCs w:val="24"/>
        </w:rPr>
      </w:pPr>
    </w:p>
    <w:p w14:paraId="6E1105F7" w14:textId="5960EB48"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 xml:space="preserve">Table 3 displays the results of the Wilcoxon matched pairs test comparing the mean ADT value between the two time periods.  As before, a Wilcoxon test was more suitable than the more common paired </w:t>
      </w:r>
      <w:r w:rsidRPr="00F2592A">
        <w:rPr>
          <w:rFonts w:ascii="Times New Roman" w:hAnsi="Times New Roman" w:cs="Times New Roman"/>
          <w:i/>
          <w:sz w:val="24"/>
          <w:szCs w:val="24"/>
        </w:rPr>
        <w:t>t</w:t>
      </w:r>
      <w:r w:rsidRPr="00884C90">
        <w:rPr>
          <w:rFonts w:ascii="Times New Roman" w:hAnsi="Times New Roman" w:cs="Times New Roman"/>
          <w:sz w:val="24"/>
          <w:szCs w:val="24"/>
        </w:rPr>
        <w:t xml:space="preserve"> test due to the nonnormal distribution of the data.  According to the findings on Table 3, the mean ADT value was statistically significantly lower (</w:t>
      </w:r>
      <w:r w:rsidRPr="00F2592A">
        <w:rPr>
          <w:rFonts w:ascii="Times New Roman" w:hAnsi="Times New Roman" w:cs="Times New Roman"/>
          <w:i/>
          <w:sz w:val="24"/>
          <w:szCs w:val="24"/>
        </w:rPr>
        <w:t>z</w:t>
      </w:r>
      <w:r w:rsidRPr="00884C90">
        <w:rPr>
          <w:rFonts w:ascii="Times New Roman" w:hAnsi="Times New Roman" w:cs="Times New Roman"/>
          <w:sz w:val="24"/>
          <w:szCs w:val="24"/>
        </w:rPr>
        <w:t xml:space="preserve"> = 6.96, </w:t>
      </w:r>
      <w:r w:rsidRPr="00F2592A">
        <w:rPr>
          <w:rFonts w:ascii="Times New Roman" w:hAnsi="Times New Roman" w:cs="Times New Roman"/>
          <w:i/>
          <w:sz w:val="24"/>
          <w:szCs w:val="24"/>
        </w:rPr>
        <w:t>p</w:t>
      </w:r>
      <w:r w:rsidRPr="00884C90">
        <w:rPr>
          <w:rFonts w:ascii="Times New Roman" w:hAnsi="Times New Roman" w:cs="Times New Roman"/>
          <w:sz w:val="24"/>
          <w:szCs w:val="24"/>
        </w:rPr>
        <w:t xml:space="preserve"> = </w:t>
      </w:r>
      <w:r w:rsidR="00F2592A">
        <w:rPr>
          <w:rFonts w:ascii="Times New Roman" w:hAnsi="Times New Roman" w:cs="Times New Roman"/>
          <w:sz w:val="24"/>
          <w:szCs w:val="24"/>
        </w:rPr>
        <w:t>0</w:t>
      </w:r>
      <w:r w:rsidRPr="00884C90">
        <w:rPr>
          <w:rFonts w:ascii="Times New Roman" w:hAnsi="Times New Roman" w:cs="Times New Roman"/>
          <w:sz w:val="24"/>
          <w:szCs w:val="24"/>
        </w:rPr>
        <w:t xml:space="preserve">.001) in Period 2 than in Period 1.  Given that the research hypothesis predicted a correlation, this finding </w:t>
      </w:r>
      <w:r w:rsidR="00517C16">
        <w:rPr>
          <w:rFonts w:ascii="Times New Roman" w:hAnsi="Times New Roman" w:cs="Times New Roman"/>
          <w:sz w:val="24"/>
          <w:szCs w:val="24"/>
        </w:rPr>
        <w:t>failed</w:t>
      </w:r>
      <w:r w:rsidRPr="00884C90">
        <w:rPr>
          <w:rFonts w:ascii="Times New Roman" w:hAnsi="Times New Roman" w:cs="Times New Roman"/>
          <w:sz w:val="24"/>
          <w:szCs w:val="24"/>
        </w:rPr>
        <w:t xml:space="preserve"> to reject the null hypothesis H3</w:t>
      </w:r>
      <w:r w:rsidR="00517C16">
        <w:rPr>
          <w:rFonts w:ascii="Times New Roman" w:hAnsi="Times New Roman" w:cs="Times New Roman"/>
          <w:sz w:val="24"/>
          <w:szCs w:val="24"/>
          <w:vertAlign w:val="subscript"/>
        </w:rPr>
        <w:t>0</w:t>
      </w:r>
      <w:r w:rsidRPr="00884C90">
        <w:rPr>
          <w:rFonts w:ascii="Times New Roman" w:hAnsi="Times New Roman" w:cs="Times New Roman"/>
          <w:sz w:val="24"/>
          <w:szCs w:val="24"/>
        </w:rPr>
        <w:t>.</w:t>
      </w:r>
    </w:p>
    <w:p w14:paraId="1E1EBD55" w14:textId="24C8CC9B"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A Kruskall-Wallis test and a Spearman correlation, displayed in Table 4, were suitable for</w:t>
      </w:r>
      <w:r w:rsidR="004828B3">
        <w:rPr>
          <w:rFonts w:ascii="Times New Roman" w:hAnsi="Times New Roman" w:cs="Times New Roman"/>
          <w:sz w:val="24"/>
          <w:szCs w:val="24"/>
        </w:rPr>
        <w:t xml:space="preserve"> </w:t>
      </w:r>
      <w:r w:rsidR="004828B3" w:rsidRPr="004828B3">
        <w:rPr>
          <w:rFonts w:ascii="Times New Roman" w:hAnsi="Times New Roman" w:cs="Times New Roman"/>
          <w:sz w:val="24"/>
          <w:szCs w:val="24"/>
        </w:rPr>
        <w:t xml:space="preserve">comparing the increase in </w:t>
      </w:r>
      <w:r w:rsidR="004828B3">
        <w:rPr>
          <w:rFonts w:ascii="Times New Roman" w:hAnsi="Times New Roman" w:cs="Times New Roman"/>
          <w:sz w:val="24"/>
          <w:szCs w:val="24"/>
        </w:rPr>
        <w:t>ADT</w:t>
      </w:r>
      <w:r w:rsidR="004828B3" w:rsidRPr="004828B3">
        <w:rPr>
          <w:rFonts w:ascii="Times New Roman" w:hAnsi="Times New Roman" w:cs="Times New Roman"/>
          <w:sz w:val="24"/>
          <w:szCs w:val="24"/>
        </w:rPr>
        <w:t xml:space="preserve"> between the two time periods when a customer redeemed a direct mail offer</w:t>
      </w:r>
      <w:r w:rsidR="00F439F2">
        <w:rPr>
          <w:rFonts w:ascii="Times New Roman" w:hAnsi="Times New Roman" w:cs="Times New Roman"/>
          <w:sz w:val="24"/>
          <w:szCs w:val="24"/>
        </w:rPr>
        <w:t xml:space="preserve">.  </w:t>
      </w:r>
      <w:r w:rsidRPr="00884C90">
        <w:rPr>
          <w:rFonts w:ascii="Times New Roman" w:hAnsi="Times New Roman" w:cs="Times New Roman"/>
          <w:sz w:val="24"/>
          <w:szCs w:val="24"/>
        </w:rPr>
        <w:t>As before, these nonparametric tests were more suitable than a one-way analysis of variance and a Pearson correlation due to the nonnormal data distribution.  The ADT values significantly increased (</w:t>
      </w:r>
      <w:r w:rsidRPr="00F2592A">
        <w:rPr>
          <w:rFonts w:ascii="Times New Roman" w:hAnsi="Times New Roman" w:cs="Times New Roman"/>
          <w:i/>
          <w:sz w:val="24"/>
          <w:szCs w:val="24"/>
        </w:rPr>
        <w:t>p</w:t>
      </w:r>
      <w:r w:rsidRPr="00884C90">
        <w:rPr>
          <w:rFonts w:ascii="Times New Roman" w:hAnsi="Times New Roman" w:cs="Times New Roman"/>
          <w:sz w:val="24"/>
          <w:szCs w:val="24"/>
        </w:rPr>
        <w:t xml:space="preserve"> = </w:t>
      </w:r>
      <w:r w:rsidR="00F2592A">
        <w:rPr>
          <w:rFonts w:ascii="Times New Roman" w:hAnsi="Times New Roman" w:cs="Times New Roman"/>
          <w:sz w:val="24"/>
          <w:szCs w:val="24"/>
        </w:rPr>
        <w:t>0</w:t>
      </w:r>
      <w:r w:rsidRPr="00884C90">
        <w:rPr>
          <w:rFonts w:ascii="Times New Roman" w:hAnsi="Times New Roman" w:cs="Times New Roman"/>
          <w:sz w:val="24"/>
          <w:szCs w:val="24"/>
        </w:rPr>
        <w:t>.001) based on the number of redeemed direct mail pieces, as indicated by the ascending pattern of the means as well as by the Spearman correlation (</w:t>
      </w:r>
      <w:r w:rsidRPr="00F2592A">
        <w:rPr>
          <w:rFonts w:ascii="Times New Roman" w:hAnsi="Times New Roman" w:cs="Times New Roman"/>
          <w:i/>
          <w:sz w:val="24"/>
          <w:szCs w:val="24"/>
        </w:rPr>
        <w:t>rs</w:t>
      </w:r>
      <w:r w:rsidRPr="00884C90">
        <w:rPr>
          <w:rFonts w:ascii="Times New Roman" w:hAnsi="Times New Roman" w:cs="Times New Roman"/>
          <w:sz w:val="24"/>
          <w:szCs w:val="24"/>
        </w:rPr>
        <w:t xml:space="preserve"> = </w:t>
      </w:r>
      <w:r w:rsidR="00F2592A">
        <w:rPr>
          <w:rFonts w:ascii="Times New Roman" w:hAnsi="Times New Roman" w:cs="Times New Roman"/>
          <w:sz w:val="24"/>
          <w:szCs w:val="24"/>
        </w:rPr>
        <w:t>0</w:t>
      </w:r>
      <w:r w:rsidRPr="00884C90">
        <w:rPr>
          <w:rFonts w:ascii="Times New Roman" w:hAnsi="Times New Roman" w:cs="Times New Roman"/>
          <w:sz w:val="24"/>
          <w:szCs w:val="24"/>
        </w:rPr>
        <w:t>.17).  This combination of findings reject</w:t>
      </w:r>
      <w:r w:rsidR="00B438DE">
        <w:rPr>
          <w:rFonts w:ascii="Times New Roman" w:hAnsi="Times New Roman" w:cs="Times New Roman"/>
          <w:sz w:val="24"/>
          <w:szCs w:val="24"/>
        </w:rPr>
        <w:t>ed</w:t>
      </w:r>
      <w:r w:rsidRPr="00884C90">
        <w:rPr>
          <w:rFonts w:ascii="Times New Roman" w:hAnsi="Times New Roman" w:cs="Times New Roman"/>
          <w:sz w:val="24"/>
          <w:szCs w:val="24"/>
        </w:rPr>
        <w:t xml:space="preserve"> the null hypothesis H4</w:t>
      </w:r>
      <w:r w:rsidR="00B438DE">
        <w:rPr>
          <w:rFonts w:ascii="Times New Roman" w:hAnsi="Times New Roman" w:cs="Times New Roman"/>
          <w:sz w:val="24"/>
          <w:szCs w:val="24"/>
          <w:vertAlign w:val="subscript"/>
        </w:rPr>
        <w:t>0</w:t>
      </w:r>
      <w:r w:rsidRPr="00884C90">
        <w:rPr>
          <w:rFonts w:ascii="Times New Roman" w:hAnsi="Times New Roman" w:cs="Times New Roman"/>
          <w:sz w:val="24"/>
          <w:szCs w:val="24"/>
        </w:rPr>
        <w:t>.</w:t>
      </w:r>
    </w:p>
    <w:p w14:paraId="1C522F3C" w14:textId="2CE44135" w:rsid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In summary, data analysis reject</w:t>
      </w:r>
      <w:r w:rsidR="00B438DE">
        <w:rPr>
          <w:rFonts w:ascii="Times New Roman" w:hAnsi="Times New Roman" w:cs="Times New Roman"/>
          <w:sz w:val="24"/>
          <w:szCs w:val="24"/>
        </w:rPr>
        <w:t>ed</w:t>
      </w:r>
      <w:r w:rsidRPr="00884C90">
        <w:rPr>
          <w:rFonts w:ascii="Times New Roman" w:hAnsi="Times New Roman" w:cs="Times New Roman"/>
          <w:sz w:val="24"/>
          <w:szCs w:val="24"/>
        </w:rPr>
        <w:t xml:space="preserve"> the null hypothesis for Hypothesis 1 (increases in frequency of customer visitation and direct mail as a form of advertising), Hypothesis 2 (increases in frequency of customer visitation and direct mail redemption), and Hypothesis 4 (increases in average amount spent per visit and direct mail redemption).  Data analysis </w:t>
      </w:r>
      <w:r w:rsidR="00B438DE">
        <w:rPr>
          <w:rFonts w:ascii="Times New Roman" w:hAnsi="Times New Roman" w:cs="Times New Roman"/>
          <w:sz w:val="24"/>
          <w:szCs w:val="24"/>
        </w:rPr>
        <w:t xml:space="preserve">failed to </w:t>
      </w:r>
      <w:r w:rsidRPr="00884C90">
        <w:rPr>
          <w:rFonts w:ascii="Times New Roman" w:hAnsi="Times New Roman" w:cs="Times New Roman"/>
          <w:sz w:val="24"/>
          <w:szCs w:val="24"/>
        </w:rPr>
        <w:t>reject the null hypothesis for Hypothesis 3 (increases in average amount spent per visit and direct mail as a form of advertising).</w:t>
      </w:r>
    </w:p>
    <w:p w14:paraId="62F475E6" w14:textId="77777777" w:rsidR="00FE7FC8" w:rsidRDefault="00FE7FC8" w:rsidP="000677B8">
      <w:pPr>
        <w:spacing w:after="0" w:line="240" w:lineRule="auto"/>
        <w:jc w:val="both"/>
        <w:rPr>
          <w:rFonts w:ascii="Arial" w:hAnsi="Arial" w:cs="Arial"/>
          <w:sz w:val="24"/>
          <w:szCs w:val="24"/>
        </w:rPr>
      </w:pPr>
    </w:p>
    <w:p w14:paraId="7D58C313" w14:textId="77777777" w:rsidR="00FE7FC8" w:rsidRDefault="00884C90" w:rsidP="000677B8">
      <w:pPr>
        <w:spacing w:after="0" w:line="240" w:lineRule="auto"/>
        <w:jc w:val="both"/>
        <w:rPr>
          <w:rFonts w:ascii="Arial" w:hAnsi="Arial" w:cs="Arial"/>
          <w:sz w:val="24"/>
          <w:szCs w:val="24"/>
        </w:rPr>
      </w:pPr>
      <w:r w:rsidRPr="000677B8">
        <w:rPr>
          <w:rFonts w:ascii="Arial" w:hAnsi="Arial" w:cs="Arial"/>
          <w:sz w:val="24"/>
          <w:szCs w:val="24"/>
        </w:rPr>
        <w:t>Conclusions and Recommendations</w:t>
      </w:r>
    </w:p>
    <w:p w14:paraId="575BDD7B" w14:textId="77777777" w:rsidR="00FE7FC8" w:rsidRDefault="00FE7FC8" w:rsidP="000677B8">
      <w:pPr>
        <w:spacing w:after="0" w:line="240" w:lineRule="auto"/>
        <w:jc w:val="both"/>
        <w:rPr>
          <w:rFonts w:ascii="Times New Roman" w:hAnsi="Times New Roman" w:cs="Times New Roman"/>
          <w:sz w:val="24"/>
          <w:szCs w:val="24"/>
        </w:rPr>
      </w:pPr>
    </w:p>
    <w:p w14:paraId="4504702E" w14:textId="3AFB5EC2" w:rsidR="007269B8" w:rsidRPr="00FE7FC8" w:rsidRDefault="00884C90" w:rsidP="000677B8">
      <w:pPr>
        <w:spacing w:after="0" w:line="240" w:lineRule="auto"/>
        <w:jc w:val="both"/>
        <w:rPr>
          <w:rFonts w:ascii="Arial" w:hAnsi="Arial" w:cs="Arial"/>
          <w:sz w:val="24"/>
          <w:szCs w:val="24"/>
        </w:rPr>
      </w:pPr>
      <w:r w:rsidRPr="00884C90">
        <w:rPr>
          <w:rFonts w:ascii="Times New Roman" w:hAnsi="Times New Roman" w:cs="Times New Roman"/>
          <w:sz w:val="24"/>
          <w:szCs w:val="24"/>
        </w:rPr>
        <w:t>The focus of this quantitative research study was the relationship between direct mail CRM and customer loyalty in a regional U.S. casino market.  The results are organizationally relevant as they confirm the underlying theory of direct mail CRM programs.  Based on the research findings of this study, CRM had a positive relationship with customer loyalty when customer loyalty refers to frequency of visits.  The rejection of the null hypotheses 1 and 2 supported this conclusion, which was consistent with the study conducted by Long</w:t>
      </w:r>
      <w:r w:rsidR="00B24A8F">
        <w:rPr>
          <w:rFonts w:ascii="Times New Roman" w:hAnsi="Times New Roman" w:cs="Times New Roman"/>
          <w:sz w:val="24"/>
          <w:szCs w:val="24"/>
        </w:rPr>
        <w:t xml:space="preserve"> et al. </w:t>
      </w:r>
      <w:r w:rsidRPr="00884C90">
        <w:rPr>
          <w:rFonts w:ascii="Times New Roman" w:hAnsi="Times New Roman" w:cs="Times New Roman"/>
          <w:sz w:val="24"/>
          <w:szCs w:val="24"/>
        </w:rPr>
        <w:t xml:space="preserve">(2013), who found a positive relationship between CRM and customer loyalty.  However, in the study conducted by Long et al. (2013) the behavior of the employee and the relationship development with the customer ranked higher in contribution to the effectiveness of the CRM program.  </w:t>
      </w:r>
    </w:p>
    <w:p w14:paraId="29386C66" w14:textId="05792E75" w:rsidR="00884C90" w:rsidRPr="00884C90" w:rsidRDefault="007269B8"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00884C90" w:rsidRPr="00884C90">
        <w:rPr>
          <w:rFonts w:ascii="Times New Roman" w:hAnsi="Times New Roman" w:cs="Times New Roman"/>
          <w:sz w:val="24"/>
          <w:szCs w:val="24"/>
        </w:rPr>
        <w:t>When customer loyalty refers to average amount spent per visit</w:t>
      </w:r>
      <w:r>
        <w:rPr>
          <w:rFonts w:ascii="Times New Roman" w:hAnsi="Times New Roman" w:cs="Times New Roman"/>
          <w:sz w:val="24"/>
          <w:szCs w:val="24"/>
        </w:rPr>
        <w:t>,</w:t>
      </w:r>
      <w:r w:rsidR="00884C90" w:rsidRPr="00884C90">
        <w:rPr>
          <w:rFonts w:ascii="Times New Roman" w:hAnsi="Times New Roman" w:cs="Times New Roman"/>
          <w:sz w:val="24"/>
          <w:szCs w:val="24"/>
        </w:rPr>
        <w:t xml:space="preserve"> the research was inconclusive</w:t>
      </w:r>
      <w:r w:rsidR="00B438DE">
        <w:rPr>
          <w:rFonts w:ascii="Times New Roman" w:hAnsi="Times New Roman" w:cs="Times New Roman"/>
          <w:sz w:val="24"/>
          <w:szCs w:val="24"/>
        </w:rPr>
        <w:t>.  This is due to the failure to reject</w:t>
      </w:r>
      <w:r w:rsidR="00884C90" w:rsidRPr="00884C90">
        <w:rPr>
          <w:rFonts w:ascii="Times New Roman" w:hAnsi="Times New Roman" w:cs="Times New Roman"/>
          <w:sz w:val="24"/>
          <w:szCs w:val="24"/>
        </w:rPr>
        <w:t xml:space="preserve"> Hypothesis 3 indicat</w:t>
      </w:r>
      <w:r w:rsidR="00B438DE">
        <w:rPr>
          <w:rFonts w:ascii="Times New Roman" w:hAnsi="Times New Roman" w:cs="Times New Roman"/>
          <w:sz w:val="24"/>
          <w:szCs w:val="24"/>
        </w:rPr>
        <w:t>ing</w:t>
      </w:r>
      <w:r w:rsidR="00884C90" w:rsidRPr="00884C90">
        <w:rPr>
          <w:rFonts w:ascii="Times New Roman" w:hAnsi="Times New Roman" w:cs="Times New Roman"/>
          <w:sz w:val="24"/>
          <w:szCs w:val="24"/>
        </w:rPr>
        <w:t xml:space="preserve"> </w:t>
      </w:r>
      <w:r w:rsidR="00B438DE">
        <w:rPr>
          <w:rFonts w:ascii="Times New Roman" w:hAnsi="Times New Roman" w:cs="Times New Roman"/>
          <w:sz w:val="24"/>
          <w:szCs w:val="24"/>
        </w:rPr>
        <w:t xml:space="preserve">no </w:t>
      </w:r>
      <w:r w:rsidR="00884C90" w:rsidRPr="00884C90">
        <w:rPr>
          <w:rFonts w:ascii="Times New Roman" w:hAnsi="Times New Roman" w:cs="Times New Roman"/>
          <w:sz w:val="24"/>
          <w:szCs w:val="24"/>
        </w:rPr>
        <w:t>correlation existed between the mailing of direct mail</w:t>
      </w:r>
      <w:r w:rsidR="00B438DE">
        <w:rPr>
          <w:rFonts w:ascii="Times New Roman" w:hAnsi="Times New Roman" w:cs="Times New Roman"/>
          <w:sz w:val="24"/>
          <w:szCs w:val="24"/>
        </w:rPr>
        <w:t xml:space="preserve">, or </w:t>
      </w:r>
      <w:r>
        <w:rPr>
          <w:rFonts w:ascii="Times New Roman" w:hAnsi="Times New Roman" w:cs="Times New Roman"/>
          <w:sz w:val="24"/>
          <w:szCs w:val="24"/>
        </w:rPr>
        <w:t xml:space="preserve">viewing </w:t>
      </w:r>
      <w:r w:rsidR="00B438DE">
        <w:rPr>
          <w:rFonts w:ascii="Times New Roman" w:hAnsi="Times New Roman" w:cs="Times New Roman"/>
          <w:sz w:val="24"/>
          <w:szCs w:val="24"/>
        </w:rPr>
        <w:t>direct mail as a form of advertising</w:t>
      </w:r>
      <w:r>
        <w:rPr>
          <w:rFonts w:ascii="Times New Roman" w:hAnsi="Times New Roman" w:cs="Times New Roman"/>
          <w:sz w:val="24"/>
          <w:szCs w:val="24"/>
        </w:rPr>
        <w:t>,</w:t>
      </w:r>
      <w:r w:rsidR="00884C90" w:rsidRPr="00884C90">
        <w:rPr>
          <w:rFonts w:ascii="Times New Roman" w:hAnsi="Times New Roman" w:cs="Times New Roman"/>
          <w:sz w:val="24"/>
          <w:szCs w:val="24"/>
        </w:rPr>
        <w:t xml:space="preserve"> and the average amount spent per visit</w:t>
      </w:r>
      <w:r w:rsidR="00B438DE">
        <w:rPr>
          <w:rFonts w:ascii="Times New Roman" w:hAnsi="Times New Roman" w:cs="Times New Roman"/>
          <w:sz w:val="24"/>
          <w:szCs w:val="24"/>
        </w:rPr>
        <w:t>.  Additionally</w:t>
      </w:r>
      <w:r w:rsidR="00884C90" w:rsidRPr="00884C90">
        <w:rPr>
          <w:rFonts w:ascii="Times New Roman" w:hAnsi="Times New Roman" w:cs="Times New Roman"/>
          <w:sz w:val="24"/>
          <w:szCs w:val="24"/>
        </w:rPr>
        <w:t xml:space="preserve">, </w:t>
      </w:r>
      <w:r w:rsidR="00B438DE">
        <w:rPr>
          <w:rFonts w:ascii="Times New Roman" w:hAnsi="Times New Roman" w:cs="Times New Roman"/>
          <w:sz w:val="24"/>
          <w:szCs w:val="24"/>
        </w:rPr>
        <w:t xml:space="preserve">although the null was rejected for Hypothesis 4, </w:t>
      </w:r>
      <w:r w:rsidR="00884C90" w:rsidRPr="00884C90">
        <w:rPr>
          <w:rFonts w:ascii="Times New Roman" w:hAnsi="Times New Roman" w:cs="Times New Roman"/>
          <w:sz w:val="24"/>
          <w:szCs w:val="24"/>
        </w:rPr>
        <w:t xml:space="preserve">the redemption of a direct mail piece and the average amount spent per visit, </w:t>
      </w:r>
      <w:r w:rsidR="00B438DE">
        <w:rPr>
          <w:rFonts w:ascii="Times New Roman" w:hAnsi="Times New Roman" w:cs="Times New Roman"/>
          <w:sz w:val="24"/>
          <w:szCs w:val="24"/>
        </w:rPr>
        <w:t xml:space="preserve">the correlation </w:t>
      </w:r>
      <w:r w:rsidR="00884C90" w:rsidRPr="00884C90">
        <w:rPr>
          <w:rFonts w:ascii="Times New Roman" w:hAnsi="Times New Roman" w:cs="Times New Roman"/>
          <w:sz w:val="24"/>
          <w:szCs w:val="24"/>
        </w:rPr>
        <w:t>was weak.  However, the weak correlation in the findings for Hypothesis 4 were supported in a study conducted by Liu (2007) which found that the customer loyalty program increased the level of profitability for customers.  However, the customer loyalty program had different effects on customer profitability based on previous customer behavior,</w:t>
      </w:r>
      <w:r w:rsidR="00E97F49">
        <w:rPr>
          <w:rFonts w:ascii="Times New Roman" w:hAnsi="Times New Roman" w:cs="Times New Roman"/>
          <w:sz w:val="24"/>
          <w:szCs w:val="24"/>
        </w:rPr>
        <w:t xml:space="preserve"> </w:t>
      </w:r>
      <w:r w:rsidR="00884C90" w:rsidRPr="00884C90">
        <w:rPr>
          <w:rFonts w:ascii="Times New Roman" w:hAnsi="Times New Roman" w:cs="Times New Roman"/>
          <w:sz w:val="24"/>
          <w:szCs w:val="24"/>
        </w:rPr>
        <w:t>with light and moderate buyers increasing in profitability yet heavy buyers remaining flat during the analysis period.</w:t>
      </w:r>
    </w:p>
    <w:p w14:paraId="74A34D95" w14:textId="3BDF4478"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 xml:space="preserve">Direct mail CRM programs comprise a significant portion of the customer reinvestment rate of a casino and the purpose of the program is to increase customer </w:t>
      </w:r>
      <w:r w:rsidR="00F47609">
        <w:rPr>
          <w:rFonts w:ascii="Times New Roman" w:hAnsi="Times New Roman" w:cs="Times New Roman"/>
          <w:sz w:val="24"/>
          <w:szCs w:val="24"/>
        </w:rPr>
        <w:t>loyalty</w:t>
      </w:r>
      <w:r w:rsidRPr="00884C90">
        <w:rPr>
          <w:rFonts w:ascii="Times New Roman" w:hAnsi="Times New Roman" w:cs="Times New Roman"/>
          <w:sz w:val="24"/>
          <w:szCs w:val="24"/>
        </w:rPr>
        <w:t xml:space="preserve">.  The typical definition of loyalty at </w:t>
      </w:r>
      <w:r w:rsidR="00F47609">
        <w:rPr>
          <w:rFonts w:ascii="Times New Roman" w:hAnsi="Times New Roman" w:cs="Times New Roman"/>
          <w:sz w:val="24"/>
          <w:szCs w:val="24"/>
        </w:rPr>
        <w:t>a</w:t>
      </w:r>
      <w:r w:rsidRPr="00884C90">
        <w:rPr>
          <w:rFonts w:ascii="Times New Roman" w:hAnsi="Times New Roman" w:cs="Times New Roman"/>
          <w:sz w:val="24"/>
          <w:szCs w:val="24"/>
        </w:rPr>
        <w:t xml:space="preserve"> casino is an increase in customer visitation</w:t>
      </w:r>
      <w:r w:rsidR="007269B8">
        <w:rPr>
          <w:rFonts w:ascii="Times New Roman" w:hAnsi="Times New Roman" w:cs="Times New Roman"/>
          <w:sz w:val="24"/>
          <w:szCs w:val="24"/>
        </w:rPr>
        <w:t xml:space="preserve"> and customer spending</w:t>
      </w:r>
      <w:r w:rsidRPr="00884C90">
        <w:rPr>
          <w:rFonts w:ascii="Times New Roman" w:hAnsi="Times New Roman" w:cs="Times New Roman"/>
          <w:sz w:val="24"/>
          <w:szCs w:val="24"/>
        </w:rPr>
        <w:t>.  It appears that the effect on c</w:t>
      </w:r>
      <w:r w:rsidR="007269B8">
        <w:rPr>
          <w:rFonts w:ascii="Times New Roman" w:hAnsi="Times New Roman" w:cs="Times New Roman"/>
          <w:sz w:val="24"/>
          <w:szCs w:val="24"/>
        </w:rPr>
        <w:t>ustomers</w:t>
      </w:r>
      <w:r w:rsidRPr="00884C90">
        <w:rPr>
          <w:rFonts w:ascii="Times New Roman" w:hAnsi="Times New Roman" w:cs="Times New Roman"/>
          <w:sz w:val="24"/>
          <w:szCs w:val="24"/>
        </w:rPr>
        <w:t xml:space="preserve"> receiving direct mail could lead to an increase in visitation and an increase in revenue and this is a positive indication for management.  The number of customers in a casino database can range from tens of thousands to millions depending on the size and age of the casino.  Applying even a slight increase in frequency of visitation </w:t>
      </w:r>
      <w:r w:rsidR="00F47609">
        <w:rPr>
          <w:rFonts w:ascii="Times New Roman" w:hAnsi="Times New Roman" w:cs="Times New Roman"/>
          <w:sz w:val="24"/>
          <w:szCs w:val="24"/>
        </w:rPr>
        <w:t xml:space="preserve">to these </w:t>
      </w:r>
      <w:r w:rsidR="007B31A3">
        <w:rPr>
          <w:rFonts w:ascii="Times New Roman" w:hAnsi="Times New Roman" w:cs="Times New Roman"/>
          <w:sz w:val="24"/>
          <w:szCs w:val="24"/>
        </w:rPr>
        <w:t>current</w:t>
      </w:r>
      <w:r w:rsidR="00F47609">
        <w:rPr>
          <w:rFonts w:ascii="Times New Roman" w:hAnsi="Times New Roman" w:cs="Times New Roman"/>
          <w:sz w:val="24"/>
          <w:szCs w:val="24"/>
        </w:rPr>
        <w:t xml:space="preserve"> visitation numbers </w:t>
      </w:r>
      <w:r w:rsidRPr="00884C90">
        <w:rPr>
          <w:rFonts w:ascii="Times New Roman" w:hAnsi="Times New Roman" w:cs="Times New Roman"/>
          <w:sz w:val="24"/>
          <w:szCs w:val="24"/>
        </w:rPr>
        <w:t xml:space="preserve">could lead to increased revenue.  Although the sample for this study was just under 10,000 customers representing over 12,000 visits, the population of customers receiving direct mail at this casino is significantly higher.  Based on the findings from this study, if each additional </w:t>
      </w:r>
      <w:r w:rsidR="007B31A3">
        <w:rPr>
          <w:rFonts w:ascii="Times New Roman" w:hAnsi="Times New Roman" w:cs="Times New Roman"/>
          <w:sz w:val="24"/>
          <w:szCs w:val="24"/>
        </w:rPr>
        <w:t xml:space="preserve">customer </w:t>
      </w:r>
      <w:r w:rsidRPr="00884C90">
        <w:rPr>
          <w:rFonts w:ascii="Times New Roman" w:hAnsi="Times New Roman" w:cs="Times New Roman"/>
          <w:sz w:val="24"/>
          <w:szCs w:val="24"/>
        </w:rPr>
        <w:t xml:space="preserve">visit increases revenue by the amount of the </w:t>
      </w:r>
      <w:r w:rsidR="00F47609">
        <w:rPr>
          <w:rFonts w:ascii="Times New Roman" w:hAnsi="Times New Roman" w:cs="Times New Roman"/>
          <w:sz w:val="24"/>
          <w:szCs w:val="24"/>
        </w:rPr>
        <w:t xml:space="preserve">daily </w:t>
      </w:r>
      <w:r w:rsidRPr="00884C90">
        <w:rPr>
          <w:rFonts w:ascii="Times New Roman" w:hAnsi="Times New Roman" w:cs="Times New Roman"/>
          <w:sz w:val="24"/>
          <w:szCs w:val="24"/>
        </w:rPr>
        <w:t xml:space="preserve">average amount spent (ADT), which in this study for Period 2 was an average of $88.30 per person per visit, the increased revenue number </w:t>
      </w:r>
      <w:r w:rsidR="007B31A3">
        <w:rPr>
          <w:rFonts w:ascii="Times New Roman" w:hAnsi="Times New Roman" w:cs="Times New Roman"/>
          <w:sz w:val="24"/>
          <w:szCs w:val="24"/>
        </w:rPr>
        <w:t xml:space="preserve">to the casino </w:t>
      </w:r>
      <w:r w:rsidRPr="00884C90">
        <w:rPr>
          <w:rFonts w:ascii="Times New Roman" w:hAnsi="Times New Roman" w:cs="Times New Roman"/>
          <w:sz w:val="24"/>
          <w:szCs w:val="24"/>
        </w:rPr>
        <w:t xml:space="preserve">could be significant.  A minimal increase of 1,000 customer visits would increase revenue by an average of $88,300, an increase of 10,000 customer visits would increase revenue by an average of almost one million dollars ($883,000).  This finding supported the purpose and effectiveness of CRM </w:t>
      </w:r>
      <w:r w:rsidR="00F47609">
        <w:rPr>
          <w:rFonts w:ascii="Times New Roman" w:hAnsi="Times New Roman" w:cs="Times New Roman"/>
          <w:sz w:val="24"/>
          <w:szCs w:val="24"/>
        </w:rPr>
        <w:t>as</w:t>
      </w:r>
      <w:r w:rsidRPr="00884C90">
        <w:rPr>
          <w:rFonts w:ascii="Times New Roman" w:hAnsi="Times New Roman" w:cs="Times New Roman"/>
          <w:sz w:val="24"/>
          <w:szCs w:val="24"/>
        </w:rPr>
        <w:t xml:space="preserve"> customers who received the direct mail visited more frequently and generated more revenue than did those not exposed to </w:t>
      </w:r>
      <w:r w:rsidR="00F47609">
        <w:rPr>
          <w:rFonts w:ascii="Times New Roman" w:hAnsi="Times New Roman" w:cs="Times New Roman"/>
          <w:sz w:val="24"/>
          <w:szCs w:val="24"/>
        </w:rPr>
        <w:t>the</w:t>
      </w:r>
      <w:r w:rsidRPr="00884C90">
        <w:rPr>
          <w:rFonts w:ascii="Times New Roman" w:hAnsi="Times New Roman" w:cs="Times New Roman"/>
          <w:sz w:val="24"/>
          <w:szCs w:val="24"/>
        </w:rPr>
        <w:t xml:space="preserve"> CRM program.  </w:t>
      </w:r>
    </w:p>
    <w:p w14:paraId="37E446BD" w14:textId="560911AB"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 xml:space="preserve">The research also found that the higher the number of direct mail pieces redeemed, the higher the increase in the number of visits.  As company leaders typically adopt CRM programs to build and maintain profitable customer relationships, the findings of this research indicate a CRM program becomes more effective as customers </w:t>
      </w:r>
      <w:r w:rsidR="00F47609">
        <w:rPr>
          <w:rFonts w:ascii="Times New Roman" w:hAnsi="Times New Roman" w:cs="Times New Roman"/>
          <w:sz w:val="24"/>
          <w:szCs w:val="24"/>
        </w:rPr>
        <w:t xml:space="preserve">continue to </w:t>
      </w:r>
      <w:r w:rsidRPr="00884C90">
        <w:rPr>
          <w:rFonts w:ascii="Times New Roman" w:hAnsi="Times New Roman" w:cs="Times New Roman"/>
          <w:sz w:val="24"/>
          <w:szCs w:val="24"/>
        </w:rPr>
        <w:t>redeem offers.  Additionally, the average amount spent per visit</w:t>
      </w:r>
      <w:r w:rsidR="007269B8">
        <w:rPr>
          <w:rFonts w:ascii="Times New Roman" w:hAnsi="Times New Roman" w:cs="Times New Roman"/>
          <w:sz w:val="24"/>
          <w:szCs w:val="24"/>
        </w:rPr>
        <w:t>,</w:t>
      </w:r>
      <w:r w:rsidRPr="00884C90">
        <w:rPr>
          <w:rFonts w:ascii="Times New Roman" w:hAnsi="Times New Roman" w:cs="Times New Roman"/>
          <w:sz w:val="24"/>
          <w:szCs w:val="24"/>
        </w:rPr>
        <w:t xml:space="preserve"> seen with the redemption of four or more direct mail pieces</w:t>
      </w:r>
      <w:r w:rsidR="007269B8">
        <w:rPr>
          <w:rFonts w:ascii="Times New Roman" w:hAnsi="Times New Roman" w:cs="Times New Roman"/>
          <w:sz w:val="24"/>
          <w:szCs w:val="24"/>
        </w:rPr>
        <w:t>,</w:t>
      </w:r>
      <w:r w:rsidRPr="00884C90">
        <w:rPr>
          <w:rFonts w:ascii="Times New Roman" w:hAnsi="Times New Roman" w:cs="Times New Roman"/>
          <w:sz w:val="24"/>
          <w:szCs w:val="24"/>
        </w:rPr>
        <w:t xml:space="preserve"> increased.  The higher the number of direct mail pieces redeemed, the higher the increase in the average amount spent per visit</w:t>
      </w:r>
      <w:r w:rsidR="007269B8">
        <w:rPr>
          <w:rFonts w:ascii="Times New Roman" w:hAnsi="Times New Roman" w:cs="Times New Roman"/>
          <w:sz w:val="24"/>
          <w:szCs w:val="24"/>
        </w:rPr>
        <w:t xml:space="preserve">.  This </w:t>
      </w:r>
      <w:r w:rsidRPr="00884C90">
        <w:rPr>
          <w:rFonts w:ascii="Times New Roman" w:hAnsi="Times New Roman" w:cs="Times New Roman"/>
          <w:sz w:val="24"/>
          <w:szCs w:val="24"/>
        </w:rPr>
        <w:t>indicate</w:t>
      </w:r>
      <w:r w:rsidR="007269B8">
        <w:rPr>
          <w:rFonts w:ascii="Times New Roman" w:hAnsi="Times New Roman" w:cs="Times New Roman"/>
          <w:sz w:val="24"/>
          <w:szCs w:val="24"/>
        </w:rPr>
        <w:t>s</w:t>
      </w:r>
      <w:r w:rsidRPr="00884C90">
        <w:rPr>
          <w:rFonts w:ascii="Times New Roman" w:hAnsi="Times New Roman" w:cs="Times New Roman"/>
          <w:sz w:val="24"/>
          <w:szCs w:val="24"/>
        </w:rPr>
        <w:t xml:space="preserve"> the effectiveness of a CRM program increases as consumers engage in the CRM program and build a higher level of experience and trust with the company, possibly indicating a link with customer loyalty.</w:t>
      </w:r>
    </w:p>
    <w:p w14:paraId="4B7A9302" w14:textId="0725C630"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 xml:space="preserve">The statistics indicated a relationship existed between the redemption of direct mail from a CRM program and customer loyalty when defined as frequency of visitation, although the correlation was weak.  The Spearman correlation of </w:t>
      </w:r>
      <w:r w:rsidR="004828B3">
        <w:rPr>
          <w:rFonts w:ascii="Times New Roman" w:hAnsi="Times New Roman" w:cs="Times New Roman"/>
          <w:sz w:val="24"/>
          <w:szCs w:val="24"/>
        </w:rPr>
        <w:t>0</w:t>
      </w:r>
      <w:r w:rsidRPr="00884C90">
        <w:rPr>
          <w:rFonts w:ascii="Times New Roman" w:hAnsi="Times New Roman" w:cs="Times New Roman"/>
          <w:sz w:val="24"/>
          <w:szCs w:val="24"/>
        </w:rPr>
        <w:t xml:space="preserve">.25 indicated only 6.3% of the increase was attributable to the redemption of the direct mail pieces.  As a result, most of the variance in the results was not due to the direct mail piece.  Additionally, there are other aspects of the direct mail piece that could impact redemption, such as the offer, the timing of the offer, the design and size of the piece as well as extraneous events such as an economic downturn or a competitive offering at the same time (Clow </w:t>
      </w:r>
      <w:r w:rsidR="00D77A8E">
        <w:rPr>
          <w:rFonts w:ascii="Times New Roman" w:hAnsi="Times New Roman" w:cs="Times New Roman"/>
          <w:sz w:val="24"/>
          <w:szCs w:val="24"/>
        </w:rPr>
        <w:t>and</w:t>
      </w:r>
      <w:r w:rsidRPr="00884C90">
        <w:rPr>
          <w:rFonts w:ascii="Times New Roman" w:hAnsi="Times New Roman" w:cs="Times New Roman"/>
          <w:sz w:val="24"/>
          <w:szCs w:val="24"/>
        </w:rPr>
        <w:t xml:space="preserve"> Baack, 2010), none of which were factors in this study.  </w:t>
      </w:r>
    </w:p>
    <w:p w14:paraId="38667F1B" w14:textId="02AD1826"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Conventional wisdom and intuition suggest that the offers within a direct mail piece are an important determinant that could affect the redemption of the direct mail piece.  A study on direct mail coupon redemption conducted by Bawa (1996) reinforced this assumption with findings that indicated that as the coupon face value increases, the likelihood of redemption increases.  Based on these findings, it is possible to assume the offers presented to the customer could have affected this correlation.  A weak offer with little value to the customer could elicit a weaker response than a stronger offer with a higher value to the customer.  For example, an offer of a discounted meal may not be as appealing as an offer of a free meal, or an offer of $5 cash may not be as appealing as an offer of $50 cash.  In summary, although the research findings supported the effectiveness of a CRM program on customer visitation, the coupon offer, which was not a factor in this study, could have affected th</w:t>
      </w:r>
      <w:r w:rsidR="007269B8">
        <w:rPr>
          <w:rFonts w:ascii="Times New Roman" w:hAnsi="Times New Roman" w:cs="Times New Roman"/>
          <w:sz w:val="24"/>
          <w:szCs w:val="24"/>
        </w:rPr>
        <w:t>e</w:t>
      </w:r>
      <w:r w:rsidRPr="00884C90">
        <w:rPr>
          <w:rFonts w:ascii="Times New Roman" w:hAnsi="Times New Roman" w:cs="Times New Roman"/>
          <w:sz w:val="24"/>
          <w:szCs w:val="24"/>
        </w:rPr>
        <w:t xml:space="preserve"> weak correlation. </w:t>
      </w:r>
    </w:p>
    <w:p w14:paraId="4F26FE4F" w14:textId="16A8A89A"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 xml:space="preserve">Correlational studies are statistical investigations to determine if relationships exist and the strength of relationships between variables.  A researcher of a correlative study does not determine or prove cause and effect and does not describe the size or magnitude of the relationship.  A relationship existed between the mailing and the redemption of direct mail pieces and customer loyalty defined by frequency of visits based on the </w:t>
      </w:r>
      <w:r w:rsidR="00650013">
        <w:rPr>
          <w:rFonts w:ascii="Times New Roman" w:hAnsi="Times New Roman" w:cs="Times New Roman"/>
          <w:sz w:val="24"/>
          <w:szCs w:val="24"/>
        </w:rPr>
        <w:t xml:space="preserve">rejection of three of the four </w:t>
      </w:r>
      <w:r w:rsidR="007269B8">
        <w:rPr>
          <w:rFonts w:ascii="Times New Roman" w:hAnsi="Times New Roman" w:cs="Times New Roman"/>
          <w:sz w:val="24"/>
          <w:szCs w:val="24"/>
        </w:rPr>
        <w:t xml:space="preserve">null </w:t>
      </w:r>
      <w:r w:rsidR="00650013">
        <w:rPr>
          <w:rFonts w:ascii="Times New Roman" w:hAnsi="Times New Roman" w:cs="Times New Roman"/>
          <w:sz w:val="24"/>
          <w:szCs w:val="24"/>
        </w:rPr>
        <w:t xml:space="preserve">hypotheses in </w:t>
      </w:r>
      <w:r w:rsidRPr="00884C90">
        <w:rPr>
          <w:rFonts w:ascii="Times New Roman" w:hAnsi="Times New Roman" w:cs="Times New Roman"/>
          <w:sz w:val="24"/>
          <w:szCs w:val="24"/>
        </w:rPr>
        <w:t xml:space="preserve">this study.  This conclusion is organizationally relevant as it supports the basis of the direct mail CRM program.  Direct mail CRM programs comprise a significant portion of the customer reinvestment rate of a casino and the purpose of the program is to increase the loyalty of the customer to the casino.  The typical definition of loyalty at the casino is an increase in customer visitation.  </w:t>
      </w:r>
    </w:p>
    <w:p w14:paraId="25F6EBD3" w14:textId="521D071C"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The findings of this study have significant implications for scholars, practitioners, and leaders.  The findings also contribute to the literature on loyalty programs and CRM methods, as well as the use of CRM programs in the casino industry.  A certain and apparent need exists for further research in the area of CRM program effectiveness, specifically in the casino industry.  Further research within th</w:t>
      </w:r>
      <w:r w:rsidR="007269B8">
        <w:rPr>
          <w:rFonts w:ascii="Times New Roman" w:hAnsi="Times New Roman" w:cs="Times New Roman"/>
          <w:sz w:val="24"/>
          <w:szCs w:val="24"/>
        </w:rPr>
        <w:t>e</w:t>
      </w:r>
      <w:r w:rsidRPr="00884C90">
        <w:rPr>
          <w:rFonts w:ascii="Times New Roman" w:hAnsi="Times New Roman" w:cs="Times New Roman"/>
          <w:sz w:val="24"/>
          <w:szCs w:val="24"/>
        </w:rPr>
        <w:t xml:space="preserve"> area of direct mail redemption and understanding the influence of offer value on that redemption may result in more insightful findings.  The current study’s results did not indicate a relationship existed with direct mail </w:t>
      </w:r>
      <w:r w:rsidR="007269B8">
        <w:rPr>
          <w:rFonts w:ascii="Times New Roman" w:hAnsi="Times New Roman" w:cs="Times New Roman"/>
          <w:sz w:val="24"/>
          <w:szCs w:val="24"/>
        </w:rPr>
        <w:t>as a form of advertising</w:t>
      </w:r>
      <w:r w:rsidRPr="00884C90">
        <w:rPr>
          <w:rFonts w:ascii="Times New Roman" w:hAnsi="Times New Roman" w:cs="Times New Roman"/>
          <w:sz w:val="24"/>
          <w:szCs w:val="24"/>
        </w:rPr>
        <w:t xml:space="preserve"> and customer value.  Further research within the casino and other industries may yield different results.  </w:t>
      </w:r>
    </w:p>
    <w:p w14:paraId="0CC1D04D" w14:textId="4C77514A" w:rsidR="00884C90" w:rsidRPr="00884C90" w:rsidRDefault="00884C90" w:rsidP="000677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884C90">
        <w:rPr>
          <w:rFonts w:ascii="Times New Roman" w:hAnsi="Times New Roman" w:cs="Times New Roman"/>
          <w:sz w:val="24"/>
          <w:szCs w:val="24"/>
        </w:rPr>
        <w:t>The findings of the study have significant implications for business practitioners and leaders in the casino business.  Casino leadership in local or regional casinos can further investigate the relationships presented in this study to review existing loyalty programs and perhaps revise marketing strategies and expenditures.  Understanding that direct mail CRM programs can have a positive impact on customer visitation, whether customers redeem an offer or not, could lead to decisions not to remove non-responders (those customers not redeeming coupons over a specific period of time) from the direct mail CRM program.  Direct mail CRM also has the benefit of being able to be effectively tracked to determine acquisition and maintenance costs per customer, which is a difficult practice with many other forms of advertising. Additionally, marketing personnel in the casino industry may need to adjust their definition of loyalty from one set purely on trip profitability to one of lifetime value.</w:t>
      </w:r>
    </w:p>
    <w:p w14:paraId="0260DADD" w14:textId="4EEE898F" w:rsidR="00884C90" w:rsidRPr="00884C90"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The current study provides insight into the relationship between direct mail CRM and customer loyalty; however, the study was subject to limitations.  The study was limited to using data from only one regional casino.  Casinos within the local</w:t>
      </w:r>
      <w:r w:rsidR="007269B8">
        <w:rPr>
          <w:rFonts w:ascii="Times New Roman" w:hAnsi="Times New Roman" w:cs="Times New Roman"/>
          <w:sz w:val="24"/>
          <w:szCs w:val="24"/>
        </w:rPr>
        <w:t>,</w:t>
      </w:r>
      <w:r w:rsidRPr="00884C90">
        <w:rPr>
          <w:rFonts w:ascii="Times New Roman" w:hAnsi="Times New Roman" w:cs="Times New Roman"/>
          <w:sz w:val="24"/>
          <w:szCs w:val="24"/>
        </w:rPr>
        <w:t xml:space="preserve"> regional and destination markets, as well as casinos within different regions, can differ in terms of customer behavior and customer demographics.  The data from the casino were limited to comparing only Period 1 data with Period 2 data, which spanned </w:t>
      </w:r>
      <w:r w:rsidR="007269B8">
        <w:rPr>
          <w:rFonts w:ascii="Times New Roman" w:hAnsi="Times New Roman" w:cs="Times New Roman"/>
          <w:sz w:val="24"/>
          <w:szCs w:val="24"/>
        </w:rPr>
        <w:t xml:space="preserve">only </w:t>
      </w:r>
      <w:r w:rsidRPr="00884C90">
        <w:rPr>
          <w:rFonts w:ascii="Times New Roman" w:hAnsi="Times New Roman" w:cs="Times New Roman"/>
          <w:sz w:val="24"/>
          <w:szCs w:val="24"/>
        </w:rPr>
        <w:t xml:space="preserve">2 years.  Another limitation was the limited generalizability to other hospitality and entertainment industries.  </w:t>
      </w:r>
    </w:p>
    <w:p w14:paraId="6BA9C5BC" w14:textId="45A70A5A" w:rsidR="00FB3D6E" w:rsidRDefault="00884C90" w:rsidP="000677B8">
      <w:pPr>
        <w:spacing w:after="0" w:line="240" w:lineRule="auto"/>
        <w:jc w:val="both"/>
        <w:rPr>
          <w:rFonts w:ascii="Times New Roman" w:hAnsi="Times New Roman" w:cs="Times New Roman"/>
          <w:sz w:val="24"/>
          <w:szCs w:val="24"/>
        </w:rPr>
      </w:pPr>
      <w:r w:rsidRPr="00884C90">
        <w:rPr>
          <w:rFonts w:ascii="Times New Roman" w:hAnsi="Times New Roman" w:cs="Times New Roman"/>
          <w:sz w:val="24"/>
          <w:szCs w:val="24"/>
        </w:rPr>
        <w:tab/>
        <w:t>Researchers need to continually research and understand the relationship between direct mail CRM programs and customer loyalty.  This understanding will allow leaders of CRM programs to modify the programs to meet the needs of the business and the customer</w:t>
      </w:r>
      <w:r w:rsidR="007269B8">
        <w:rPr>
          <w:rFonts w:ascii="Times New Roman" w:hAnsi="Times New Roman" w:cs="Times New Roman"/>
          <w:sz w:val="24"/>
          <w:szCs w:val="24"/>
        </w:rPr>
        <w:t xml:space="preserve"> in a way that benefits the organization profitably.  Mo</w:t>
      </w:r>
      <w:r w:rsidRPr="00884C90">
        <w:rPr>
          <w:rFonts w:ascii="Times New Roman" w:hAnsi="Times New Roman" w:cs="Times New Roman"/>
          <w:sz w:val="24"/>
          <w:szCs w:val="24"/>
        </w:rPr>
        <w:t>dification is important, as customer reinvestment costs and competition for the customer continue</w:t>
      </w:r>
      <w:r w:rsidR="007269B8">
        <w:rPr>
          <w:rFonts w:ascii="Times New Roman" w:hAnsi="Times New Roman" w:cs="Times New Roman"/>
          <w:sz w:val="24"/>
          <w:szCs w:val="24"/>
        </w:rPr>
        <w:t>s</w:t>
      </w:r>
      <w:r w:rsidRPr="00884C90">
        <w:rPr>
          <w:rFonts w:ascii="Times New Roman" w:hAnsi="Times New Roman" w:cs="Times New Roman"/>
          <w:sz w:val="24"/>
          <w:szCs w:val="24"/>
        </w:rPr>
        <w:t xml:space="preserve"> to increase.  </w:t>
      </w:r>
    </w:p>
    <w:p w14:paraId="4037712A" w14:textId="77777777" w:rsidR="00B94EA6" w:rsidRDefault="00B94EA6" w:rsidP="000677B8">
      <w:pPr>
        <w:spacing w:after="0" w:line="240" w:lineRule="auto"/>
        <w:jc w:val="both"/>
        <w:rPr>
          <w:rFonts w:ascii="Times New Roman" w:hAnsi="Times New Roman" w:cs="Times New Roman"/>
          <w:b/>
          <w:sz w:val="24"/>
          <w:szCs w:val="24"/>
        </w:rPr>
      </w:pPr>
    </w:p>
    <w:p w14:paraId="0AF777E8" w14:textId="77383E9F" w:rsidR="00B45560" w:rsidRDefault="00B45560" w:rsidP="000677B8">
      <w:pPr>
        <w:spacing w:after="0" w:line="240" w:lineRule="auto"/>
        <w:jc w:val="both"/>
        <w:rPr>
          <w:rFonts w:ascii="Arial" w:hAnsi="Arial" w:cs="Arial"/>
          <w:sz w:val="24"/>
          <w:szCs w:val="24"/>
        </w:rPr>
      </w:pPr>
      <w:r w:rsidRPr="00FE7FC8">
        <w:rPr>
          <w:rFonts w:ascii="Arial" w:hAnsi="Arial" w:cs="Arial"/>
          <w:sz w:val="24"/>
          <w:szCs w:val="24"/>
        </w:rPr>
        <w:t>References</w:t>
      </w:r>
    </w:p>
    <w:p w14:paraId="1AEB008E" w14:textId="77777777" w:rsidR="00FE7FC8" w:rsidRPr="00FE7FC8" w:rsidRDefault="00FE7FC8" w:rsidP="000677B8">
      <w:pPr>
        <w:spacing w:after="0" w:line="240" w:lineRule="auto"/>
        <w:jc w:val="both"/>
        <w:rPr>
          <w:rFonts w:ascii="Arial" w:hAnsi="Arial" w:cs="Arial"/>
          <w:sz w:val="24"/>
          <w:szCs w:val="24"/>
        </w:rPr>
      </w:pPr>
    </w:p>
    <w:p w14:paraId="7DACEDE9" w14:textId="38426268"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Agrawal ML (2004) Customer relationship management (CRM)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corporate renaissance. </w:t>
      </w:r>
      <w:r w:rsidRPr="00E97F49">
        <w:rPr>
          <w:rFonts w:ascii="Times New Roman" w:eastAsia="Calibri" w:hAnsi="Times New Roman" w:cs="Times New Roman"/>
          <w:i/>
          <w:sz w:val="24"/>
          <w:szCs w:val="24"/>
        </w:rPr>
        <w:t xml:space="preserve">Journal of Services Research, </w:t>
      </w:r>
      <w:r w:rsidRPr="00C62BD6">
        <w:rPr>
          <w:rFonts w:ascii="Times New Roman" w:eastAsia="Calibri" w:hAnsi="Times New Roman" w:cs="Times New Roman"/>
          <w:sz w:val="24"/>
          <w:szCs w:val="24"/>
        </w:rPr>
        <w:t>3</w:t>
      </w:r>
      <w:r w:rsidR="00C62BD6" w:rsidRPr="00C62BD6">
        <w:rPr>
          <w:rFonts w:ascii="Times New Roman" w:eastAsia="Calibri" w:hAnsi="Times New Roman" w:cs="Times New Roman"/>
          <w:sz w:val="24"/>
          <w:szCs w:val="24"/>
        </w:rPr>
        <w:t>:</w:t>
      </w:r>
      <w:r w:rsidRPr="00C62BD6">
        <w:rPr>
          <w:rFonts w:ascii="Times New Roman" w:eastAsia="Calibri" w:hAnsi="Times New Roman" w:cs="Times New Roman"/>
          <w:sz w:val="24"/>
          <w:szCs w:val="24"/>
        </w:rPr>
        <w:t xml:space="preserve"> </w:t>
      </w:r>
      <w:r w:rsidRPr="00E97F49">
        <w:rPr>
          <w:rFonts w:ascii="Times New Roman" w:eastAsia="Calibri" w:hAnsi="Times New Roman" w:cs="Times New Roman"/>
          <w:sz w:val="24"/>
          <w:szCs w:val="24"/>
        </w:rPr>
        <w:t xml:space="preserve">149-171. </w:t>
      </w:r>
    </w:p>
    <w:p w14:paraId="6E30051E" w14:textId="305FA9BC" w:rsid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American Gaming Association (201</w:t>
      </w:r>
      <w:r w:rsidR="00926154">
        <w:rPr>
          <w:rFonts w:ascii="Times New Roman" w:eastAsia="Calibri" w:hAnsi="Times New Roman" w:cs="Times New Roman"/>
          <w:sz w:val="24"/>
          <w:szCs w:val="24"/>
        </w:rPr>
        <w:t>7</w:t>
      </w:r>
      <w:r w:rsidRPr="00E97F49">
        <w:rPr>
          <w:rFonts w:ascii="Times New Roman" w:eastAsia="Calibri" w:hAnsi="Times New Roman" w:cs="Times New Roman"/>
          <w:sz w:val="24"/>
          <w:szCs w:val="24"/>
        </w:rPr>
        <w:t xml:space="preserve">) </w:t>
      </w:r>
      <w:r w:rsidR="00926154">
        <w:rPr>
          <w:rFonts w:ascii="Times New Roman" w:eastAsia="Calibri" w:hAnsi="Times New Roman" w:cs="Times New Roman"/>
          <w:sz w:val="24"/>
          <w:szCs w:val="24"/>
        </w:rPr>
        <w:t xml:space="preserve">2013 </w:t>
      </w:r>
      <w:r w:rsidRPr="00E97F49">
        <w:rPr>
          <w:rFonts w:ascii="Times New Roman" w:eastAsia="Calibri" w:hAnsi="Times New Roman" w:cs="Times New Roman"/>
          <w:sz w:val="24"/>
          <w:szCs w:val="24"/>
        </w:rPr>
        <w:t xml:space="preserve">State of the states. </w:t>
      </w:r>
      <w:r w:rsidR="00926154">
        <w:rPr>
          <w:rFonts w:ascii="Times New Roman" w:eastAsia="Calibri" w:hAnsi="Times New Roman" w:cs="Times New Roman"/>
          <w:sz w:val="24"/>
          <w:szCs w:val="24"/>
        </w:rPr>
        <w:t>Available at:</w:t>
      </w:r>
      <w:r w:rsidRPr="00E97F49">
        <w:rPr>
          <w:rFonts w:ascii="Times New Roman" w:eastAsia="Calibri" w:hAnsi="Times New Roman" w:cs="Times New Roman"/>
          <w:sz w:val="24"/>
          <w:szCs w:val="24"/>
        </w:rPr>
        <w:t xml:space="preserve"> </w:t>
      </w:r>
      <w:hyperlink r:id="rId8" w:history="1">
        <w:r w:rsidR="00926154" w:rsidRPr="00E77DD5">
          <w:rPr>
            <w:rStyle w:val="Hyperlink"/>
            <w:rFonts w:ascii="Times New Roman" w:eastAsia="Calibri" w:hAnsi="Times New Roman" w:cs="Times New Roman"/>
            <w:sz w:val="24"/>
            <w:szCs w:val="24"/>
          </w:rPr>
          <w:t>www.americangaming.org/research/reports/state-states-14</w:t>
        </w:r>
      </w:hyperlink>
      <w:r w:rsidR="00926154">
        <w:rPr>
          <w:rFonts w:ascii="Times New Roman" w:eastAsia="Calibri" w:hAnsi="Times New Roman" w:cs="Times New Roman"/>
          <w:sz w:val="24"/>
          <w:szCs w:val="24"/>
        </w:rPr>
        <w:t>.</w:t>
      </w:r>
    </w:p>
    <w:p w14:paraId="64154DA2" w14:textId="1DD79A1D" w:rsidR="00926154" w:rsidRDefault="00926154" w:rsidP="000677B8">
      <w:pPr>
        <w:spacing w:after="0" w:line="240" w:lineRule="auto"/>
        <w:ind w:left="720"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American Gaming Association (2017) 2016 State of the States.  Available at:</w:t>
      </w:r>
    </w:p>
    <w:p w14:paraId="73400D4B" w14:textId="60FF6344" w:rsidR="00926154" w:rsidRDefault="00926154" w:rsidP="000677B8">
      <w:pPr>
        <w:spacing w:after="0" w:line="240" w:lineRule="auto"/>
        <w:ind w:left="720" w:hanging="720"/>
        <w:jc w:val="both"/>
        <w:rPr>
          <w:rFonts w:ascii="Times New Roman" w:eastAsia="Calibri" w:hAnsi="Times New Roman" w:cs="Times New Roman"/>
          <w:sz w:val="24"/>
          <w:szCs w:val="24"/>
        </w:rPr>
      </w:pPr>
      <w:r>
        <w:rPr>
          <w:rFonts w:ascii="Times New Roman" w:eastAsia="Calibri" w:hAnsi="Times New Roman" w:cs="Times New Roman"/>
          <w:sz w:val="24"/>
          <w:szCs w:val="24"/>
        </w:rPr>
        <w:tab/>
      </w:r>
      <w:hyperlink r:id="rId9" w:history="1">
        <w:r w:rsidRPr="00E77DD5">
          <w:rPr>
            <w:rStyle w:val="Hyperlink"/>
            <w:rFonts w:ascii="Times New Roman" w:eastAsia="Calibri" w:hAnsi="Times New Roman" w:cs="Times New Roman"/>
            <w:sz w:val="24"/>
            <w:szCs w:val="24"/>
          </w:rPr>
          <w:t>www.americangaming.org/research/reports/2016-state-states</w:t>
        </w:r>
      </w:hyperlink>
      <w:r>
        <w:rPr>
          <w:rFonts w:ascii="Times New Roman" w:eastAsia="Calibri" w:hAnsi="Times New Roman" w:cs="Times New Roman"/>
          <w:sz w:val="24"/>
          <w:szCs w:val="24"/>
        </w:rPr>
        <w:t>.</w:t>
      </w:r>
    </w:p>
    <w:p w14:paraId="43414B4E" w14:textId="2B6DB129"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Bawa K (1996) Influences on consumer response to direct mail coupons: An integrative review. </w:t>
      </w:r>
      <w:r w:rsidRPr="00E97F49">
        <w:rPr>
          <w:rFonts w:ascii="Times New Roman" w:eastAsia="Calibri" w:hAnsi="Times New Roman" w:cs="Times New Roman"/>
          <w:i/>
          <w:sz w:val="24"/>
          <w:szCs w:val="24"/>
        </w:rPr>
        <w:t xml:space="preserve">Psychology </w:t>
      </w:r>
      <w:r w:rsidR="00D77A8E">
        <w:rPr>
          <w:rFonts w:ascii="Times New Roman" w:eastAsia="Calibri" w:hAnsi="Times New Roman" w:cs="Times New Roman"/>
          <w:i/>
          <w:sz w:val="24"/>
          <w:szCs w:val="24"/>
        </w:rPr>
        <w:t>and</w:t>
      </w:r>
      <w:r w:rsidRPr="00E97F49">
        <w:rPr>
          <w:rFonts w:ascii="Times New Roman" w:eastAsia="Calibri" w:hAnsi="Times New Roman" w:cs="Times New Roman"/>
          <w:i/>
          <w:sz w:val="24"/>
          <w:szCs w:val="24"/>
        </w:rPr>
        <w:t xml:space="preserve"> Marketing, </w:t>
      </w:r>
      <w:r w:rsidRPr="00C62BD6">
        <w:rPr>
          <w:rFonts w:ascii="Times New Roman" w:eastAsia="Calibri" w:hAnsi="Times New Roman" w:cs="Times New Roman"/>
          <w:sz w:val="24"/>
          <w:szCs w:val="24"/>
        </w:rPr>
        <w:t>13</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129-156. </w:t>
      </w:r>
    </w:p>
    <w:p w14:paraId="3AF2CF78" w14:textId="7FD2C5AF"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Bowen JT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Chen S (2001) The relationship between customer loyalty and customer satisfaction. </w:t>
      </w:r>
      <w:r w:rsidRPr="00E97F49">
        <w:rPr>
          <w:rFonts w:ascii="Times New Roman" w:eastAsia="Calibri" w:hAnsi="Times New Roman" w:cs="Times New Roman"/>
          <w:i/>
          <w:sz w:val="24"/>
          <w:szCs w:val="24"/>
        </w:rPr>
        <w:t>International Journal of Contemporary Hospitality Management</w:t>
      </w:r>
      <w:r w:rsidRPr="00E97F49">
        <w:rPr>
          <w:rFonts w:ascii="Times New Roman" w:eastAsia="Calibri" w:hAnsi="Times New Roman" w:cs="Times New Roman"/>
          <w:sz w:val="24"/>
          <w:szCs w:val="24"/>
        </w:rPr>
        <w:t xml:space="preserve">, </w:t>
      </w:r>
      <w:r w:rsidRPr="00C62BD6">
        <w:rPr>
          <w:rFonts w:ascii="Times New Roman" w:eastAsia="Calibri" w:hAnsi="Times New Roman" w:cs="Times New Roman"/>
          <w:sz w:val="24"/>
          <w:szCs w:val="24"/>
        </w:rPr>
        <w:t>13</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213-217.</w:t>
      </w:r>
      <w:r w:rsidRPr="00E97F49">
        <w:rPr>
          <w:rFonts w:ascii="Times New Roman" w:eastAsia="Times New Roman" w:hAnsi="Times New Roman" w:cs="Times New Roman"/>
          <w:sz w:val="24"/>
          <w:szCs w:val="24"/>
        </w:rPr>
        <w:t xml:space="preserve"> </w:t>
      </w:r>
    </w:p>
    <w:p w14:paraId="100E0A29" w14:textId="4573B65E"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Chen </w:t>
      </w:r>
      <w:r w:rsidR="00C62BD6">
        <w:rPr>
          <w:rFonts w:ascii="Times New Roman" w:eastAsia="Calibri" w:hAnsi="Times New Roman" w:cs="Times New Roman"/>
          <w:sz w:val="24"/>
          <w:szCs w:val="24"/>
        </w:rPr>
        <w:t>I</w:t>
      </w:r>
      <w:r w:rsidRPr="00E97F49">
        <w:rPr>
          <w:rFonts w:ascii="Times New Roman" w:eastAsia="Calibri" w:hAnsi="Times New Roman" w:cs="Times New Roman"/>
          <w:sz w:val="24"/>
          <w:szCs w:val="24"/>
        </w:rPr>
        <w:t xml:space="preserve">J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Popovich K (2003) Understanding customer relationship management (CRM): People, process and technology. </w:t>
      </w:r>
      <w:r w:rsidRPr="00E97F49">
        <w:rPr>
          <w:rFonts w:ascii="Times New Roman" w:eastAsia="Calibri" w:hAnsi="Times New Roman" w:cs="Times New Roman"/>
          <w:i/>
          <w:sz w:val="24"/>
          <w:szCs w:val="24"/>
        </w:rPr>
        <w:t>Business Process Management Journal</w:t>
      </w:r>
      <w:r w:rsidRPr="00E97F49">
        <w:rPr>
          <w:rFonts w:ascii="Times New Roman" w:eastAsia="Calibri" w:hAnsi="Times New Roman" w:cs="Times New Roman"/>
          <w:sz w:val="24"/>
          <w:szCs w:val="24"/>
        </w:rPr>
        <w:t xml:space="preserve">, </w:t>
      </w:r>
      <w:r w:rsidRPr="00C62BD6">
        <w:rPr>
          <w:rFonts w:ascii="Times New Roman" w:eastAsia="Calibri" w:hAnsi="Times New Roman" w:cs="Times New Roman"/>
          <w:sz w:val="24"/>
          <w:szCs w:val="24"/>
        </w:rPr>
        <w:t>9</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672-688.</w:t>
      </w:r>
      <w:r w:rsidRPr="00E97F49">
        <w:rPr>
          <w:rFonts w:ascii="Times New Roman" w:eastAsia="Times New Roman" w:hAnsi="Times New Roman" w:cs="Times New Roman"/>
          <w:sz w:val="24"/>
          <w:szCs w:val="24"/>
        </w:rPr>
        <w:t xml:space="preserve"> </w:t>
      </w:r>
    </w:p>
    <w:p w14:paraId="05A87907" w14:textId="02D73309"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Chu KM (2009) The construction model of customer trust, perceived value and customer loyalty. </w:t>
      </w:r>
      <w:r w:rsidRPr="00E97F49">
        <w:rPr>
          <w:rFonts w:ascii="Times New Roman" w:eastAsia="Calibri" w:hAnsi="Times New Roman" w:cs="Times New Roman"/>
          <w:i/>
          <w:sz w:val="24"/>
          <w:szCs w:val="24"/>
        </w:rPr>
        <w:t xml:space="preserve">Journal of American Academy of Business, Cambridge, </w:t>
      </w:r>
      <w:r w:rsidRPr="00C62BD6">
        <w:rPr>
          <w:rFonts w:ascii="Times New Roman" w:eastAsia="Calibri" w:hAnsi="Times New Roman" w:cs="Times New Roman"/>
          <w:sz w:val="24"/>
          <w:szCs w:val="24"/>
        </w:rPr>
        <w:t>14</w:t>
      </w:r>
      <w:r w:rsidRPr="00E97F49">
        <w:rPr>
          <w:rFonts w:ascii="Times New Roman" w:eastAsia="Calibri" w:hAnsi="Times New Roman" w:cs="Times New Roman"/>
          <w:sz w:val="24"/>
          <w:szCs w:val="24"/>
        </w:rPr>
        <w:t>(2)</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98-103. </w:t>
      </w:r>
    </w:p>
    <w:p w14:paraId="2B37A283" w14:textId="53D364A0"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Clow KE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Baack D (2010) </w:t>
      </w:r>
      <w:r w:rsidRPr="00E97F49">
        <w:rPr>
          <w:rFonts w:ascii="Times New Roman" w:eastAsia="Calibri" w:hAnsi="Times New Roman" w:cs="Times New Roman"/>
          <w:i/>
          <w:sz w:val="24"/>
          <w:szCs w:val="24"/>
        </w:rPr>
        <w:t>Marketing management: A customer-oriented approach.</w:t>
      </w:r>
      <w:r w:rsidRPr="00E97F49">
        <w:rPr>
          <w:rFonts w:ascii="Times New Roman" w:eastAsia="Calibri" w:hAnsi="Times New Roman" w:cs="Times New Roman"/>
          <w:sz w:val="24"/>
          <w:szCs w:val="24"/>
        </w:rPr>
        <w:t xml:space="preserve"> Thousand Oaks, CA: Sage.</w:t>
      </w:r>
    </w:p>
    <w:p w14:paraId="1062526F" w14:textId="5219AEA9"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Cuthbertson R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Laine A (2004) The role of CRM within retail loyalty marketing. </w:t>
      </w:r>
      <w:r w:rsidRPr="00E97F49">
        <w:rPr>
          <w:rFonts w:ascii="Times New Roman" w:eastAsia="Calibri" w:hAnsi="Times New Roman" w:cs="Times New Roman"/>
          <w:i/>
          <w:sz w:val="24"/>
          <w:szCs w:val="24"/>
        </w:rPr>
        <w:t xml:space="preserve">Journal of Targeting, Measurement and Analysis for Marketing, </w:t>
      </w:r>
      <w:r w:rsidRPr="00C62BD6">
        <w:rPr>
          <w:rFonts w:ascii="Times New Roman" w:eastAsia="Calibri" w:hAnsi="Times New Roman" w:cs="Times New Roman"/>
          <w:sz w:val="24"/>
          <w:szCs w:val="24"/>
        </w:rPr>
        <w:t>12</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290-304.</w:t>
      </w:r>
      <w:r w:rsidRPr="00E97F49">
        <w:rPr>
          <w:rFonts w:ascii="Times New Roman" w:eastAsia="Times New Roman" w:hAnsi="Times New Roman" w:cs="Times New Roman"/>
          <w:sz w:val="24"/>
          <w:szCs w:val="24"/>
        </w:rPr>
        <w:t xml:space="preserve"> </w:t>
      </w:r>
    </w:p>
    <w:p w14:paraId="270133CF" w14:textId="6295E5E4"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Eadington </w:t>
      </w:r>
      <w:r w:rsidR="00C62BD6">
        <w:rPr>
          <w:rFonts w:ascii="Times New Roman" w:eastAsia="Calibri" w:hAnsi="Times New Roman" w:cs="Times New Roman"/>
          <w:sz w:val="24"/>
          <w:szCs w:val="24"/>
        </w:rPr>
        <w:t>W</w:t>
      </w:r>
      <w:r w:rsidRPr="00E97F49">
        <w:rPr>
          <w:rFonts w:ascii="Times New Roman" w:eastAsia="Calibri" w:hAnsi="Times New Roman" w:cs="Times New Roman"/>
          <w:sz w:val="24"/>
          <w:szCs w:val="24"/>
        </w:rPr>
        <w:t xml:space="preserve">R (2009) Capital, rent-seeking, and risk taking in the casino industry and the economy at large. </w:t>
      </w:r>
      <w:r w:rsidRPr="00E97F49">
        <w:rPr>
          <w:rFonts w:ascii="Times New Roman" w:eastAsia="Calibri" w:hAnsi="Times New Roman" w:cs="Times New Roman"/>
          <w:i/>
          <w:sz w:val="24"/>
          <w:szCs w:val="24"/>
        </w:rPr>
        <w:t xml:space="preserve">International Gambling Studies, </w:t>
      </w:r>
      <w:r w:rsidRPr="00C62BD6">
        <w:rPr>
          <w:rFonts w:ascii="Times New Roman" w:eastAsia="Calibri" w:hAnsi="Times New Roman" w:cs="Times New Roman"/>
          <w:sz w:val="24"/>
          <w:szCs w:val="24"/>
        </w:rPr>
        <w:t>9</w:t>
      </w:r>
      <w:r w:rsidRPr="00E97F49">
        <w:rPr>
          <w:rFonts w:ascii="Times New Roman" w:eastAsia="Calibri" w:hAnsi="Times New Roman" w:cs="Times New Roman"/>
          <w:sz w:val="24"/>
          <w:szCs w:val="24"/>
        </w:rPr>
        <w:t>(3)</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181-187.</w:t>
      </w:r>
      <w:r w:rsidRPr="00E97F49">
        <w:rPr>
          <w:rFonts w:ascii="Times New Roman" w:eastAsia="Times New Roman" w:hAnsi="Times New Roman" w:cs="Times New Roman"/>
          <w:sz w:val="24"/>
          <w:szCs w:val="24"/>
        </w:rPr>
        <w:t xml:space="preserve"> </w:t>
      </w:r>
    </w:p>
    <w:p w14:paraId="742D4A9D" w14:textId="6AE1DB36" w:rsidR="00E97F49" w:rsidRPr="00E97F49" w:rsidRDefault="00E97F49" w:rsidP="000677B8">
      <w:pPr>
        <w:tabs>
          <w:tab w:val="left" w:pos="547"/>
        </w:tabs>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Fitzgerald SM, </w:t>
      </w:r>
      <w:bookmarkStart w:id="5" w:name="_Hlk505132727"/>
      <w:r w:rsidRPr="00E97F49">
        <w:rPr>
          <w:rFonts w:ascii="Times New Roman" w:eastAsia="Calibri" w:hAnsi="Times New Roman" w:cs="Times New Roman"/>
          <w:sz w:val="24"/>
          <w:szCs w:val="24"/>
        </w:rPr>
        <w:t>Rumrill PD</w:t>
      </w:r>
      <w:r w:rsidR="00C62BD6">
        <w:rPr>
          <w:rFonts w:ascii="Times New Roman" w:eastAsia="Calibri" w:hAnsi="Times New Roman" w:cs="Times New Roman"/>
          <w:sz w:val="24"/>
          <w:szCs w:val="24"/>
        </w:rPr>
        <w:t xml:space="preserve"> J</w:t>
      </w:r>
      <w:r w:rsidRPr="00E97F49">
        <w:rPr>
          <w:rFonts w:ascii="Times New Roman" w:eastAsia="Calibri" w:hAnsi="Times New Roman" w:cs="Times New Roman"/>
          <w:sz w:val="24"/>
          <w:szCs w:val="24"/>
        </w:rPr>
        <w:t xml:space="preserve">r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Schenker</w:t>
      </w:r>
      <w:bookmarkEnd w:id="5"/>
      <w:r w:rsidRPr="00E97F49">
        <w:rPr>
          <w:rFonts w:ascii="Times New Roman" w:eastAsia="Calibri" w:hAnsi="Times New Roman" w:cs="Times New Roman"/>
          <w:sz w:val="24"/>
          <w:szCs w:val="24"/>
        </w:rPr>
        <w:t xml:space="preserve"> JD (2004) Correlational designs in rehabilitation research. </w:t>
      </w:r>
      <w:r w:rsidRPr="00E97F49">
        <w:rPr>
          <w:rFonts w:ascii="Times New Roman" w:eastAsia="Calibri" w:hAnsi="Times New Roman" w:cs="Times New Roman"/>
          <w:i/>
          <w:sz w:val="24"/>
          <w:szCs w:val="24"/>
        </w:rPr>
        <w:t xml:space="preserve">Journal of Vocational Rehabilitation, </w:t>
      </w:r>
      <w:r w:rsidRPr="00C62BD6">
        <w:rPr>
          <w:rFonts w:ascii="Times New Roman" w:eastAsia="Calibri" w:hAnsi="Times New Roman" w:cs="Times New Roman"/>
          <w:sz w:val="24"/>
          <w:szCs w:val="24"/>
        </w:rPr>
        <w:t>20</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142-150. </w:t>
      </w:r>
    </w:p>
    <w:p w14:paraId="08944EA4" w14:textId="2D81EBB2"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Fitzgibbon C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White L (2005) The role of attitudinal loyalty in the development of customer relationship management strategy within service firms. </w:t>
      </w:r>
      <w:r w:rsidRPr="00E97F49">
        <w:rPr>
          <w:rFonts w:ascii="Times New Roman" w:eastAsia="Calibri" w:hAnsi="Times New Roman" w:cs="Times New Roman"/>
          <w:i/>
          <w:sz w:val="24"/>
          <w:szCs w:val="24"/>
        </w:rPr>
        <w:t>Journal of Financial</w:t>
      </w:r>
      <w:r w:rsidRPr="00E97F49">
        <w:rPr>
          <w:rFonts w:ascii="Times New Roman" w:eastAsia="Calibri" w:hAnsi="Times New Roman" w:cs="Times New Roman"/>
          <w:sz w:val="24"/>
          <w:szCs w:val="24"/>
        </w:rPr>
        <w:t xml:space="preserve"> </w:t>
      </w:r>
      <w:r w:rsidRPr="00E97F49">
        <w:rPr>
          <w:rFonts w:ascii="Times New Roman" w:eastAsia="Calibri" w:hAnsi="Times New Roman" w:cs="Times New Roman"/>
          <w:i/>
          <w:sz w:val="24"/>
          <w:szCs w:val="24"/>
        </w:rPr>
        <w:t>Services Marketing</w:t>
      </w:r>
      <w:r w:rsidRPr="00E97F49">
        <w:rPr>
          <w:rFonts w:ascii="Times New Roman" w:eastAsia="Calibri" w:hAnsi="Times New Roman" w:cs="Times New Roman"/>
          <w:sz w:val="24"/>
          <w:szCs w:val="24"/>
        </w:rPr>
        <w:t xml:space="preserve">, </w:t>
      </w:r>
      <w:r w:rsidRPr="00C62BD6">
        <w:rPr>
          <w:rFonts w:ascii="Times New Roman" w:eastAsia="Calibri" w:hAnsi="Times New Roman" w:cs="Times New Roman"/>
          <w:sz w:val="24"/>
          <w:szCs w:val="24"/>
        </w:rPr>
        <w:t>9</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214-230. </w:t>
      </w:r>
    </w:p>
    <w:p w14:paraId="3C99A8BE" w14:textId="2DDA6477"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Hillebrand B</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w:t>
      </w:r>
      <w:bookmarkStart w:id="6" w:name="_Hlk505132608"/>
      <w:r w:rsidRPr="00E97F49">
        <w:rPr>
          <w:rFonts w:ascii="Times New Roman" w:eastAsia="Calibri" w:hAnsi="Times New Roman" w:cs="Times New Roman"/>
          <w:sz w:val="24"/>
          <w:szCs w:val="24"/>
        </w:rPr>
        <w:t xml:space="preserve">Nijholt JJ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Nijssen</w:t>
      </w:r>
      <w:bookmarkEnd w:id="6"/>
      <w:r w:rsidRPr="00E97F49">
        <w:rPr>
          <w:rFonts w:ascii="Times New Roman" w:eastAsia="Calibri" w:hAnsi="Times New Roman" w:cs="Times New Roman"/>
          <w:sz w:val="24"/>
          <w:szCs w:val="24"/>
        </w:rPr>
        <w:t xml:space="preserve"> EJ (2011) Exploring CRM effectiveness: An institutional theory perspective. </w:t>
      </w:r>
      <w:r w:rsidRPr="00E97F49">
        <w:rPr>
          <w:rFonts w:ascii="Times New Roman" w:eastAsia="Calibri" w:hAnsi="Times New Roman" w:cs="Times New Roman"/>
          <w:i/>
          <w:sz w:val="24"/>
          <w:szCs w:val="24"/>
        </w:rPr>
        <w:t xml:space="preserve">Academy of Marketing Science Journal, </w:t>
      </w:r>
      <w:r w:rsidRPr="00C62BD6">
        <w:rPr>
          <w:rFonts w:ascii="Times New Roman" w:eastAsia="Calibri" w:hAnsi="Times New Roman" w:cs="Times New Roman"/>
          <w:sz w:val="24"/>
          <w:szCs w:val="24"/>
        </w:rPr>
        <w:t>39</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592-608.</w:t>
      </w:r>
      <w:r w:rsidRPr="00E97F49">
        <w:rPr>
          <w:rFonts w:ascii="Times New Roman" w:eastAsia="Times New Roman" w:hAnsi="Times New Roman" w:cs="Times New Roman"/>
          <w:sz w:val="24"/>
          <w:szCs w:val="24"/>
        </w:rPr>
        <w:t xml:space="preserve"> </w:t>
      </w:r>
    </w:p>
    <w:p w14:paraId="6DEB5F95" w14:textId="42E5CD4B"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Hing N, Cherney L, Blaszczynski A, Gainsbury SM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Lubman DI (2014) Do advertising and promotions for online gambling increase gambling consumption? An exploratory study. </w:t>
      </w:r>
      <w:r w:rsidRPr="00E97F49">
        <w:rPr>
          <w:rFonts w:ascii="Times New Roman" w:eastAsia="Calibri" w:hAnsi="Times New Roman" w:cs="Times New Roman"/>
          <w:i/>
          <w:sz w:val="24"/>
          <w:szCs w:val="24"/>
        </w:rPr>
        <w:t xml:space="preserve">International Gambling Studies, </w:t>
      </w:r>
      <w:r w:rsidRPr="00C62BD6">
        <w:rPr>
          <w:rFonts w:ascii="Times New Roman" w:eastAsia="Calibri" w:hAnsi="Times New Roman" w:cs="Times New Roman"/>
          <w:sz w:val="24"/>
          <w:szCs w:val="24"/>
        </w:rPr>
        <w:t>14</w:t>
      </w:r>
      <w:r w:rsidRPr="00E97F49">
        <w:rPr>
          <w:rFonts w:ascii="Times New Roman" w:eastAsia="Calibri" w:hAnsi="Times New Roman" w:cs="Times New Roman"/>
          <w:sz w:val="24"/>
          <w:szCs w:val="24"/>
        </w:rPr>
        <w:t>(3)</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394-409.</w:t>
      </w:r>
    </w:p>
    <w:p w14:paraId="24EB1C95" w14:textId="01739F5F"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Hsieh</w:t>
      </w:r>
      <w:r w:rsidR="00C62BD6">
        <w:rPr>
          <w:rFonts w:ascii="Times New Roman" w:eastAsia="Calibri" w:hAnsi="Times New Roman" w:cs="Times New Roman"/>
          <w:sz w:val="24"/>
          <w:szCs w:val="24"/>
        </w:rPr>
        <w:t xml:space="preserve"> C </w:t>
      </w:r>
      <w:r w:rsidRPr="00E97F49">
        <w:rPr>
          <w:rFonts w:ascii="Times New Roman" w:eastAsia="Calibri" w:hAnsi="Times New Roman" w:cs="Times New Roman"/>
          <w:sz w:val="24"/>
          <w:szCs w:val="24"/>
        </w:rPr>
        <w:t xml:space="preserve">(2009) Casino CRM: Issues and some implementation strategies. </w:t>
      </w:r>
      <w:r w:rsidRPr="00E97F49">
        <w:rPr>
          <w:rFonts w:ascii="Times New Roman" w:eastAsia="Calibri" w:hAnsi="Times New Roman" w:cs="Times New Roman"/>
          <w:i/>
          <w:sz w:val="24"/>
          <w:szCs w:val="24"/>
        </w:rPr>
        <w:t xml:space="preserve">Communications of the IIMA, </w:t>
      </w:r>
      <w:r w:rsidRPr="00C62BD6">
        <w:rPr>
          <w:rFonts w:ascii="Times New Roman" w:eastAsia="Calibri" w:hAnsi="Times New Roman" w:cs="Times New Roman"/>
          <w:sz w:val="24"/>
          <w:szCs w:val="24"/>
        </w:rPr>
        <w:t>9</w:t>
      </w:r>
      <w:r w:rsidRPr="00E97F49">
        <w:rPr>
          <w:rFonts w:ascii="Times New Roman" w:eastAsia="Calibri" w:hAnsi="Times New Roman" w:cs="Times New Roman"/>
          <w:sz w:val="24"/>
          <w:szCs w:val="24"/>
        </w:rPr>
        <w:t>(1)</w:t>
      </w:r>
      <w:r w:rsidR="00C62BD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47-60.</w:t>
      </w:r>
    </w:p>
    <w:p w14:paraId="6AB446A2" w14:textId="2E899DAF"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Juan L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Yan L (2009) Dimensions and influencing factors of customer loyalty in the intermittent service industry. </w:t>
      </w:r>
      <w:r w:rsidRPr="00E97F49">
        <w:rPr>
          <w:rFonts w:ascii="Times New Roman" w:eastAsia="Calibri" w:hAnsi="Times New Roman" w:cs="Times New Roman"/>
          <w:i/>
          <w:sz w:val="24"/>
          <w:szCs w:val="24"/>
        </w:rPr>
        <w:t xml:space="preserve">Frontiers of Business Research in China, </w:t>
      </w:r>
      <w:r w:rsidRPr="00BA30CF">
        <w:rPr>
          <w:rFonts w:ascii="Times New Roman" w:eastAsia="Calibri" w:hAnsi="Times New Roman" w:cs="Times New Roman"/>
          <w:sz w:val="24"/>
          <w:szCs w:val="24"/>
        </w:rPr>
        <w:t>3</w:t>
      </w:r>
      <w:r w:rsidR="00BA30CF">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63-78. </w:t>
      </w:r>
    </w:p>
    <w:p w14:paraId="345BAFE7" w14:textId="151C2F46" w:rsidR="00B94EA6" w:rsidRDefault="00E97F49" w:rsidP="000677B8">
      <w:pPr>
        <w:spacing w:after="0" w:line="240" w:lineRule="auto"/>
        <w:ind w:left="720" w:hanging="720"/>
        <w:jc w:val="both"/>
        <w:rPr>
          <w:rFonts w:ascii="Times New Roman" w:eastAsia="Times New Roman" w:hAnsi="Times New Roman" w:cs="Times New Roman"/>
          <w:sz w:val="24"/>
          <w:szCs w:val="24"/>
        </w:rPr>
      </w:pPr>
      <w:r w:rsidRPr="00E97F49">
        <w:rPr>
          <w:rFonts w:ascii="Times New Roman" w:eastAsia="Calibri" w:hAnsi="Times New Roman" w:cs="Times New Roman"/>
          <w:sz w:val="24"/>
          <w:szCs w:val="24"/>
        </w:rPr>
        <w:t xml:space="preserve">Kale SH (2003) CRM in gaming: It’s no crapshoot! </w:t>
      </w:r>
      <w:r w:rsidRPr="00E97F49">
        <w:rPr>
          <w:rFonts w:ascii="Times New Roman" w:eastAsia="Calibri" w:hAnsi="Times New Roman" w:cs="Times New Roman"/>
          <w:i/>
          <w:sz w:val="24"/>
          <w:szCs w:val="24"/>
        </w:rPr>
        <w:t xml:space="preserve">UNLV Gaming Research </w:t>
      </w:r>
      <w:r w:rsidR="00D77A8E">
        <w:rPr>
          <w:rFonts w:ascii="Times New Roman" w:eastAsia="Calibri" w:hAnsi="Times New Roman" w:cs="Times New Roman"/>
          <w:i/>
          <w:sz w:val="24"/>
          <w:szCs w:val="24"/>
        </w:rPr>
        <w:t>and</w:t>
      </w:r>
      <w:r w:rsidRPr="00E97F49">
        <w:rPr>
          <w:rFonts w:ascii="Times New Roman" w:eastAsia="Calibri" w:hAnsi="Times New Roman" w:cs="Times New Roman"/>
          <w:i/>
          <w:sz w:val="24"/>
          <w:szCs w:val="24"/>
        </w:rPr>
        <w:t xml:space="preserve"> Review Journal, </w:t>
      </w:r>
      <w:r w:rsidRPr="00BA30CF">
        <w:rPr>
          <w:rFonts w:ascii="Times New Roman" w:eastAsia="Calibri" w:hAnsi="Times New Roman" w:cs="Times New Roman"/>
          <w:sz w:val="24"/>
          <w:szCs w:val="24"/>
        </w:rPr>
        <w:t>7</w:t>
      </w:r>
      <w:r w:rsidRPr="00E97F49">
        <w:rPr>
          <w:rFonts w:ascii="Times New Roman" w:eastAsia="Calibri" w:hAnsi="Times New Roman" w:cs="Times New Roman"/>
          <w:sz w:val="24"/>
          <w:szCs w:val="24"/>
        </w:rPr>
        <w:t>(2)</w:t>
      </w:r>
      <w:r w:rsidR="00BA30CF">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43-54.</w:t>
      </w:r>
      <w:r w:rsidRPr="00E97F49">
        <w:rPr>
          <w:rFonts w:ascii="Times New Roman" w:eastAsia="Times New Roman" w:hAnsi="Times New Roman" w:cs="Times New Roman"/>
          <w:sz w:val="24"/>
          <w:szCs w:val="24"/>
        </w:rPr>
        <w:t xml:space="preserve"> </w:t>
      </w:r>
    </w:p>
    <w:p w14:paraId="18EC90CE" w14:textId="15C0101E"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Kennedy A (2006) Electronic customer relationship management (eCRM): Opportunities and challenges in a digital world. </w:t>
      </w:r>
      <w:r w:rsidRPr="00E97F49">
        <w:rPr>
          <w:rFonts w:ascii="Times New Roman" w:eastAsia="Calibri" w:hAnsi="Times New Roman" w:cs="Times New Roman"/>
          <w:i/>
          <w:sz w:val="24"/>
          <w:szCs w:val="24"/>
        </w:rPr>
        <w:t>Irish Marketing Review</w:t>
      </w:r>
      <w:r w:rsidRPr="00E97F49">
        <w:rPr>
          <w:rFonts w:ascii="Times New Roman" w:eastAsia="Calibri" w:hAnsi="Times New Roman" w:cs="Times New Roman"/>
          <w:sz w:val="24"/>
          <w:szCs w:val="24"/>
        </w:rPr>
        <w:t xml:space="preserve">, </w:t>
      </w:r>
      <w:r w:rsidRPr="00BA30CF">
        <w:rPr>
          <w:rFonts w:ascii="Times New Roman" w:eastAsia="Calibri" w:hAnsi="Times New Roman" w:cs="Times New Roman"/>
          <w:sz w:val="24"/>
          <w:szCs w:val="24"/>
        </w:rPr>
        <w:t>18</w:t>
      </w:r>
      <w:r w:rsidR="00BA30CF">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58-68. </w:t>
      </w:r>
    </w:p>
    <w:p w14:paraId="467BE921" w14:textId="38E4F9E4"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Khan MT (2013) Customers loyalty: Concept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definition (A review). </w:t>
      </w:r>
      <w:r w:rsidRPr="00E97F49">
        <w:rPr>
          <w:rFonts w:ascii="Times New Roman" w:eastAsia="Calibri" w:hAnsi="Times New Roman" w:cs="Times New Roman"/>
          <w:i/>
          <w:sz w:val="24"/>
          <w:szCs w:val="24"/>
        </w:rPr>
        <w:t xml:space="preserve">International Journal of Information, Business and Management, </w:t>
      </w:r>
      <w:r w:rsidRPr="00BA30CF">
        <w:rPr>
          <w:rFonts w:ascii="Times New Roman" w:eastAsia="Calibri" w:hAnsi="Times New Roman" w:cs="Times New Roman"/>
          <w:sz w:val="24"/>
          <w:szCs w:val="24"/>
        </w:rPr>
        <w:t>5(</w:t>
      </w:r>
      <w:r w:rsidRPr="00E97F49">
        <w:rPr>
          <w:rFonts w:ascii="Times New Roman" w:eastAsia="Calibri" w:hAnsi="Times New Roman" w:cs="Times New Roman"/>
          <w:sz w:val="24"/>
          <w:szCs w:val="24"/>
        </w:rPr>
        <w:t>3)</w:t>
      </w:r>
      <w:r w:rsidR="00BA30CF">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168-191.</w:t>
      </w:r>
      <w:r w:rsidRPr="00E97F49">
        <w:rPr>
          <w:rFonts w:ascii="Times New Roman" w:eastAsia="Times New Roman" w:hAnsi="Times New Roman" w:cs="Times New Roman"/>
          <w:sz w:val="24"/>
          <w:szCs w:val="24"/>
        </w:rPr>
        <w:t xml:space="preserve"> </w:t>
      </w:r>
    </w:p>
    <w:p w14:paraId="1AAB7CF8" w14:textId="2D5D2EA1"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Kim M, </w:t>
      </w:r>
      <w:bookmarkStart w:id="7" w:name="_Hlk505132555"/>
      <w:r w:rsidRPr="00E97F49">
        <w:rPr>
          <w:rFonts w:ascii="Times New Roman" w:eastAsia="Calibri" w:hAnsi="Times New Roman" w:cs="Times New Roman"/>
          <w:sz w:val="24"/>
          <w:szCs w:val="24"/>
        </w:rPr>
        <w:t xml:space="preserve">Park JE, Dubinsky AF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Chaiy</w:t>
      </w:r>
      <w:bookmarkEnd w:id="7"/>
      <w:r w:rsidRPr="00E97F49">
        <w:rPr>
          <w:rFonts w:ascii="Times New Roman" w:eastAsia="Calibri" w:hAnsi="Times New Roman" w:cs="Times New Roman"/>
          <w:sz w:val="24"/>
          <w:szCs w:val="24"/>
        </w:rPr>
        <w:t xml:space="preserve"> S (2012) Frequency of CRM implementation activities: A customer-centric view. </w:t>
      </w:r>
      <w:r w:rsidRPr="00E97F49">
        <w:rPr>
          <w:rFonts w:ascii="Times New Roman" w:eastAsia="Calibri" w:hAnsi="Times New Roman" w:cs="Times New Roman"/>
          <w:i/>
          <w:sz w:val="24"/>
          <w:szCs w:val="24"/>
        </w:rPr>
        <w:t xml:space="preserve">Journal of Services Marketing, </w:t>
      </w:r>
      <w:r w:rsidRPr="00BA30CF">
        <w:rPr>
          <w:rFonts w:ascii="Times New Roman" w:eastAsia="Calibri" w:hAnsi="Times New Roman" w:cs="Times New Roman"/>
          <w:sz w:val="24"/>
          <w:szCs w:val="24"/>
        </w:rPr>
        <w:t>26</w:t>
      </w:r>
      <w:r w:rsidRPr="00E97F49">
        <w:rPr>
          <w:rFonts w:ascii="Times New Roman" w:eastAsia="Calibri" w:hAnsi="Times New Roman" w:cs="Times New Roman"/>
          <w:sz w:val="24"/>
          <w:szCs w:val="24"/>
        </w:rPr>
        <w:t>(2)</w:t>
      </w:r>
      <w:r w:rsidR="00BA30CF">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83-93.</w:t>
      </w:r>
      <w:r w:rsidRPr="00E97F49">
        <w:rPr>
          <w:rFonts w:ascii="Times New Roman" w:eastAsia="Times New Roman" w:hAnsi="Times New Roman" w:cs="Times New Roman"/>
          <w:sz w:val="24"/>
          <w:szCs w:val="24"/>
        </w:rPr>
        <w:t xml:space="preserve"> </w:t>
      </w:r>
    </w:p>
    <w:p w14:paraId="3FE5F1BD" w14:textId="6032EDD6" w:rsidR="00E97F49" w:rsidRPr="00E97F49" w:rsidRDefault="00E97F49" w:rsidP="000677B8">
      <w:pPr>
        <w:spacing w:after="0" w:line="240" w:lineRule="auto"/>
        <w:ind w:left="720" w:hanging="720"/>
        <w:jc w:val="both"/>
        <w:rPr>
          <w:rFonts w:ascii="Times New Roman" w:eastAsia="Calibri" w:hAnsi="Times New Roman" w:cs="Times New Roman"/>
          <w:i/>
          <w:sz w:val="24"/>
          <w:szCs w:val="24"/>
        </w:rPr>
      </w:pPr>
      <w:r w:rsidRPr="00E97F49">
        <w:rPr>
          <w:rFonts w:ascii="Times New Roman" w:eastAsia="Calibri" w:hAnsi="Times New Roman" w:cs="Times New Roman"/>
          <w:sz w:val="24"/>
          <w:szCs w:val="24"/>
        </w:rPr>
        <w:t xml:space="preserve">Klebanow A (2009) Customer reinvestment analysis in the gaming industry. </w:t>
      </w:r>
      <w:r w:rsidRPr="00E97F49">
        <w:rPr>
          <w:rFonts w:ascii="Times New Roman" w:eastAsia="Calibri" w:hAnsi="Times New Roman" w:cs="Times New Roman"/>
          <w:i/>
          <w:sz w:val="24"/>
          <w:szCs w:val="24"/>
        </w:rPr>
        <w:t>Worldwide Hospitality and Tourism Themes</w:t>
      </w:r>
      <w:r w:rsidRPr="00E97F49">
        <w:rPr>
          <w:rFonts w:ascii="Times New Roman" w:eastAsia="Calibri" w:hAnsi="Times New Roman" w:cs="Times New Roman"/>
          <w:sz w:val="24"/>
          <w:szCs w:val="24"/>
        </w:rPr>
        <w:t xml:space="preserve">, </w:t>
      </w:r>
      <w:r w:rsidRPr="00BA30CF">
        <w:rPr>
          <w:rFonts w:ascii="Times New Roman" w:eastAsia="Calibri" w:hAnsi="Times New Roman" w:cs="Times New Roman"/>
          <w:sz w:val="24"/>
          <w:szCs w:val="24"/>
        </w:rPr>
        <w:t>1</w:t>
      </w:r>
      <w:r w:rsidR="00BA30CF">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386-391.</w:t>
      </w:r>
      <w:r w:rsidRPr="00E97F49">
        <w:rPr>
          <w:rFonts w:ascii="Times New Roman" w:eastAsia="Times New Roman" w:hAnsi="Times New Roman" w:cs="Times New Roman"/>
          <w:sz w:val="24"/>
          <w:szCs w:val="24"/>
        </w:rPr>
        <w:t xml:space="preserve"> </w:t>
      </w:r>
    </w:p>
    <w:p w14:paraId="7377A99D" w14:textId="5718D526"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Kumar V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Rajan B (2009) Profitable customer management: Measuring and maximizing customer lifetime value. </w:t>
      </w:r>
      <w:r w:rsidRPr="00E97F49">
        <w:rPr>
          <w:rFonts w:ascii="Times New Roman" w:eastAsia="Calibri" w:hAnsi="Times New Roman" w:cs="Times New Roman"/>
          <w:i/>
          <w:sz w:val="24"/>
          <w:szCs w:val="24"/>
        </w:rPr>
        <w:t xml:space="preserve">Management Accounting Quarterly, </w:t>
      </w:r>
      <w:r w:rsidRPr="00FF6466">
        <w:rPr>
          <w:rFonts w:ascii="Times New Roman" w:eastAsia="Calibri" w:hAnsi="Times New Roman" w:cs="Times New Roman"/>
          <w:sz w:val="24"/>
          <w:szCs w:val="24"/>
        </w:rPr>
        <w:t>10</w:t>
      </w:r>
      <w:r w:rsidRPr="00E97F49">
        <w:rPr>
          <w:rFonts w:ascii="Times New Roman" w:eastAsia="Calibri" w:hAnsi="Times New Roman" w:cs="Times New Roman"/>
          <w:sz w:val="24"/>
          <w:szCs w:val="24"/>
        </w:rPr>
        <w:t>(3)</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1-18.</w:t>
      </w:r>
      <w:r w:rsidRPr="00E97F49">
        <w:rPr>
          <w:rFonts w:ascii="Times New Roman" w:eastAsia="Times New Roman" w:hAnsi="Times New Roman" w:cs="Times New Roman"/>
          <w:sz w:val="24"/>
          <w:szCs w:val="24"/>
        </w:rPr>
        <w:t xml:space="preserve"> </w:t>
      </w:r>
    </w:p>
    <w:p w14:paraId="50B2D097" w14:textId="6200C5E1" w:rsidR="00E97F49" w:rsidRPr="00E97F49" w:rsidRDefault="00E97F49" w:rsidP="000677B8">
      <w:pPr>
        <w:tabs>
          <w:tab w:val="left" w:pos="547"/>
        </w:tabs>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Liu Y (2007) The long-term impact of loyalty programs on consumer purchase behavior and loyalty. </w:t>
      </w:r>
      <w:r w:rsidRPr="00E97F49">
        <w:rPr>
          <w:rFonts w:ascii="Times New Roman" w:eastAsia="Calibri" w:hAnsi="Times New Roman" w:cs="Times New Roman"/>
          <w:i/>
          <w:sz w:val="24"/>
          <w:szCs w:val="24"/>
        </w:rPr>
        <w:t xml:space="preserve">Journal of Marketing, </w:t>
      </w:r>
      <w:r w:rsidRPr="00FF6466">
        <w:rPr>
          <w:rFonts w:ascii="Times New Roman" w:eastAsia="Calibri" w:hAnsi="Times New Roman" w:cs="Times New Roman"/>
          <w:sz w:val="24"/>
          <w:szCs w:val="24"/>
        </w:rPr>
        <w:t>71</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19-35.</w:t>
      </w:r>
      <w:r w:rsidRPr="00E97F49">
        <w:rPr>
          <w:rFonts w:ascii="Times New Roman" w:eastAsia="Times New Roman" w:hAnsi="Times New Roman" w:cs="Times New Roman"/>
          <w:sz w:val="24"/>
          <w:szCs w:val="24"/>
        </w:rPr>
        <w:t xml:space="preserve"> </w:t>
      </w:r>
    </w:p>
    <w:p w14:paraId="76F901B3" w14:textId="0C9FCA6F"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Long CS, Khalafinezhad R, Ismail WKW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Rasid SZ (2013) Impact of CRM factors on customer satisfaction and loyalty. </w:t>
      </w:r>
      <w:r w:rsidRPr="00E97F49">
        <w:rPr>
          <w:rFonts w:ascii="Times New Roman" w:eastAsia="Calibri" w:hAnsi="Times New Roman" w:cs="Times New Roman"/>
          <w:i/>
          <w:sz w:val="24"/>
          <w:szCs w:val="24"/>
        </w:rPr>
        <w:t xml:space="preserve">Asian Social Science, </w:t>
      </w:r>
      <w:r w:rsidRPr="00FF6466">
        <w:rPr>
          <w:rFonts w:ascii="Times New Roman" w:eastAsia="Calibri" w:hAnsi="Times New Roman" w:cs="Times New Roman"/>
          <w:sz w:val="24"/>
          <w:szCs w:val="24"/>
        </w:rPr>
        <w:t>9</w:t>
      </w:r>
      <w:r w:rsidRPr="00E97F49">
        <w:rPr>
          <w:rFonts w:ascii="Times New Roman" w:eastAsia="Calibri" w:hAnsi="Times New Roman" w:cs="Times New Roman"/>
          <w:sz w:val="24"/>
          <w:szCs w:val="24"/>
        </w:rPr>
        <w:t>(10)</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247-253.</w:t>
      </w:r>
      <w:r w:rsidRPr="00E97F49">
        <w:rPr>
          <w:rFonts w:ascii="Times New Roman" w:eastAsia="Times New Roman" w:hAnsi="Times New Roman" w:cs="Times New Roman"/>
          <w:sz w:val="24"/>
          <w:szCs w:val="24"/>
        </w:rPr>
        <w:t xml:space="preserve"> </w:t>
      </w:r>
    </w:p>
    <w:p w14:paraId="49C32FDB" w14:textId="354A3143" w:rsidR="00E97F49" w:rsidRPr="00E97F49" w:rsidRDefault="00E97F49" w:rsidP="000677B8">
      <w:pPr>
        <w:spacing w:after="0" w:line="240" w:lineRule="auto"/>
        <w:ind w:left="720" w:hanging="720"/>
        <w:jc w:val="both"/>
        <w:rPr>
          <w:rFonts w:ascii="Times New Roman" w:eastAsia="Calibri" w:hAnsi="Times New Roman" w:cs="Times New Roman"/>
          <w:sz w:val="24"/>
          <w:szCs w:val="24"/>
          <w:lang w:val="es-MX"/>
        </w:rPr>
      </w:pPr>
      <w:r w:rsidRPr="00E97F49">
        <w:rPr>
          <w:rFonts w:ascii="Times New Roman" w:eastAsia="Calibri" w:hAnsi="Times New Roman" w:cs="Times New Roman"/>
          <w:sz w:val="24"/>
          <w:szCs w:val="24"/>
        </w:rPr>
        <w:t xml:space="preserve">Lucas AF (2004) Estimating the impact of match-play promotional offers on the blackjack business volume of a Las Vegas hotel casino. </w:t>
      </w:r>
      <w:r w:rsidRPr="00E97F49">
        <w:rPr>
          <w:rFonts w:ascii="Times New Roman" w:eastAsia="Calibri" w:hAnsi="Times New Roman" w:cs="Times New Roman"/>
          <w:i/>
          <w:sz w:val="24"/>
          <w:szCs w:val="24"/>
        </w:rPr>
        <w:t xml:space="preserve">Journal of Travel </w:t>
      </w:r>
      <w:r w:rsidR="00D77A8E">
        <w:rPr>
          <w:rFonts w:ascii="Times New Roman" w:eastAsia="Calibri" w:hAnsi="Times New Roman" w:cs="Times New Roman"/>
          <w:i/>
          <w:sz w:val="24"/>
          <w:szCs w:val="24"/>
        </w:rPr>
        <w:t>and</w:t>
      </w:r>
      <w:r w:rsidRPr="00E97F49">
        <w:rPr>
          <w:rFonts w:ascii="Times New Roman" w:eastAsia="Calibri" w:hAnsi="Times New Roman" w:cs="Times New Roman"/>
          <w:i/>
          <w:sz w:val="24"/>
          <w:szCs w:val="24"/>
        </w:rPr>
        <w:t xml:space="preserve"> Tourism Marketing,</w:t>
      </w:r>
      <w:r w:rsidRPr="00E97F49">
        <w:rPr>
          <w:rFonts w:ascii="Times New Roman" w:eastAsia="Calibri" w:hAnsi="Times New Roman" w:cs="Times New Roman"/>
          <w:i/>
          <w:sz w:val="24"/>
          <w:szCs w:val="24"/>
          <w:lang w:val="es-MX"/>
        </w:rPr>
        <w:t xml:space="preserve"> </w:t>
      </w:r>
      <w:r w:rsidRPr="00FF6466">
        <w:rPr>
          <w:rFonts w:ascii="Times New Roman" w:eastAsia="Calibri" w:hAnsi="Times New Roman" w:cs="Times New Roman"/>
          <w:sz w:val="24"/>
          <w:szCs w:val="24"/>
          <w:lang w:val="es-MX"/>
        </w:rPr>
        <w:t>17</w:t>
      </w:r>
      <w:r w:rsidRPr="00E97F49">
        <w:rPr>
          <w:rFonts w:ascii="Times New Roman" w:eastAsia="Calibri" w:hAnsi="Times New Roman" w:cs="Times New Roman"/>
          <w:sz w:val="24"/>
          <w:szCs w:val="24"/>
          <w:lang w:val="es-MX"/>
        </w:rPr>
        <w:t>(4)</w:t>
      </w:r>
      <w:r w:rsidR="00FF6466">
        <w:rPr>
          <w:rFonts w:ascii="Times New Roman" w:eastAsia="Calibri" w:hAnsi="Times New Roman" w:cs="Times New Roman"/>
          <w:sz w:val="24"/>
          <w:szCs w:val="24"/>
          <w:lang w:val="es-MX"/>
        </w:rPr>
        <w:t>:</w:t>
      </w:r>
      <w:r w:rsidRPr="00E97F49">
        <w:rPr>
          <w:rFonts w:ascii="Times New Roman" w:eastAsia="Calibri" w:hAnsi="Times New Roman" w:cs="Times New Roman"/>
          <w:sz w:val="24"/>
          <w:szCs w:val="24"/>
          <w:lang w:val="es-MX"/>
        </w:rPr>
        <w:t xml:space="preserve"> 23-33.  </w:t>
      </w:r>
    </w:p>
    <w:p w14:paraId="600FB9E6" w14:textId="3825F256"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Lucas AF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Brewer KP (2001) Managing the slot operations of a hotel casino in the Las Vegas locals’ market</w:t>
      </w:r>
      <w:r w:rsidRPr="00E97F49">
        <w:rPr>
          <w:rFonts w:ascii="Times New Roman" w:eastAsia="Calibri" w:hAnsi="Times New Roman" w:cs="Times New Roman"/>
          <w:i/>
          <w:sz w:val="24"/>
          <w:szCs w:val="24"/>
        </w:rPr>
        <w:t xml:space="preserve">. Journal of Hospitality </w:t>
      </w:r>
      <w:r w:rsidR="00D77A8E">
        <w:rPr>
          <w:rFonts w:ascii="Times New Roman" w:eastAsia="Calibri" w:hAnsi="Times New Roman" w:cs="Times New Roman"/>
          <w:i/>
          <w:sz w:val="24"/>
          <w:szCs w:val="24"/>
        </w:rPr>
        <w:t>and</w:t>
      </w:r>
      <w:r w:rsidRPr="00E97F49">
        <w:rPr>
          <w:rFonts w:ascii="Times New Roman" w:eastAsia="Calibri" w:hAnsi="Times New Roman" w:cs="Times New Roman"/>
          <w:i/>
          <w:sz w:val="24"/>
          <w:szCs w:val="24"/>
        </w:rPr>
        <w:t xml:space="preserve"> Tourism Research, </w:t>
      </w:r>
      <w:r w:rsidRPr="00FF6466">
        <w:rPr>
          <w:rFonts w:ascii="Times New Roman" w:eastAsia="Calibri" w:hAnsi="Times New Roman" w:cs="Times New Roman"/>
          <w:sz w:val="24"/>
          <w:szCs w:val="24"/>
        </w:rPr>
        <w:t>25</w:t>
      </w:r>
      <w:r w:rsidRPr="00E97F49">
        <w:rPr>
          <w:rFonts w:ascii="Times New Roman" w:eastAsia="Calibri" w:hAnsi="Times New Roman" w:cs="Times New Roman"/>
          <w:sz w:val="24"/>
          <w:szCs w:val="24"/>
        </w:rPr>
        <w:t>(3)</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289-301.</w:t>
      </w:r>
    </w:p>
    <w:p w14:paraId="155B8786" w14:textId="640DDE57"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Lucas AF, Dunn WT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Singh</w:t>
      </w:r>
      <w:r w:rsidR="00FF6466">
        <w:rPr>
          <w:rFonts w:ascii="Times New Roman" w:eastAsia="Calibri" w:hAnsi="Times New Roman" w:cs="Times New Roman"/>
          <w:sz w:val="24"/>
          <w:szCs w:val="24"/>
        </w:rPr>
        <w:t xml:space="preserve"> AK</w:t>
      </w:r>
      <w:r w:rsidRPr="00E97F49">
        <w:rPr>
          <w:rFonts w:ascii="Times New Roman" w:eastAsia="Calibri" w:hAnsi="Times New Roman" w:cs="Times New Roman"/>
          <w:sz w:val="24"/>
          <w:szCs w:val="24"/>
        </w:rPr>
        <w:t xml:space="preserve"> (2005) Estimating the short-term effect of free-play offers in a Las Vegas hotel casino. </w:t>
      </w:r>
      <w:r w:rsidRPr="00E97F49">
        <w:rPr>
          <w:rFonts w:ascii="Times New Roman" w:eastAsia="Calibri" w:hAnsi="Times New Roman" w:cs="Times New Roman"/>
          <w:i/>
          <w:sz w:val="24"/>
          <w:szCs w:val="24"/>
        </w:rPr>
        <w:t xml:space="preserve">Journal of Travel </w:t>
      </w:r>
      <w:r w:rsidR="00D77A8E">
        <w:rPr>
          <w:rFonts w:ascii="Times New Roman" w:eastAsia="Calibri" w:hAnsi="Times New Roman" w:cs="Times New Roman"/>
          <w:i/>
          <w:sz w:val="24"/>
          <w:szCs w:val="24"/>
        </w:rPr>
        <w:t>and</w:t>
      </w:r>
      <w:r w:rsidRPr="00E97F49">
        <w:rPr>
          <w:rFonts w:ascii="Times New Roman" w:eastAsia="Calibri" w:hAnsi="Times New Roman" w:cs="Times New Roman"/>
          <w:i/>
          <w:sz w:val="24"/>
          <w:szCs w:val="24"/>
        </w:rPr>
        <w:t xml:space="preserve"> Tourism Marketing, </w:t>
      </w:r>
      <w:r w:rsidRPr="00FF6466">
        <w:rPr>
          <w:rFonts w:ascii="Times New Roman" w:eastAsia="Calibri" w:hAnsi="Times New Roman" w:cs="Times New Roman"/>
          <w:sz w:val="24"/>
          <w:szCs w:val="24"/>
        </w:rPr>
        <w:t>18</w:t>
      </w:r>
      <w:r w:rsidRPr="00E97F49">
        <w:rPr>
          <w:rFonts w:ascii="Times New Roman" w:eastAsia="Calibri" w:hAnsi="Times New Roman" w:cs="Times New Roman"/>
          <w:sz w:val="24"/>
          <w:szCs w:val="24"/>
        </w:rPr>
        <w:t>(2)</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53-68.</w:t>
      </w:r>
    </w:p>
    <w:p w14:paraId="64D74FD4" w14:textId="57B08041" w:rsidR="00E97F49" w:rsidRPr="00E97F49" w:rsidRDefault="00E97F49" w:rsidP="000677B8">
      <w:pPr>
        <w:spacing w:after="0" w:line="240" w:lineRule="auto"/>
        <w:ind w:left="720" w:hanging="720"/>
        <w:jc w:val="both"/>
        <w:rPr>
          <w:rFonts w:ascii="Times New Roman" w:eastAsia="Times New Roman" w:hAnsi="Times New Roman" w:cs="Times New Roman"/>
          <w:sz w:val="24"/>
          <w:szCs w:val="24"/>
        </w:rPr>
      </w:pPr>
      <w:r w:rsidRPr="00E97F49">
        <w:rPr>
          <w:rFonts w:ascii="Times New Roman" w:eastAsia="Calibri" w:hAnsi="Times New Roman" w:cs="Times New Roman"/>
          <w:sz w:val="24"/>
          <w:szCs w:val="24"/>
          <w:lang w:val="es-MX"/>
        </w:rPr>
        <w:t xml:space="preserve">Lucas AF, Kilby J </w:t>
      </w:r>
      <w:r w:rsidR="00D77A8E">
        <w:rPr>
          <w:rFonts w:ascii="Times New Roman" w:eastAsia="Calibri" w:hAnsi="Times New Roman" w:cs="Times New Roman"/>
          <w:sz w:val="24"/>
          <w:szCs w:val="24"/>
          <w:lang w:val="es-MX"/>
        </w:rPr>
        <w:t>and</w:t>
      </w:r>
      <w:r w:rsidRPr="00E97F49">
        <w:rPr>
          <w:rFonts w:ascii="Times New Roman" w:eastAsia="Calibri" w:hAnsi="Times New Roman" w:cs="Times New Roman"/>
          <w:sz w:val="24"/>
          <w:szCs w:val="24"/>
          <w:lang w:val="es-MX"/>
        </w:rPr>
        <w:t xml:space="preserve"> Santos J (2002) </w:t>
      </w:r>
      <w:r w:rsidRPr="00E97F49">
        <w:rPr>
          <w:rFonts w:ascii="Times New Roman" w:eastAsia="Calibri" w:hAnsi="Times New Roman" w:cs="Times New Roman"/>
          <w:sz w:val="24"/>
          <w:szCs w:val="24"/>
        </w:rPr>
        <w:t xml:space="preserve">Assessing the profitability of premium players. </w:t>
      </w:r>
      <w:r w:rsidRPr="00E97F49">
        <w:rPr>
          <w:rFonts w:ascii="Times New Roman" w:eastAsia="Calibri" w:hAnsi="Times New Roman" w:cs="Times New Roman"/>
          <w:i/>
          <w:sz w:val="24"/>
          <w:szCs w:val="24"/>
        </w:rPr>
        <w:t xml:space="preserve">Cornell Hotel and Restaurant Administration Quarterly, </w:t>
      </w:r>
      <w:r w:rsidRPr="00FF6466">
        <w:rPr>
          <w:rFonts w:ascii="Times New Roman" w:eastAsia="Calibri" w:hAnsi="Times New Roman" w:cs="Times New Roman"/>
          <w:sz w:val="24"/>
          <w:szCs w:val="24"/>
        </w:rPr>
        <w:t>43(</w:t>
      </w:r>
      <w:r w:rsidRPr="00E97F49">
        <w:rPr>
          <w:rFonts w:ascii="Times New Roman" w:eastAsia="Calibri" w:hAnsi="Times New Roman" w:cs="Times New Roman"/>
          <w:sz w:val="24"/>
          <w:szCs w:val="24"/>
        </w:rPr>
        <w:t>4)</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65-78.</w:t>
      </w:r>
      <w:r w:rsidRPr="00E97F49">
        <w:rPr>
          <w:rFonts w:ascii="Times New Roman" w:eastAsia="Times New Roman" w:hAnsi="Times New Roman" w:cs="Times New Roman"/>
          <w:sz w:val="24"/>
          <w:szCs w:val="24"/>
        </w:rPr>
        <w:t xml:space="preserve"> </w:t>
      </w:r>
    </w:p>
    <w:p w14:paraId="331E7320" w14:textId="02ED228E"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Lucas A</w:t>
      </w:r>
      <w:r w:rsidR="00FF6466">
        <w:rPr>
          <w:rFonts w:ascii="Times New Roman" w:eastAsia="Calibri" w:hAnsi="Times New Roman" w:cs="Times New Roman"/>
          <w:sz w:val="24"/>
          <w:szCs w:val="24"/>
        </w:rPr>
        <w:t>F</w:t>
      </w:r>
      <w:r w:rsidRPr="00E97F49">
        <w:rPr>
          <w:rFonts w:ascii="Times New Roman" w:eastAsia="Calibri" w:hAnsi="Times New Roman" w:cs="Times New Roman"/>
          <w:sz w:val="24"/>
          <w:szCs w:val="24"/>
        </w:rPr>
        <w:t xml:space="preserve">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Santos J (2003) Measuring the effect of casino-operated restaurant volume on slot machine business volume. An exploratory study. </w:t>
      </w:r>
      <w:r w:rsidRPr="00E97F49">
        <w:rPr>
          <w:rFonts w:ascii="Times New Roman" w:eastAsia="Calibri" w:hAnsi="Times New Roman" w:cs="Times New Roman"/>
          <w:i/>
          <w:sz w:val="24"/>
          <w:szCs w:val="24"/>
        </w:rPr>
        <w:t xml:space="preserve">Journal of Hospitality </w:t>
      </w:r>
      <w:r w:rsidR="00D77A8E">
        <w:rPr>
          <w:rFonts w:ascii="Times New Roman" w:eastAsia="Calibri" w:hAnsi="Times New Roman" w:cs="Times New Roman"/>
          <w:i/>
          <w:sz w:val="24"/>
          <w:szCs w:val="24"/>
        </w:rPr>
        <w:t>and</w:t>
      </w:r>
      <w:r w:rsidRPr="00E97F49">
        <w:rPr>
          <w:rFonts w:ascii="Times New Roman" w:eastAsia="Calibri" w:hAnsi="Times New Roman" w:cs="Times New Roman"/>
          <w:i/>
          <w:sz w:val="24"/>
          <w:szCs w:val="24"/>
        </w:rPr>
        <w:t xml:space="preserve"> Tourism Research, </w:t>
      </w:r>
      <w:r w:rsidRPr="00FF6466">
        <w:rPr>
          <w:rFonts w:ascii="Times New Roman" w:eastAsia="Calibri" w:hAnsi="Times New Roman" w:cs="Times New Roman"/>
          <w:sz w:val="24"/>
          <w:szCs w:val="24"/>
        </w:rPr>
        <w:t>27</w:t>
      </w:r>
      <w:r w:rsidRPr="00E97F49">
        <w:rPr>
          <w:rFonts w:ascii="Times New Roman" w:eastAsia="Calibri" w:hAnsi="Times New Roman" w:cs="Times New Roman"/>
          <w:sz w:val="24"/>
          <w:szCs w:val="24"/>
        </w:rPr>
        <w:t>(1)</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101-117. </w:t>
      </w:r>
    </w:p>
    <w:p w14:paraId="323356D0" w14:textId="1348F67E"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Lucas AF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Spilde K (2017) Estimating the effect of casino loyalty program offers on slot machine play. </w:t>
      </w:r>
      <w:r w:rsidRPr="00E97F49">
        <w:rPr>
          <w:rFonts w:ascii="Times New Roman" w:eastAsia="Calibri" w:hAnsi="Times New Roman" w:cs="Times New Roman"/>
          <w:i/>
          <w:sz w:val="24"/>
          <w:szCs w:val="24"/>
        </w:rPr>
        <w:t xml:space="preserve">Cornell Hospitality Quarterly, </w:t>
      </w:r>
      <w:r w:rsidRPr="00FF6466">
        <w:rPr>
          <w:rFonts w:ascii="Times New Roman" w:eastAsia="Calibri" w:hAnsi="Times New Roman" w:cs="Times New Roman"/>
          <w:sz w:val="24"/>
          <w:szCs w:val="24"/>
        </w:rPr>
        <w:t>58</w:t>
      </w:r>
      <w:r w:rsidRPr="00E97F49">
        <w:rPr>
          <w:rFonts w:ascii="Times New Roman" w:eastAsia="Calibri" w:hAnsi="Times New Roman" w:cs="Times New Roman"/>
          <w:sz w:val="24"/>
          <w:szCs w:val="24"/>
        </w:rPr>
        <w:t>(3)</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263-271.</w:t>
      </w:r>
    </w:p>
    <w:p w14:paraId="799406E7" w14:textId="71796DDD"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Times New Roman" w:hAnsi="Times New Roman" w:cs="Times New Roman"/>
          <w:sz w:val="24"/>
          <w:szCs w:val="24"/>
        </w:rPr>
        <w:t xml:space="preserve">Luck D </w:t>
      </w:r>
      <w:r w:rsidR="00D77A8E">
        <w:rPr>
          <w:rFonts w:ascii="Times New Roman" w:eastAsia="Times New Roman" w:hAnsi="Times New Roman" w:cs="Times New Roman"/>
          <w:sz w:val="24"/>
          <w:szCs w:val="24"/>
        </w:rPr>
        <w:t>and</w:t>
      </w:r>
      <w:r w:rsidRPr="00E97F49">
        <w:rPr>
          <w:rFonts w:ascii="Times New Roman" w:eastAsia="Times New Roman" w:hAnsi="Times New Roman" w:cs="Times New Roman"/>
          <w:sz w:val="24"/>
          <w:szCs w:val="24"/>
        </w:rPr>
        <w:t xml:space="preserve"> Lancaster G (2013) The significance of CRM to the strategies of hotel companies. </w:t>
      </w:r>
      <w:r w:rsidRPr="00E97F49">
        <w:rPr>
          <w:rFonts w:ascii="Times New Roman" w:eastAsia="Times New Roman" w:hAnsi="Times New Roman" w:cs="Times New Roman"/>
          <w:i/>
          <w:sz w:val="24"/>
          <w:szCs w:val="24"/>
        </w:rPr>
        <w:t xml:space="preserve">Worldwide Hospitality and Tourism Themes, </w:t>
      </w:r>
      <w:r w:rsidRPr="00FF6466">
        <w:rPr>
          <w:rFonts w:ascii="Times New Roman" w:eastAsia="Times New Roman" w:hAnsi="Times New Roman" w:cs="Times New Roman"/>
          <w:sz w:val="24"/>
          <w:szCs w:val="24"/>
        </w:rPr>
        <w:t>5</w:t>
      </w:r>
      <w:r w:rsidR="00FF6466">
        <w:rPr>
          <w:rFonts w:ascii="Times New Roman" w:eastAsia="Times New Roman" w:hAnsi="Times New Roman" w:cs="Times New Roman"/>
          <w:sz w:val="24"/>
          <w:szCs w:val="24"/>
        </w:rPr>
        <w:t>:</w:t>
      </w:r>
      <w:r w:rsidRPr="00E97F49">
        <w:rPr>
          <w:rFonts w:ascii="Times New Roman" w:eastAsia="Times New Roman" w:hAnsi="Times New Roman" w:cs="Times New Roman"/>
          <w:sz w:val="24"/>
          <w:szCs w:val="24"/>
        </w:rPr>
        <w:t xml:space="preserve"> 55-66. </w:t>
      </w:r>
    </w:p>
    <w:p w14:paraId="3ED9C753" w14:textId="745D83D3"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Mascarenhas OA, Kesavan R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Bernacchi M (2006) Lasting customer loyalty: A total customer experience approach. </w:t>
      </w:r>
      <w:r w:rsidRPr="00E97F49">
        <w:rPr>
          <w:rFonts w:ascii="Times New Roman" w:eastAsia="Calibri" w:hAnsi="Times New Roman" w:cs="Times New Roman"/>
          <w:i/>
          <w:sz w:val="24"/>
          <w:szCs w:val="24"/>
        </w:rPr>
        <w:t xml:space="preserve">Journal of Consumer Marketing, </w:t>
      </w:r>
      <w:r w:rsidRPr="00FF6466">
        <w:rPr>
          <w:rFonts w:ascii="Times New Roman" w:eastAsia="Calibri" w:hAnsi="Times New Roman" w:cs="Times New Roman"/>
          <w:sz w:val="24"/>
          <w:szCs w:val="24"/>
        </w:rPr>
        <w:t>23</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397-405.</w:t>
      </w:r>
      <w:r w:rsidRPr="00E97F49">
        <w:rPr>
          <w:rFonts w:ascii="Times New Roman" w:eastAsia="Times New Roman" w:hAnsi="Times New Roman" w:cs="Times New Roman"/>
          <w:sz w:val="24"/>
          <w:szCs w:val="24"/>
        </w:rPr>
        <w:t xml:space="preserve"> </w:t>
      </w:r>
    </w:p>
    <w:p w14:paraId="43C09B49" w14:textId="6D9FCB1A" w:rsidR="00E97F49" w:rsidRPr="00E97F49" w:rsidRDefault="00E97F49" w:rsidP="000677B8">
      <w:pPr>
        <w:tabs>
          <w:tab w:val="left" w:pos="547"/>
        </w:tabs>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Mohammed AA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Rashid B (2012) Customer relationship management (CRM) in hotel industry: A framework proposal on the relationship among CRM dimensions, marketing capabilities and hotel performance. </w:t>
      </w:r>
      <w:r w:rsidRPr="00E97F49">
        <w:rPr>
          <w:rFonts w:ascii="Times New Roman" w:eastAsia="Calibri" w:hAnsi="Times New Roman" w:cs="Times New Roman"/>
          <w:i/>
          <w:sz w:val="24"/>
          <w:szCs w:val="24"/>
        </w:rPr>
        <w:t xml:space="preserve">International Review of Management and Marketing, </w:t>
      </w:r>
      <w:r w:rsidRPr="00FF6466">
        <w:rPr>
          <w:rFonts w:ascii="Times New Roman" w:eastAsia="Calibri" w:hAnsi="Times New Roman" w:cs="Times New Roman"/>
          <w:sz w:val="24"/>
          <w:szCs w:val="24"/>
        </w:rPr>
        <w:t>2</w:t>
      </w:r>
      <w:r w:rsidRPr="00E97F49">
        <w:rPr>
          <w:rFonts w:ascii="Times New Roman" w:eastAsia="Calibri" w:hAnsi="Times New Roman" w:cs="Times New Roman"/>
          <w:sz w:val="24"/>
          <w:szCs w:val="24"/>
        </w:rPr>
        <w:t>(4)</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220-230.</w:t>
      </w:r>
    </w:p>
    <w:p w14:paraId="4F121B15" w14:textId="081E77D3" w:rsidR="00E97F49" w:rsidRPr="00E97F49" w:rsidRDefault="00E97F49" w:rsidP="000677B8">
      <w:pPr>
        <w:tabs>
          <w:tab w:val="left" w:pos="547"/>
        </w:tabs>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Nairn A (2002) CRM: Helpful or full of hype? </w:t>
      </w:r>
      <w:r w:rsidRPr="00E97F49">
        <w:rPr>
          <w:rFonts w:ascii="Times New Roman" w:eastAsia="Calibri" w:hAnsi="Times New Roman" w:cs="Times New Roman"/>
          <w:i/>
          <w:sz w:val="24"/>
          <w:szCs w:val="24"/>
        </w:rPr>
        <w:t xml:space="preserve">Journal of Database Marketing, </w:t>
      </w:r>
      <w:r w:rsidRPr="00FF6466">
        <w:rPr>
          <w:rFonts w:ascii="Times New Roman" w:eastAsia="Calibri" w:hAnsi="Times New Roman" w:cs="Times New Roman"/>
          <w:sz w:val="24"/>
          <w:szCs w:val="24"/>
        </w:rPr>
        <w:t>9</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376-382.</w:t>
      </w:r>
      <w:r w:rsidRPr="00E97F49">
        <w:rPr>
          <w:rFonts w:ascii="Times New Roman" w:eastAsia="Times New Roman" w:hAnsi="Times New Roman" w:cs="Times New Roman"/>
          <w:sz w:val="24"/>
          <w:szCs w:val="24"/>
        </w:rPr>
        <w:t xml:space="preserve"> </w:t>
      </w:r>
    </w:p>
    <w:p w14:paraId="04A5CD20" w14:textId="0A31556C"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Noone BM, Kimes SE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Renaghan LM (2003) Integrating customer relationship management and revenue management: A hotel perspective. </w:t>
      </w:r>
      <w:r w:rsidRPr="00E97F49">
        <w:rPr>
          <w:rFonts w:ascii="Times New Roman" w:eastAsia="Calibri" w:hAnsi="Times New Roman" w:cs="Times New Roman"/>
          <w:i/>
          <w:sz w:val="24"/>
          <w:szCs w:val="24"/>
        </w:rPr>
        <w:t>Journal of Revenue and Pricing Management</w:t>
      </w:r>
      <w:r w:rsidRPr="00E97F49">
        <w:rPr>
          <w:rFonts w:ascii="Times New Roman" w:eastAsia="Calibri" w:hAnsi="Times New Roman" w:cs="Times New Roman"/>
          <w:sz w:val="24"/>
          <w:szCs w:val="24"/>
        </w:rPr>
        <w:t xml:space="preserve">, </w:t>
      </w:r>
      <w:r w:rsidRPr="00FF6466">
        <w:rPr>
          <w:rFonts w:ascii="Times New Roman" w:eastAsia="Calibri" w:hAnsi="Times New Roman" w:cs="Times New Roman"/>
          <w:sz w:val="24"/>
          <w:szCs w:val="24"/>
        </w:rPr>
        <w:t>2</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7-21.</w:t>
      </w:r>
      <w:r w:rsidRPr="00E97F49">
        <w:rPr>
          <w:rFonts w:ascii="Times New Roman" w:eastAsia="Times New Roman" w:hAnsi="Times New Roman" w:cs="Times New Roman"/>
          <w:sz w:val="24"/>
          <w:szCs w:val="24"/>
        </w:rPr>
        <w:t xml:space="preserve"> </w:t>
      </w:r>
    </w:p>
    <w:p w14:paraId="67BAE597" w14:textId="372160B4"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Pedron CD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Saccol AZ (2009) What lies behind the concept of customer relationship management? Discussing the essence of CRM through a phenomenological approach. </w:t>
      </w:r>
      <w:r w:rsidRPr="00E97F49">
        <w:rPr>
          <w:rFonts w:ascii="Times New Roman" w:eastAsia="Calibri" w:hAnsi="Times New Roman" w:cs="Times New Roman"/>
          <w:i/>
          <w:sz w:val="24"/>
          <w:szCs w:val="24"/>
        </w:rPr>
        <w:t xml:space="preserve">Brazilian Administration Review, </w:t>
      </w:r>
      <w:r w:rsidRPr="00FF6466">
        <w:rPr>
          <w:rFonts w:ascii="Times New Roman" w:eastAsia="Calibri" w:hAnsi="Times New Roman" w:cs="Times New Roman"/>
          <w:sz w:val="24"/>
          <w:szCs w:val="24"/>
        </w:rPr>
        <w:t>6</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34-49.</w:t>
      </w:r>
      <w:r w:rsidRPr="00E97F49">
        <w:rPr>
          <w:rFonts w:ascii="Times New Roman" w:eastAsia="Times New Roman" w:hAnsi="Times New Roman" w:cs="Times New Roman"/>
          <w:sz w:val="24"/>
          <w:szCs w:val="24"/>
        </w:rPr>
        <w:t xml:space="preserve"> </w:t>
      </w:r>
    </w:p>
    <w:p w14:paraId="0806CF10" w14:textId="5FFD24DF"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Prentice C (2013) Service quality perceptions and customer loyalty in casinos. </w:t>
      </w:r>
      <w:r w:rsidRPr="00E97F49">
        <w:rPr>
          <w:rFonts w:ascii="Times New Roman" w:eastAsia="Calibri" w:hAnsi="Times New Roman" w:cs="Times New Roman"/>
          <w:i/>
          <w:sz w:val="24"/>
          <w:szCs w:val="24"/>
        </w:rPr>
        <w:t xml:space="preserve">International Journal of Contemporary Hospitality Management, </w:t>
      </w:r>
      <w:r w:rsidRPr="00FF6466">
        <w:rPr>
          <w:rFonts w:ascii="Times New Roman" w:eastAsia="Calibri" w:hAnsi="Times New Roman" w:cs="Times New Roman"/>
          <w:sz w:val="24"/>
          <w:szCs w:val="24"/>
        </w:rPr>
        <w:t>25</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49-64. </w:t>
      </w:r>
    </w:p>
    <w:p w14:paraId="0842604C" w14:textId="57DBB30D"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Schierholz R, </w:t>
      </w:r>
      <w:bookmarkStart w:id="8" w:name="_Hlk505132490"/>
      <w:r w:rsidRPr="00E97F49">
        <w:rPr>
          <w:rFonts w:ascii="Times New Roman" w:eastAsia="Calibri" w:hAnsi="Times New Roman" w:cs="Times New Roman"/>
          <w:sz w:val="24"/>
          <w:szCs w:val="24"/>
        </w:rPr>
        <w:t xml:space="preserve">Kolbe LM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Brenner </w:t>
      </w:r>
      <w:bookmarkEnd w:id="8"/>
      <w:r w:rsidRPr="00E97F49">
        <w:rPr>
          <w:rFonts w:ascii="Times New Roman" w:eastAsia="Calibri" w:hAnsi="Times New Roman" w:cs="Times New Roman"/>
          <w:sz w:val="24"/>
          <w:szCs w:val="24"/>
        </w:rPr>
        <w:t xml:space="preserve">W (2007) Mobilizing customer relationship management: A journey from strategy to system design. </w:t>
      </w:r>
      <w:r w:rsidRPr="00E97F49">
        <w:rPr>
          <w:rFonts w:ascii="Times New Roman" w:eastAsia="Calibri" w:hAnsi="Times New Roman" w:cs="Times New Roman"/>
          <w:i/>
          <w:sz w:val="24"/>
          <w:szCs w:val="24"/>
        </w:rPr>
        <w:t xml:space="preserve">Business Process Management Journal, </w:t>
      </w:r>
      <w:r w:rsidRPr="00FF6466">
        <w:rPr>
          <w:rFonts w:ascii="Times New Roman" w:eastAsia="Calibri" w:hAnsi="Times New Roman" w:cs="Times New Roman"/>
          <w:sz w:val="24"/>
          <w:szCs w:val="24"/>
        </w:rPr>
        <w:t>13</w:t>
      </w:r>
      <w:r w:rsidR="00FF6466">
        <w:rPr>
          <w:rFonts w:ascii="Times New Roman" w:eastAsia="Calibri" w:hAnsi="Times New Roman" w:cs="Times New Roman"/>
          <w:sz w:val="24"/>
          <w:szCs w:val="24"/>
        </w:rPr>
        <w:t xml:space="preserve">: </w:t>
      </w:r>
      <w:r w:rsidRPr="00E97F49">
        <w:rPr>
          <w:rFonts w:ascii="Times New Roman" w:eastAsia="Calibri" w:hAnsi="Times New Roman" w:cs="Times New Roman"/>
          <w:sz w:val="24"/>
          <w:szCs w:val="24"/>
        </w:rPr>
        <w:t>830-852.</w:t>
      </w:r>
      <w:r w:rsidRPr="00E97F49">
        <w:rPr>
          <w:rFonts w:ascii="Times New Roman" w:eastAsia="Times New Roman" w:hAnsi="Times New Roman" w:cs="Times New Roman"/>
          <w:sz w:val="24"/>
          <w:szCs w:val="24"/>
        </w:rPr>
        <w:t xml:space="preserve"> </w:t>
      </w:r>
    </w:p>
    <w:p w14:paraId="75750206" w14:textId="125B7288"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Shafia MA, Mazdeh MM, Vahedi M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Pournader M (2011) Applying fuzzy balanced scorecard for evaluating the CRM performance. </w:t>
      </w:r>
      <w:r w:rsidRPr="00E97F49">
        <w:rPr>
          <w:rFonts w:ascii="Times New Roman" w:eastAsia="Calibri" w:hAnsi="Times New Roman" w:cs="Times New Roman"/>
          <w:i/>
          <w:sz w:val="24"/>
          <w:szCs w:val="24"/>
        </w:rPr>
        <w:t xml:space="preserve">Industrial Management </w:t>
      </w:r>
      <w:r w:rsidR="00D77A8E">
        <w:rPr>
          <w:rFonts w:ascii="Times New Roman" w:eastAsia="Calibri" w:hAnsi="Times New Roman" w:cs="Times New Roman"/>
          <w:i/>
          <w:sz w:val="24"/>
          <w:szCs w:val="24"/>
        </w:rPr>
        <w:t>and</w:t>
      </w:r>
      <w:r w:rsidRPr="00E97F49">
        <w:rPr>
          <w:rFonts w:ascii="Times New Roman" w:eastAsia="Calibri" w:hAnsi="Times New Roman" w:cs="Times New Roman"/>
          <w:i/>
          <w:sz w:val="24"/>
          <w:szCs w:val="24"/>
        </w:rPr>
        <w:t xml:space="preserve"> Data Systems, </w:t>
      </w:r>
      <w:r w:rsidRPr="00FF6466">
        <w:rPr>
          <w:rFonts w:ascii="Times New Roman" w:eastAsia="Calibri" w:hAnsi="Times New Roman" w:cs="Times New Roman"/>
          <w:sz w:val="24"/>
          <w:szCs w:val="24"/>
        </w:rPr>
        <w:t>111</w:t>
      </w:r>
      <w:r w:rsidR="00FF6466">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1105-1135.</w:t>
      </w:r>
      <w:r w:rsidRPr="00E97F49">
        <w:rPr>
          <w:rFonts w:ascii="Times New Roman" w:eastAsia="Times New Roman" w:hAnsi="Times New Roman" w:cs="Times New Roman"/>
          <w:sz w:val="24"/>
          <w:szCs w:val="24"/>
        </w:rPr>
        <w:t xml:space="preserve"> </w:t>
      </w:r>
    </w:p>
    <w:p w14:paraId="24DB85C9" w14:textId="6D8E8EA6"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Steinberg WJ (2011) </w:t>
      </w:r>
      <w:r w:rsidRPr="00E97F49">
        <w:rPr>
          <w:rFonts w:ascii="Times New Roman" w:eastAsia="Calibri" w:hAnsi="Times New Roman" w:cs="Times New Roman"/>
          <w:i/>
          <w:sz w:val="24"/>
          <w:szCs w:val="24"/>
        </w:rPr>
        <w:t>Statistics alive!</w:t>
      </w:r>
      <w:r w:rsidRPr="00E97F49">
        <w:rPr>
          <w:rFonts w:ascii="Times New Roman" w:eastAsia="Calibri" w:hAnsi="Times New Roman" w:cs="Times New Roman"/>
          <w:sz w:val="24"/>
          <w:szCs w:val="24"/>
        </w:rPr>
        <w:t xml:space="preserve"> (2nd ed.). Los Angeles, CA: Sage.</w:t>
      </w:r>
    </w:p>
    <w:p w14:paraId="1326FCA3" w14:textId="385A7CC1"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Suh E (2012) Estimating the impact of free-play coupon value on players’ slot gaming volumes. </w:t>
      </w:r>
      <w:r w:rsidRPr="00E97F49">
        <w:rPr>
          <w:rFonts w:ascii="Times New Roman" w:eastAsia="Calibri" w:hAnsi="Times New Roman" w:cs="Times New Roman"/>
          <w:i/>
          <w:sz w:val="24"/>
          <w:szCs w:val="24"/>
        </w:rPr>
        <w:t xml:space="preserve">Cornell Hospitality Quarterly, </w:t>
      </w:r>
      <w:r w:rsidRPr="00A41820">
        <w:rPr>
          <w:rFonts w:ascii="Times New Roman" w:eastAsia="Calibri" w:hAnsi="Times New Roman" w:cs="Times New Roman"/>
          <w:sz w:val="24"/>
          <w:szCs w:val="24"/>
        </w:rPr>
        <w:t>53</w:t>
      </w:r>
      <w:r w:rsidRPr="00E97F49">
        <w:rPr>
          <w:rFonts w:ascii="Times New Roman" w:eastAsia="Calibri" w:hAnsi="Times New Roman" w:cs="Times New Roman"/>
          <w:sz w:val="24"/>
          <w:szCs w:val="24"/>
        </w:rPr>
        <w:t>(2)</w:t>
      </w:r>
      <w:r w:rsidR="00A41820">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134-143.</w:t>
      </w:r>
    </w:p>
    <w:p w14:paraId="515F04B6" w14:textId="40154333"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Suh E, Dang TT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Alhaery M (2014) Examining the effects of various promotion types on slot gaming volumes. </w:t>
      </w:r>
      <w:r w:rsidRPr="00E97F49">
        <w:rPr>
          <w:rFonts w:ascii="Times New Roman" w:eastAsia="Calibri" w:hAnsi="Times New Roman" w:cs="Times New Roman"/>
          <w:i/>
          <w:sz w:val="24"/>
          <w:szCs w:val="24"/>
        </w:rPr>
        <w:t xml:space="preserve">International Journal of Hospitality Management </w:t>
      </w:r>
      <w:r w:rsidRPr="00A41820">
        <w:rPr>
          <w:rFonts w:ascii="Times New Roman" w:eastAsia="Calibri" w:hAnsi="Times New Roman" w:cs="Times New Roman"/>
          <w:sz w:val="24"/>
          <w:szCs w:val="24"/>
        </w:rPr>
        <w:t>37</w:t>
      </w:r>
      <w:r w:rsidR="00A41820">
        <w:rPr>
          <w:rFonts w:ascii="Times New Roman" w:eastAsia="Calibri" w:hAnsi="Times New Roman" w:cs="Times New Roman"/>
          <w:sz w:val="24"/>
          <w:szCs w:val="24"/>
        </w:rPr>
        <w:t xml:space="preserve">: </w:t>
      </w:r>
      <w:r w:rsidRPr="00E97F49">
        <w:rPr>
          <w:rFonts w:ascii="Times New Roman" w:eastAsia="Calibri" w:hAnsi="Times New Roman" w:cs="Times New Roman"/>
          <w:sz w:val="24"/>
          <w:szCs w:val="24"/>
        </w:rPr>
        <w:t>68-79.</w:t>
      </w:r>
    </w:p>
    <w:p w14:paraId="45449FF2" w14:textId="5869882A"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Suh E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Lucas AF (2011) Estimating the impact of showroom entertainment on the gaming volumes of Las Vegas hotel-casinos. </w:t>
      </w:r>
      <w:r w:rsidRPr="00E97F49">
        <w:rPr>
          <w:rFonts w:ascii="Times New Roman" w:eastAsia="Calibri" w:hAnsi="Times New Roman" w:cs="Times New Roman"/>
          <w:i/>
          <w:sz w:val="24"/>
          <w:szCs w:val="24"/>
        </w:rPr>
        <w:t xml:space="preserve">International Journal of Hospitality Management, </w:t>
      </w:r>
      <w:r w:rsidRPr="00A41820">
        <w:rPr>
          <w:rFonts w:ascii="Times New Roman" w:eastAsia="Calibri" w:hAnsi="Times New Roman" w:cs="Times New Roman"/>
          <w:sz w:val="24"/>
          <w:szCs w:val="24"/>
        </w:rPr>
        <w:t>30</w:t>
      </w:r>
      <w:r w:rsidRPr="00E97F49">
        <w:rPr>
          <w:rFonts w:ascii="Times New Roman" w:eastAsia="Calibri" w:hAnsi="Times New Roman" w:cs="Times New Roman"/>
          <w:sz w:val="24"/>
          <w:szCs w:val="24"/>
        </w:rPr>
        <w:t>(1)</w:t>
      </w:r>
      <w:r w:rsidR="00A41820">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130-111. </w:t>
      </w:r>
    </w:p>
    <w:p w14:paraId="74B8DAFB" w14:textId="23155FC8"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Vel</w:t>
      </w:r>
      <w:r w:rsidR="00696A58">
        <w:rPr>
          <w:rFonts w:ascii="Times New Roman" w:eastAsia="Calibri" w:hAnsi="Times New Roman" w:cs="Times New Roman"/>
          <w:sz w:val="24"/>
          <w:szCs w:val="24"/>
        </w:rPr>
        <w:t>á</w:t>
      </w:r>
      <w:r w:rsidRPr="00E97F49">
        <w:rPr>
          <w:rFonts w:ascii="Times New Roman" w:eastAsia="Calibri" w:hAnsi="Times New Roman" w:cs="Times New Roman"/>
          <w:sz w:val="24"/>
          <w:szCs w:val="24"/>
        </w:rPr>
        <w:t xml:space="preserve">zquez BM, Saura IG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Molina MER (2011) Conceptualizing and measuring loyalty: Towards a conceptual model of tourist loyalty antecedents. </w:t>
      </w:r>
      <w:r w:rsidRPr="00E97F49">
        <w:rPr>
          <w:rFonts w:ascii="Times New Roman" w:eastAsia="Calibri" w:hAnsi="Times New Roman" w:cs="Times New Roman"/>
          <w:i/>
          <w:sz w:val="24"/>
          <w:szCs w:val="24"/>
        </w:rPr>
        <w:t xml:space="preserve">Journal of Vacation Marketing, </w:t>
      </w:r>
      <w:r w:rsidRPr="00A41820">
        <w:rPr>
          <w:rFonts w:ascii="Times New Roman" w:eastAsia="Calibri" w:hAnsi="Times New Roman" w:cs="Times New Roman"/>
          <w:sz w:val="24"/>
          <w:szCs w:val="24"/>
        </w:rPr>
        <w:t>17</w:t>
      </w:r>
      <w:r w:rsidRPr="00E97F49">
        <w:rPr>
          <w:rFonts w:ascii="Times New Roman" w:eastAsia="Calibri" w:hAnsi="Times New Roman" w:cs="Times New Roman"/>
          <w:sz w:val="24"/>
          <w:szCs w:val="24"/>
        </w:rPr>
        <w:t>(1)</w:t>
      </w:r>
      <w:r w:rsidR="00A41820">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65-81. </w:t>
      </w:r>
    </w:p>
    <w:p w14:paraId="72B5C7BE" w14:textId="6EC95B88" w:rsidR="00E97F49" w:rsidRPr="00E97F49" w:rsidRDefault="00E97F49" w:rsidP="000677B8">
      <w:pPr>
        <w:spacing w:after="0" w:line="240" w:lineRule="auto"/>
        <w:ind w:left="720" w:hanging="720"/>
        <w:jc w:val="both"/>
        <w:rPr>
          <w:rFonts w:ascii="Times New Roman" w:eastAsia="Calibri" w:hAnsi="Times New Roman" w:cs="Times New Roman"/>
          <w:sz w:val="24"/>
          <w:szCs w:val="24"/>
        </w:rPr>
      </w:pPr>
      <w:r w:rsidRPr="00E97F49">
        <w:rPr>
          <w:rFonts w:ascii="Times New Roman" w:eastAsia="Calibri" w:hAnsi="Times New Roman" w:cs="Times New Roman"/>
          <w:sz w:val="24"/>
          <w:szCs w:val="24"/>
        </w:rPr>
        <w:t xml:space="preserve">Vinod B (2011) Unleashing the power of loyalty programs: The next 30 years. </w:t>
      </w:r>
      <w:r w:rsidRPr="00E97F49">
        <w:rPr>
          <w:rFonts w:ascii="Times New Roman" w:eastAsia="Calibri" w:hAnsi="Times New Roman" w:cs="Times New Roman"/>
          <w:i/>
          <w:sz w:val="24"/>
          <w:szCs w:val="24"/>
        </w:rPr>
        <w:t xml:space="preserve">Journal of Revenue and Pricing Management, </w:t>
      </w:r>
      <w:r w:rsidRPr="00A41820">
        <w:rPr>
          <w:rFonts w:ascii="Times New Roman" w:eastAsia="Calibri" w:hAnsi="Times New Roman" w:cs="Times New Roman"/>
          <w:sz w:val="24"/>
          <w:szCs w:val="24"/>
        </w:rPr>
        <w:t>10</w:t>
      </w:r>
      <w:r w:rsidR="00A41820">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471-476.</w:t>
      </w:r>
      <w:r w:rsidRPr="00E97F49">
        <w:rPr>
          <w:rFonts w:ascii="Times New Roman" w:eastAsia="Times New Roman" w:hAnsi="Times New Roman" w:cs="Times New Roman"/>
          <w:color w:val="000000" w:themeColor="text1"/>
          <w:sz w:val="24"/>
          <w:szCs w:val="24"/>
        </w:rPr>
        <w:t xml:space="preserve"> </w:t>
      </w:r>
    </w:p>
    <w:p w14:paraId="3AE4729B" w14:textId="15FC318C" w:rsidR="00C2427D" w:rsidRDefault="00E97F49" w:rsidP="000677B8">
      <w:pPr>
        <w:spacing w:after="0" w:line="240" w:lineRule="auto"/>
        <w:ind w:left="720" w:hanging="720"/>
        <w:jc w:val="both"/>
        <w:rPr>
          <w:rFonts w:ascii="Times New Roman" w:hAnsi="Times New Roman" w:cs="Times New Roman"/>
          <w:sz w:val="24"/>
          <w:szCs w:val="24"/>
        </w:rPr>
      </w:pPr>
      <w:r w:rsidRPr="00E97F49">
        <w:rPr>
          <w:rFonts w:ascii="Times New Roman" w:eastAsia="Calibri" w:hAnsi="Times New Roman" w:cs="Times New Roman"/>
          <w:sz w:val="24"/>
          <w:szCs w:val="24"/>
        </w:rPr>
        <w:t xml:space="preserve">Watson L </w:t>
      </w:r>
      <w:r w:rsidR="00D77A8E">
        <w:rPr>
          <w:rFonts w:ascii="Times New Roman" w:eastAsia="Calibri" w:hAnsi="Times New Roman" w:cs="Times New Roman"/>
          <w:sz w:val="24"/>
          <w:szCs w:val="24"/>
        </w:rPr>
        <w:t>and</w:t>
      </w:r>
      <w:r w:rsidRPr="00E97F49">
        <w:rPr>
          <w:rFonts w:ascii="Times New Roman" w:eastAsia="Calibri" w:hAnsi="Times New Roman" w:cs="Times New Roman"/>
          <w:sz w:val="24"/>
          <w:szCs w:val="24"/>
        </w:rPr>
        <w:t xml:space="preserve"> Kale SH (2003) Know when to hold them: Applying the customer lifetime value concept to casino table gaming. </w:t>
      </w:r>
      <w:r w:rsidRPr="00E97F49">
        <w:rPr>
          <w:rFonts w:ascii="Times New Roman" w:eastAsia="Calibri" w:hAnsi="Times New Roman" w:cs="Times New Roman"/>
          <w:i/>
          <w:sz w:val="24"/>
          <w:szCs w:val="24"/>
        </w:rPr>
        <w:t xml:space="preserve">International Gambling Studies, </w:t>
      </w:r>
      <w:r w:rsidRPr="00A41820">
        <w:rPr>
          <w:rFonts w:ascii="Times New Roman" w:eastAsia="Calibri" w:hAnsi="Times New Roman" w:cs="Times New Roman"/>
          <w:sz w:val="24"/>
          <w:szCs w:val="24"/>
        </w:rPr>
        <w:t>3</w:t>
      </w:r>
      <w:r w:rsidR="00A41820">
        <w:rPr>
          <w:rFonts w:ascii="Times New Roman" w:eastAsia="Calibri" w:hAnsi="Times New Roman" w:cs="Times New Roman"/>
          <w:sz w:val="24"/>
          <w:szCs w:val="24"/>
        </w:rPr>
        <w:t>:</w:t>
      </w:r>
      <w:r w:rsidRPr="00E97F49">
        <w:rPr>
          <w:rFonts w:ascii="Times New Roman" w:eastAsia="Calibri" w:hAnsi="Times New Roman" w:cs="Times New Roman"/>
          <w:sz w:val="24"/>
          <w:szCs w:val="24"/>
        </w:rPr>
        <w:t xml:space="preserve"> 89-101.</w:t>
      </w:r>
    </w:p>
    <w:p w14:paraId="423DB10D" w14:textId="537B2B9B" w:rsidR="00C2427D" w:rsidRPr="00884C90" w:rsidRDefault="00C2427D" w:rsidP="000677B8">
      <w:pPr>
        <w:spacing w:after="0" w:line="240" w:lineRule="auto"/>
        <w:jc w:val="both"/>
        <w:rPr>
          <w:rFonts w:ascii="Times New Roman" w:hAnsi="Times New Roman" w:cs="Times New Roman"/>
          <w:sz w:val="24"/>
          <w:szCs w:val="24"/>
        </w:rPr>
      </w:pPr>
    </w:p>
    <w:sectPr w:rsidR="00C2427D" w:rsidRPr="00884C90" w:rsidSect="000677B8">
      <w:pgSz w:w="12240" w:h="15840"/>
      <w:pgMar w:top="2160" w:right="2160" w:bottom="216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D025F6" w14:textId="77777777" w:rsidR="000677B8" w:rsidRDefault="000677B8" w:rsidP="000677B8">
      <w:pPr>
        <w:spacing w:after="0" w:line="240" w:lineRule="auto"/>
      </w:pPr>
      <w:r>
        <w:separator/>
      </w:r>
    </w:p>
  </w:endnote>
  <w:endnote w:type="continuationSeparator" w:id="0">
    <w:p w14:paraId="6326CF9F" w14:textId="77777777" w:rsidR="000677B8" w:rsidRDefault="000677B8" w:rsidP="000677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5CA0A0" w14:textId="77777777" w:rsidR="000677B8" w:rsidRDefault="000677B8" w:rsidP="000677B8">
      <w:pPr>
        <w:spacing w:after="0" w:line="240" w:lineRule="auto"/>
      </w:pPr>
      <w:r>
        <w:separator/>
      </w:r>
    </w:p>
  </w:footnote>
  <w:footnote w:type="continuationSeparator" w:id="0">
    <w:p w14:paraId="1E1E3CFE" w14:textId="77777777" w:rsidR="000677B8" w:rsidRDefault="000677B8" w:rsidP="000677B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C90"/>
    <w:rsid w:val="000677B8"/>
    <w:rsid w:val="000D508E"/>
    <w:rsid w:val="001E1E74"/>
    <w:rsid w:val="002417CD"/>
    <w:rsid w:val="00411DDC"/>
    <w:rsid w:val="004828B3"/>
    <w:rsid w:val="00517C16"/>
    <w:rsid w:val="0054782B"/>
    <w:rsid w:val="00594E77"/>
    <w:rsid w:val="006401C2"/>
    <w:rsid w:val="00650013"/>
    <w:rsid w:val="006736ED"/>
    <w:rsid w:val="00696A58"/>
    <w:rsid w:val="006D3616"/>
    <w:rsid w:val="00717F45"/>
    <w:rsid w:val="007269B8"/>
    <w:rsid w:val="007B31A3"/>
    <w:rsid w:val="00881D01"/>
    <w:rsid w:val="00884647"/>
    <w:rsid w:val="00884C90"/>
    <w:rsid w:val="00926154"/>
    <w:rsid w:val="00985038"/>
    <w:rsid w:val="00A40528"/>
    <w:rsid w:val="00A41820"/>
    <w:rsid w:val="00A90CC9"/>
    <w:rsid w:val="00B24A8F"/>
    <w:rsid w:val="00B438DE"/>
    <w:rsid w:val="00B45560"/>
    <w:rsid w:val="00B94EA6"/>
    <w:rsid w:val="00B95055"/>
    <w:rsid w:val="00BA30CF"/>
    <w:rsid w:val="00BA3A72"/>
    <w:rsid w:val="00BB2CA1"/>
    <w:rsid w:val="00BE2B05"/>
    <w:rsid w:val="00C1780B"/>
    <w:rsid w:val="00C22CD3"/>
    <w:rsid w:val="00C2427D"/>
    <w:rsid w:val="00C62BD6"/>
    <w:rsid w:val="00D4170D"/>
    <w:rsid w:val="00D72B85"/>
    <w:rsid w:val="00D77A8E"/>
    <w:rsid w:val="00DD3F5A"/>
    <w:rsid w:val="00E32A49"/>
    <w:rsid w:val="00E33B43"/>
    <w:rsid w:val="00E514F7"/>
    <w:rsid w:val="00E97F49"/>
    <w:rsid w:val="00EA1BBF"/>
    <w:rsid w:val="00F2592A"/>
    <w:rsid w:val="00F3327B"/>
    <w:rsid w:val="00F439F2"/>
    <w:rsid w:val="00F47609"/>
    <w:rsid w:val="00F5126C"/>
    <w:rsid w:val="00FB3D6E"/>
    <w:rsid w:val="00FE7FC8"/>
    <w:rsid w:val="00FF64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BE44CB"/>
  <w15:docId w15:val="{C12A64C6-5211-4747-AA53-479CF9E18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0D508E"/>
    <w:pPr>
      <w:spacing w:after="0" w:line="240" w:lineRule="auto"/>
    </w:pPr>
  </w:style>
  <w:style w:type="character" w:styleId="Hyperlink">
    <w:name w:val="Hyperlink"/>
    <w:basedOn w:val="DefaultParagraphFont"/>
    <w:uiPriority w:val="99"/>
    <w:unhideWhenUsed/>
    <w:rsid w:val="00926154"/>
    <w:rPr>
      <w:color w:val="0563C1" w:themeColor="hyperlink"/>
      <w:u w:val="single"/>
    </w:rPr>
  </w:style>
  <w:style w:type="character" w:customStyle="1" w:styleId="UnresolvedMention">
    <w:name w:val="Unresolved Mention"/>
    <w:basedOn w:val="DefaultParagraphFont"/>
    <w:uiPriority w:val="99"/>
    <w:semiHidden/>
    <w:unhideWhenUsed/>
    <w:rsid w:val="00926154"/>
    <w:rPr>
      <w:color w:val="808080"/>
      <w:shd w:val="clear" w:color="auto" w:fill="E6E6E6"/>
    </w:rPr>
  </w:style>
  <w:style w:type="paragraph" w:styleId="BalloonText">
    <w:name w:val="Balloon Text"/>
    <w:basedOn w:val="Normal"/>
    <w:link w:val="BalloonTextChar"/>
    <w:uiPriority w:val="99"/>
    <w:semiHidden/>
    <w:unhideWhenUsed/>
    <w:rsid w:val="006736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36ED"/>
    <w:rPr>
      <w:rFonts w:ascii="Tahoma" w:hAnsi="Tahoma" w:cs="Tahoma"/>
      <w:sz w:val="16"/>
      <w:szCs w:val="16"/>
    </w:rPr>
  </w:style>
  <w:style w:type="paragraph" w:styleId="Header">
    <w:name w:val="header"/>
    <w:basedOn w:val="Normal"/>
    <w:link w:val="HeaderChar"/>
    <w:uiPriority w:val="99"/>
    <w:unhideWhenUsed/>
    <w:rsid w:val="000677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0677B8"/>
  </w:style>
  <w:style w:type="paragraph" w:styleId="Footer">
    <w:name w:val="footer"/>
    <w:basedOn w:val="Normal"/>
    <w:link w:val="FooterChar"/>
    <w:uiPriority w:val="99"/>
    <w:unhideWhenUsed/>
    <w:rsid w:val="000677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0677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mericangaming.org/research/reports/state-states-14" TargetMode="Externa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mericangaming.org/research/reports/2016-state-st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A67E7B3-FA73-44F9-90F9-9973B5780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6589</Words>
  <Characters>37562</Characters>
  <Application>Microsoft Office Word</Application>
  <DocSecurity>0</DocSecurity>
  <Lines>313</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Sharon Stroburg</dc:creator>
  <cp:lastModifiedBy>Timothy Smith</cp:lastModifiedBy>
  <cp:revision>2</cp:revision>
  <dcterms:created xsi:type="dcterms:W3CDTF">2018-09-16T11:15:00Z</dcterms:created>
  <dcterms:modified xsi:type="dcterms:W3CDTF">2018-09-16T11:15:00Z</dcterms:modified>
</cp:coreProperties>
</file>