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0A0BF4" w14:textId="329511BD" w:rsidR="000E351A" w:rsidRPr="000E351A" w:rsidRDefault="00116A54" w:rsidP="0064220E">
      <w:pPr>
        <w:pStyle w:val="Title"/>
        <w:spacing w:after="120"/>
      </w:pPr>
      <w:r>
        <w:t>TTRA 202</w:t>
      </w:r>
      <w:r w:rsidR="00DB20BC">
        <w:t>1</w:t>
      </w:r>
      <w:r>
        <w:t xml:space="preserve"> Ex</w:t>
      </w:r>
      <w:r w:rsidR="00FD39A1" w:rsidRPr="000E351A">
        <w:t>tended Abstract</w:t>
      </w:r>
    </w:p>
    <w:p w14:paraId="1E6433F5" w14:textId="77777777" w:rsidR="00A16C01" w:rsidRDefault="00A16C01" w:rsidP="0064220E">
      <w:pPr>
        <w:pStyle w:val="Heading1"/>
        <w:spacing w:before="120"/>
        <w:jc w:val="center"/>
      </w:pPr>
      <w:r w:rsidRPr="00A16C01">
        <w:t>Agritourism: Challenges and opportunities for the rural future</w:t>
      </w:r>
    </w:p>
    <w:p w14:paraId="7C91A253" w14:textId="7EEB27D6" w:rsidR="00B67465" w:rsidRPr="00563927" w:rsidRDefault="00B67465" w:rsidP="00540C59">
      <w:pPr>
        <w:pStyle w:val="Heading1"/>
      </w:pPr>
      <w:r w:rsidRPr="00563927">
        <w:t>Introduction</w:t>
      </w:r>
    </w:p>
    <w:p w14:paraId="78C3BF34" w14:textId="2F6A70E4" w:rsidR="00927495" w:rsidRDefault="008C4944" w:rsidP="0064220E">
      <w:pPr>
        <w:pStyle w:val="Heading1"/>
        <w:spacing w:beforeLines="120" w:before="288"/>
        <w:rPr>
          <w:b w:val="0"/>
        </w:rPr>
      </w:pPr>
      <w:r>
        <w:rPr>
          <w:b w:val="0"/>
        </w:rPr>
        <w:t>Recently, a spotlight has been shone on rural tourism</w:t>
      </w:r>
      <w:r w:rsidR="00E70D5D">
        <w:rPr>
          <w:b w:val="0"/>
        </w:rPr>
        <w:t xml:space="preserve"> </w:t>
      </w:r>
      <w:r w:rsidR="00E70D5D">
        <w:rPr>
          <w:b w:val="0"/>
        </w:rPr>
        <w:t>(UNWTO, 2020)</w:t>
      </w:r>
      <w:r>
        <w:rPr>
          <w:b w:val="0"/>
        </w:rPr>
        <w:t>. The challenges facing rural destinations and touristic activities are unique and require focused study</w:t>
      </w:r>
      <w:r w:rsidR="00E70D5D">
        <w:rPr>
          <w:b w:val="0"/>
        </w:rPr>
        <w:t>.</w:t>
      </w:r>
      <w:r>
        <w:rPr>
          <w:b w:val="0"/>
        </w:rPr>
        <w:t xml:space="preserve"> These rural communities are also facing new challenges in ensuring their livel</w:t>
      </w:r>
      <w:r w:rsidRPr="00204C9C">
        <w:rPr>
          <w:b w:val="0"/>
        </w:rPr>
        <w:t>ihoods are sustained. Increasingly</w:t>
      </w:r>
      <w:r w:rsidR="00D52A6D" w:rsidRPr="00204C9C">
        <w:rPr>
          <w:b w:val="0"/>
        </w:rPr>
        <w:t>, rural communities have long been moving away from natural resource extraction-based economies to tourism- and service-based economies (</w:t>
      </w:r>
      <w:r w:rsidR="00981809">
        <w:rPr>
          <w:b w:val="0"/>
        </w:rPr>
        <w:t xml:space="preserve">Ashley, et al., 2007; </w:t>
      </w:r>
      <w:proofErr w:type="spellStart"/>
      <w:r w:rsidR="005E46F0">
        <w:rPr>
          <w:b w:val="0"/>
        </w:rPr>
        <w:t>Buzinde</w:t>
      </w:r>
      <w:proofErr w:type="spellEnd"/>
      <w:r w:rsidR="005E46F0">
        <w:rPr>
          <w:b w:val="0"/>
        </w:rPr>
        <w:t>, et al., 201</w:t>
      </w:r>
      <w:r w:rsidR="00981809">
        <w:rPr>
          <w:b w:val="0"/>
        </w:rPr>
        <w:t>4</w:t>
      </w:r>
      <w:r w:rsidR="005E46F0">
        <w:rPr>
          <w:b w:val="0"/>
        </w:rPr>
        <w:t>;</w:t>
      </w:r>
      <w:r w:rsidR="00981809">
        <w:rPr>
          <w:b w:val="0"/>
        </w:rPr>
        <w:t xml:space="preserve"> </w:t>
      </w:r>
      <w:proofErr w:type="spellStart"/>
      <w:r w:rsidR="00981809">
        <w:rPr>
          <w:b w:val="0"/>
        </w:rPr>
        <w:t>Nooripoor</w:t>
      </w:r>
      <w:proofErr w:type="spellEnd"/>
      <w:r w:rsidR="00981809">
        <w:rPr>
          <w:b w:val="0"/>
        </w:rPr>
        <w:t>, 2020</w:t>
      </w:r>
      <w:r w:rsidR="00D52A6D" w:rsidRPr="00204C9C">
        <w:rPr>
          <w:b w:val="0"/>
        </w:rPr>
        <w:t xml:space="preserve">). </w:t>
      </w:r>
      <w:r w:rsidRPr="00204C9C">
        <w:rPr>
          <w:b w:val="0"/>
        </w:rPr>
        <w:t>Even those</w:t>
      </w:r>
      <w:r>
        <w:rPr>
          <w:b w:val="0"/>
        </w:rPr>
        <w:t xml:space="preserve"> communities still engaged in the cultivation of natural resources, such as farms, have been encouraged to introduce</w:t>
      </w:r>
      <w:r w:rsidR="00D52A6D" w:rsidRPr="00182C97">
        <w:rPr>
          <w:b w:val="0"/>
        </w:rPr>
        <w:t xml:space="preserve"> additional revenue streams</w:t>
      </w:r>
      <w:r w:rsidR="00C129FF">
        <w:rPr>
          <w:b w:val="0"/>
        </w:rPr>
        <w:t xml:space="preserve"> such as agritourism (</w:t>
      </w:r>
      <w:proofErr w:type="gramStart"/>
      <w:r w:rsidR="00C129FF">
        <w:rPr>
          <w:b w:val="0"/>
        </w:rPr>
        <w:t>e.g.</w:t>
      </w:r>
      <w:proofErr w:type="gramEnd"/>
      <w:r w:rsidR="00C129FF">
        <w:rPr>
          <w:b w:val="0"/>
        </w:rPr>
        <w:t xml:space="preserve"> on-farm sales</w:t>
      </w:r>
      <w:r w:rsidR="00D52A6D" w:rsidRPr="00182C97">
        <w:rPr>
          <w:b w:val="0"/>
        </w:rPr>
        <w:t xml:space="preserve">, </w:t>
      </w:r>
      <w:r w:rsidR="00C129FF">
        <w:rPr>
          <w:b w:val="0"/>
        </w:rPr>
        <w:t>farm stays</w:t>
      </w:r>
      <w:r w:rsidR="00D52A6D" w:rsidRPr="00182C97">
        <w:rPr>
          <w:b w:val="0"/>
        </w:rPr>
        <w:t>,</w:t>
      </w:r>
      <w:r w:rsidR="00C129FF">
        <w:rPr>
          <w:b w:val="0"/>
        </w:rPr>
        <w:t xml:space="preserve"> </w:t>
      </w:r>
      <w:r w:rsidR="00D52A6D" w:rsidRPr="00182C97">
        <w:rPr>
          <w:b w:val="0"/>
        </w:rPr>
        <w:t>farm tours</w:t>
      </w:r>
      <w:r w:rsidR="00C129FF">
        <w:rPr>
          <w:b w:val="0"/>
        </w:rPr>
        <w:t>, etc</w:t>
      </w:r>
      <w:r w:rsidR="00204C9C">
        <w:rPr>
          <w:b w:val="0"/>
        </w:rPr>
        <w:t>.</w:t>
      </w:r>
      <w:r w:rsidR="00C129FF" w:rsidRPr="00204C9C">
        <w:rPr>
          <w:b w:val="0"/>
        </w:rPr>
        <w:t>)</w:t>
      </w:r>
      <w:r w:rsidR="00D52A6D" w:rsidRPr="00204C9C">
        <w:rPr>
          <w:b w:val="0"/>
        </w:rPr>
        <w:t xml:space="preserve"> (Kloppenburg, </w:t>
      </w:r>
      <w:r w:rsidR="00204C9C">
        <w:rPr>
          <w:b w:val="0"/>
        </w:rPr>
        <w:t>et al.,</w:t>
      </w:r>
      <w:r w:rsidR="00D52A6D" w:rsidRPr="00204C9C">
        <w:rPr>
          <w:b w:val="0"/>
        </w:rPr>
        <w:t xml:space="preserve"> 2000). </w:t>
      </w:r>
    </w:p>
    <w:p w14:paraId="666759F6" w14:textId="49A307CC" w:rsidR="00E633DB" w:rsidRPr="00E633DB" w:rsidRDefault="00E633DB" w:rsidP="0064220E">
      <w:pPr>
        <w:spacing w:beforeLines="120" w:before="288"/>
      </w:pPr>
      <w:r w:rsidRPr="00E633DB">
        <w:t>In this presentation, we share the results of a 2019 national survey of agritourism operators throughout the US. The survey questions built on results from qualitative research on agritourism and were focused on products and activities offered, operator motivations, challenges and successes, and perceived economic performance. In our proposed 15-minute presentation, we will report on our findings and analysis, including factors linked to perceived success and profitability. We conclude with implications for future research, policy and outreach favoring rural tourism operators.</w:t>
      </w:r>
    </w:p>
    <w:p w14:paraId="7CD5CD46" w14:textId="09C8066B" w:rsidR="00B67465" w:rsidRPr="00540C59" w:rsidRDefault="00B67465" w:rsidP="00182C97">
      <w:pPr>
        <w:pStyle w:val="Heading1"/>
      </w:pPr>
      <w:r w:rsidRPr="00540C59">
        <w:t>Literature Review</w:t>
      </w:r>
    </w:p>
    <w:p w14:paraId="138F7A11" w14:textId="77777777" w:rsidR="0064220E" w:rsidRDefault="00927495" w:rsidP="0064220E">
      <w:pPr>
        <w:pStyle w:val="Heading1"/>
        <w:spacing w:beforeLines="120" w:before="288" w:afterLines="120" w:after="288"/>
        <w:rPr>
          <w:b w:val="0"/>
        </w:rPr>
      </w:pPr>
      <w:r w:rsidRPr="00927495">
        <w:rPr>
          <w:b w:val="0"/>
        </w:rPr>
        <w:t xml:space="preserve">Agritourism, including direct-to-consumer sales on farms, has a rich history across the globe. Though not formally defined or recognized through policy in the US, agritourism is an increasingly popular diversification strategy and a growing income source for many farmers and ranchers (Busby &amp; </w:t>
      </w:r>
      <w:proofErr w:type="spellStart"/>
      <w:r w:rsidRPr="00927495">
        <w:rPr>
          <w:b w:val="0"/>
        </w:rPr>
        <w:t>Rendle</w:t>
      </w:r>
      <w:proofErr w:type="spellEnd"/>
      <w:r w:rsidRPr="00927495">
        <w:rPr>
          <w:b w:val="0"/>
        </w:rPr>
        <w:t xml:space="preserve">, 2000; Schilling, et al., 2012). In the ever-changing economies of tourism, individual-led efforts such as agritourism have the potential to bring social and economic benefit to rural destinations, building more resilient communities. In post-COVID tourism, this is especially true as travelers find comfort in outdoor, </w:t>
      </w:r>
      <w:proofErr w:type="gramStart"/>
      <w:r w:rsidRPr="00927495">
        <w:rPr>
          <w:b w:val="0"/>
        </w:rPr>
        <w:t>physically-distanced</w:t>
      </w:r>
      <w:proofErr w:type="gramEnd"/>
      <w:r w:rsidRPr="00927495">
        <w:rPr>
          <w:b w:val="0"/>
        </w:rPr>
        <w:t xml:space="preserve"> activities.</w:t>
      </w:r>
    </w:p>
    <w:p w14:paraId="6E556DB3" w14:textId="11FF8B4B" w:rsidR="00927495" w:rsidRPr="00927495" w:rsidRDefault="00927495" w:rsidP="0064220E">
      <w:pPr>
        <w:pStyle w:val="Heading1"/>
        <w:spacing w:beforeLines="120" w:before="288" w:afterLines="120" w:after="288"/>
        <w:rPr>
          <w:b w:val="0"/>
        </w:rPr>
      </w:pPr>
      <w:r w:rsidRPr="00927495">
        <w:rPr>
          <w:b w:val="0"/>
        </w:rPr>
        <w:t>Introducing agritourism to</w:t>
      </w:r>
      <w:r w:rsidR="0064220E">
        <w:rPr>
          <w:b w:val="0"/>
        </w:rPr>
        <w:t xml:space="preserve"> </w:t>
      </w:r>
      <w:r w:rsidRPr="00927495">
        <w:rPr>
          <w:b w:val="0"/>
        </w:rPr>
        <w:t>existing enterprises seems to benefit the hosts. A 2014 study found that small farms with an income diversification strategy report higher average household incomes (</w:t>
      </w:r>
      <w:proofErr w:type="spellStart"/>
      <w:r w:rsidRPr="00927495">
        <w:rPr>
          <w:b w:val="0"/>
        </w:rPr>
        <w:t>Khanal</w:t>
      </w:r>
      <w:proofErr w:type="spellEnd"/>
      <w:r w:rsidRPr="00927495">
        <w:rPr>
          <w:b w:val="0"/>
        </w:rPr>
        <w:t xml:space="preserve"> &amp; Mishra, 2014). In addition, renewed interest in food systems and local food has provided the opportunity for farmers to invite the </w:t>
      </w:r>
      <w:proofErr w:type="gramStart"/>
      <w:r w:rsidRPr="00927495">
        <w:rPr>
          <w:b w:val="0"/>
        </w:rPr>
        <w:t>general public</w:t>
      </w:r>
      <w:proofErr w:type="gramEnd"/>
      <w:r w:rsidRPr="00927495">
        <w:rPr>
          <w:b w:val="0"/>
        </w:rPr>
        <w:t xml:space="preserve"> to their farms, creating both educational and economic value (Chase &amp; </w:t>
      </w:r>
      <w:proofErr w:type="spellStart"/>
      <w:r w:rsidRPr="00927495">
        <w:rPr>
          <w:b w:val="0"/>
        </w:rPr>
        <w:t>Gubinger</w:t>
      </w:r>
      <w:proofErr w:type="spellEnd"/>
      <w:r w:rsidRPr="00927495">
        <w:rPr>
          <w:b w:val="0"/>
        </w:rPr>
        <w:t>, 2014). Recent research suggests that agritourism supports local food systems and enhances direct-to-consumer sales not only by directly influencing tourists’ purchasing behavior but also by promoting a broader interest in agriculture (</w:t>
      </w:r>
      <w:proofErr w:type="spellStart"/>
      <w:r w:rsidRPr="00927495">
        <w:rPr>
          <w:b w:val="0"/>
        </w:rPr>
        <w:t>Brune</w:t>
      </w:r>
      <w:proofErr w:type="spellEnd"/>
      <w:r w:rsidRPr="00927495">
        <w:rPr>
          <w:b w:val="0"/>
        </w:rPr>
        <w:t>, et al., 2020).</w:t>
      </w:r>
    </w:p>
    <w:p w14:paraId="58DC3CF2" w14:textId="77777777" w:rsidR="00927495" w:rsidRDefault="00927495" w:rsidP="0064220E">
      <w:pPr>
        <w:pStyle w:val="Heading1"/>
        <w:spacing w:beforeLines="120" w:before="288" w:afterLines="120" w:after="288"/>
        <w:rPr>
          <w:b w:val="0"/>
        </w:rPr>
      </w:pPr>
      <w:r w:rsidRPr="00927495">
        <w:rPr>
          <w:b w:val="0"/>
        </w:rPr>
        <w:t xml:space="preserve">The market for agritourism experiences has been growing, too. Research using a broader definition of agritourism (including direct sales) estimates that $800 million to $3 billion a year is generated for U.S. farm income from agritourism activities (Carpio, et al., 2008). In 2002, it was estimated that, nationwide, more than 62 million adults visit farms each year and agritourism was on an </w:t>
      </w:r>
      <w:r w:rsidRPr="00927495">
        <w:rPr>
          <w:b w:val="0"/>
        </w:rPr>
        <w:lastRenderedPageBreak/>
        <w:t>upwards trajectory, having increased substantially during the past few decades. Estimates from the 2012 NASS Census of Agriculture place a value of $2 billion, with over $700 million of that coming directly from agritourism experiences, not direct sales (USDA NASS, 2012).</w:t>
      </w:r>
    </w:p>
    <w:p w14:paraId="12DC67C2" w14:textId="278692AE" w:rsidR="00182C97" w:rsidRPr="009C1D5D" w:rsidRDefault="00927495" w:rsidP="0064220E">
      <w:pPr>
        <w:pStyle w:val="Heading1"/>
        <w:spacing w:beforeLines="120" w:before="288" w:afterLines="120" w:after="288"/>
        <w:rPr>
          <w:b w:val="0"/>
        </w:rPr>
      </w:pPr>
      <w:r w:rsidRPr="00927495">
        <w:rPr>
          <w:b w:val="0"/>
        </w:rPr>
        <w:t>Despite this, few large-scale studies have explored the qualities of successful agritourism operations and their perceived barriers, challenges, and successes.</w:t>
      </w:r>
      <w:r>
        <w:rPr>
          <w:b w:val="0"/>
        </w:rPr>
        <w:t xml:space="preserve"> </w:t>
      </w:r>
      <w:r w:rsidR="008C4944">
        <w:rPr>
          <w:b w:val="0"/>
        </w:rPr>
        <w:t>Extant literature is</w:t>
      </w:r>
      <w:r>
        <w:rPr>
          <w:b w:val="0"/>
        </w:rPr>
        <w:t xml:space="preserve"> also</w:t>
      </w:r>
      <w:r w:rsidR="008C4944">
        <w:rPr>
          <w:b w:val="0"/>
        </w:rPr>
        <w:t xml:space="preserve"> limited in its geographic scope. While several national studies of agritourism have been conducted in Canada, and various countries in Europe and in South America, little </w:t>
      </w:r>
      <w:r w:rsidR="008C4944" w:rsidRPr="009C1D5D">
        <w:rPr>
          <w:b w:val="0"/>
        </w:rPr>
        <w:t xml:space="preserve">research has been published on agritourism at the national or regional level in the United States. </w:t>
      </w:r>
      <w:r w:rsidR="00182C97" w:rsidRPr="009C1D5D">
        <w:rPr>
          <w:b w:val="0"/>
        </w:rPr>
        <w:t>R</w:t>
      </w:r>
      <w:r w:rsidR="009C1D5D" w:rsidRPr="009C1D5D">
        <w:rPr>
          <w:b w:val="0"/>
        </w:rPr>
        <w:t>ozier R</w:t>
      </w:r>
      <w:r w:rsidR="00182C97" w:rsidRPr="009C1D5D">
        <w:rPr>
          <w:b w:val="0"/>
        </w:rPr>
        <w:t>ich</w:t>
      </w:r>
      <w:r w:rsidR="009C1D5D" w:rsidRPr="009C1D5D">
        <w:rPr>
          <w:b w:val="0"/>
        </w:rPr>
        <w:t>,</w:t>
      </w:r>
      <w:r w:rsidR="00182C97" w:rsidRPr="009C1D5D">
        <w:rPr>
          <w:b w:val="0"/>
        </w:rPr>
        <w:t xml:space="preserve"> et al. (2016)</w:t>
      </w:r>
      <w:r w:rsidR="00182C97" w:rsidRPr="00182C97">
        <w:rPr>
          <w:b w:val="0"/>
        </w:rPr>
        <w:t xml:space="preserve"> note</w:t>
      </w:r>
      <w:r w:rsidR="008C4944">
        <w:rPr>
          <w:b w:val="0"/>
        </w:rPr>
        <w:t>,</w:t>
      </w:r>
      <w:r w:rsidR="00182C97" w:rsidRPr="00182C97">
        <w:rPr>
          <w:b w:val="0"/>
        </w:rPr>
        <w:t xml:space="preserve"> "While three national surveys exist which provide insight into agritourism or farm visits</w:t>
      </w:r>
      <w:r w:rsidR="00115681">
        <w:rPr>
          <w:b w:val="0"/>
        </w:rPr>
        <w:t xml:space="preserve"> […] </w:t>
      </w:r>
      <w:r w:rsidR="00182C97" w:rsidRPr="00182C97">
        <w:rPr>
          <w:b w:val="0"/>
        </w:rPr>
        <w:t xml:space="preserve">the focus of these studies was not agritourism; rather agritourism was a small component. </w:t>
      </w:r>
      <w:proofErr w:type="gramStart"/>
      <w:r w:rsidR="00182C97" w:rsidRPr="00182C97">
        <w:rPr>
          <w:b w:val="0"/>
        </w:rPr>
        <w:t>In order for</w:t>
      </w:r>
      <w:proofErr w:type="gramEnd"/>
      <w:r w:rsidR="00182C97" w:rsidRPr="00182C97">
        <w:rPr>
          <w:b w:val="0"/>
        </w:rPr>
        <w:t xml:space="preserve"> valid comparisons and generalizations to be made agritourism-focused survey data at a national scale is greatly needed" (p. 4). This multistate research project builds on previous research at the state level, while also providing much-needed insights into what common themes emerge when considering the multitude of other factors that influence</w:t>
      </w:r>
      <w:r w:rsidR="008C4944">
        <w:rPr>
          <w:b w:val="0"/>
        </w:rPr>
        <w:t xml:space="preserve"> the success of agritourism in the </w:t>
      </w:r>
      <w:r w:rsidR="008C4944" w:rsidRPr="009C1D5D">
        <w:rPr>
          <w:b w:val="0"/>
        </w:rPr>
        <w:t>United States.</w:t>
      </w:r>
    </w:p>
    <w:p w14:paraId="52577B73" w14:textId="4CEF0FE3" w:rsidR="00182C97" w:rsidRDefault="0064220E" w:rsidP="0064220E">
      <w:pPr>
        <w:pStyle w:val="NormalWeb"/>
        <w:spacing w:beforeLines="120" w:before="288" w:beforeAutospacing="0" w:afterLines="120" w:after="288" w:afterAutospacing="0"/>
        <w:jc w:val="both"/>
      </w:pPr>
      <w:r>
        <w:rPr>
          <w:noProof/>
        </w:rPr>
        <mc:AlternateContent>
          <mc:Choice Requires="wps">
            <w:drawing>
              <wp:anchor distT="45720" distB="45720" distL="114300" distR="114300" simplePos="0" relativeHeight="251660288" behindDoc="0" locked="0" layoutInCell="1" allowOverlap="1" wp14:anchorId="67014D42" wp14:editId="595AE35B">
                <wp:simplePos x="0" y="0"/>
                <wp:positionH relativeFrom="column">
                  <wp:posOffset>-42545</wp:posOffset>
                </wp:positionH>
                <wp:positionV relativeFrom="margin">
                  <wp:posOffset>5408539</wp:posOffset>
                </wp:positionV>
                <wp:extent cx="2360930" cy="44958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449580"/>
                        </a:xfrm>
                        <a:prstGeom prst="rect">
                          <a:avLst/>
                        </a:prstGeom>
                        <a:noFill/>
                        <a:ln w="9525">
                          <a:noFill/>
                          <a:miter lim="800000"/>
                          <a:headEnd/>
                          <a:tailEnd/>
                        </a:ln>
                      </wps:spPr>
                      <wps:txbx>
                        <w:txbxContent>
                          <w:p w14:paraId="62EF461E" w14:textId="77777777" w:rsidR="0064220E" w:rsidRDefault="0064220E" w:rsidP="0064220E">
                            <w:pPr>
                              <w:pStyle w:val="Caption"/>
                              <w:jc w:val="left"/>
                            </w:pPr>
                            <w:r>
                              <w:t xml:space="preserve">Figure </w:t>
                            </w:r>
                            <w:r>
                              <w:fldChar w:fldCharType="begin"/>
                            </w:r>
                            <w:r>
                              <w:instrText xml:space="preserve"> SEQ Figure \* ARABIC </w:instrText>
                            </w:r>
                            <w:r>
                              <w:fldChar w:fldCharType="separate"/>
                            </w:r>
                            <w:r>
                              <w:rPr>
                                <w:noProof/>
                              </w:rPr>
                              <w:t>1</w:t>
                            </w:r>
                            <w:r>
                              <w:fldChar w:fldCharType="end"/>
                            </w:r>
                            <w:r>
                              <w:t>. Conceptual Framework for Agritourism Activities (Chase, et al., 2018)</w:t>
                            </w:r>
                          </w:p>
                          <w:p w14:paraId="5CBB8D1A" w14:textId="69E5C889" w:rsidR="0064220E" w:rsidRDefault="0064220E"/>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67014D42" id="_x0000_t202" coordsize="21600,21600" o:spt="202" path="m,l,21600r21600,l21600,xe">
                <v:stroke joinstyle="miter"/>
                <v:path gradientshapeok="t" o:connecttype="rect"/>
              </v:shapetype>
              <v:shape id="Text Box 2" o:spid="_x0000_s1026" type="#_x0000_t202" style="position:absolute;left:0;text-align:left;margin-left:-3.35pt;margin-top:425.85pt;width:185.9pt;height:35.4pt;z-index:251660288;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" filled="f" stroked="f">
                <v:textbox>
                  <w:txbxContent>
                    <w:p w14:paraId="62EF461E" w14:textId="77777777" w:rsidR="0064220E" w:rsidRDefault="0064220E" w:rsidP="0064220E">
                      <w:pPr>
                        <w:pStyle w:val="Caption"/>
                        <w:jc w:val="left"/>
                      </w:pPr>
                      <w:r>
                        <w:t xml:space="preserve">Figure </w:t>
                      </w:r>
                      <w:r>
                        <w:fldChar w:fldCharType="begin"/>
                      </w:r>
                      <w:r>
                        <w:instrText xml:space="preserve"> SEQ Figure \* ARABIC </w:instrText>
                      </w:r>
                      <w:r>
                        <w:fldChar w:fldCharType="separate"/>
                      </w:r>
                      <w:r>
                        <w:rPr>
                          <w:noProof/>
                        </w:rPr>
                        <w:t>1</w:t>
                      </w:r>
                      <w:r>
                        <w:fldChar w:fldCharType="end"/>
                      </w:r>
                      <w:r>
                        <w:t>. Conceptual Framework for Agritourism Activities (Chase, et al., 2018)</w:t>
                      </w:r>
                    </w:p>
                    <w:p w14:paraId="5CBB8D1A" w14:textId="69E5C889" w:rsidR="0064220E" w:rsidRDefault="0064220E"/>
                  </w:txbxContent>
                </v:textbox>
                <w10:wrap type="square" anchory="margin"/>
              </v:shape>
            </w:pict>
          </mc:Fallback>
        </mc:AlternateContent>
      </w:r>
      <w:r>
        <w:rPr>
          <w:noProof/>
        </w:rPr>
        <w:drawing>
          <wp:anchor distT="0" distB="457200" distL="0" distR="365760" simplePos="0" relativeHeight="251658240" behindDoc="0" locked="0" layoutInCell="1" allowOverlap="1" wp14:anchorId="79D2FFD5" wp14:editId="4B4B408A">
            <wp:simplePos x="0" y="0"/>
            <wp:positionH relativeFrom="column">
              <wp:posOffset>48260</wp:posOffset>
            </wp:positionH>
            <wp:positionV relativeFrom="paragraph">
              <wp:posOffset>57492</wp:posOffset>
            </wp:positionV>
            <wp:extent cx="2423160" cy="2432304"/>
            <wp:effectExtent l="0" t="0" r="0" b="635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23160" cy="2432304"/>
                    </a:xfrm>
                    <a:prstGeom prst="rect">
                      <a:avLst/>
                    </a:prstGeom>
                    <a:noFill/>
                  </pic:spPr>
                </pic:pic>
              </a:graphicData>
            </a:graphic>
            <wp14:sizeRelH relativeFrom="page">
              <wp14:pctWidth>0</wp14:pctWidth>
            </wp14:sizeRelH>
            <wp14:sizeRelV relativeFrom="page">
              <wp14:pctHeight>0</wp14:pctHeight>
            </wp14:sizeRelV>
          </wp:anchor>
        </w:drawing>
      </w:r>
      <w:r w:rsidR="00182C97" w:rsidRPr="009C1D5D">
        <w:t xml:space="preserve">For this project we used Chase, </w:t>
      </w:r>
      <w:r w:rsidR="009C1D5D" w:rsidRPr="009C1D5D">
        <w:t>et al.</w:t>
      </w:r>
      <w:r w:rsidR="00182C97" w:rsidRPr="009C1D5D">
        <w:t>’s (2018) conceptual framework for defining and categorizing agritourism and direct sales activities.</w:t>
      </w:r>
      <w:r w:rsidR="00182C97" w:rsidRPr="00084A97">
        <w:t xml:space="preserve"> This framework organizes agritourism activities into core and peripheral activities based on where they take place (on- or off-farm) or the degree to which they are </w:t>
      </w:r>
      <w:r w:rsidRPr="00084A97">
        <w:t>related</w:t>
      </w:r>
      <w:r w:rsidR="00182C97" w:rsidRPr="00084A97">
        <w:t xml:space="preserve"> to agricultural activities (Figure 1). According to the framework, “core activities take place on a working farm or ranch and have deep connections to agricultural production” while “peripheral activities lack a deep connection to agricultural production, even though they may take place on a working farm or ranch” (p. 17). For example, core activities might include product sales and experiences such as </w:t>
      </w:r>
      <w:proofErr w:type="spellStart"/>
      <w:r w:rsidR="00182C97" w:rsidRPr="00084A97">
        <w:t>farmstands</w:t>
      </w:r>
      <w:proofErr w:type="spellEnd"/>
      <w:r w:rsidR="00182C97" w:rsidRPr="00084A97">
        <w:t xml:space="preserve">, u-pick, farm tours, overnight </w:t>
      </w:r>
      <w:proofErr w:type="gramStart"/>
      <w:r w:rsidR="00182C97" w:rsidRPr="00084A97">
        <w:t>stays</w:t>
      </w:r>
      <w:proofErr w:type="gramEnd"/>
      <w:r w:rsidR="00182C97" w:rsidRPr="00084A97">
        <w:t xml:space="preserve"> or farm-to-table meals. Peripheral activities might include off-farm farmers markets, weddings, music events or outdoor recreation. The framework also organizes activities into five main categories: education, direct sales, entertainment, outdoor recreation, and hospitality.</w:t>
      </w:r>
      <w:r w:rsidR="00182C97" w:rsidRPr="00084A97">
        <w:rPr>
          <w:b/>
          <w:bCs/>
        </w:rPr>
        <w:t xml:space="preserve"> </w:t>
      </w:r>
      <w:r w:rsidR="00182C97" w:rsidRPr="00084A97">
        <w:t xml:space="preserve">For the purposes of this study, agritourism includes but is not limited to all core and peripheral agritourism activities taking place on-farm, in all categories, as defined in Figure 1. </w:t>
      </w:r>
      <w:r w:rsidR="00DA442A">
        <w:t>Questions about off-farm sales were included in the survey but their interpretation and analysis will not be included in this presentation.</w:t>
      </w:r>
    </w:p>
    <w:p w14:paraId="04C1B703" w14:textId="6B32B1D0" w:rsidR="006C5CFD" w:rsidRPr="00563927" w:rsidRDefault="005734C0" w:rsidP="00182C97">
      <w:pPr>
        <w:pStyle w:val="Heading1"/>
      </w:pPr>
      <w:r w:rsidRPr="00563927">
        <w:t>Method</w:t>
      </w:r>
      <w:r w:rsidR="001B273D">
        <w:t>ology</w:t>
      </w:r>
    </w:p>
    <w:p w14:paraId="7C46F3EB" w14:textId="523E9A97" w:rsidR="00BB7CBD" w:rsidRDefault="00DA442A" w:rsidP="00540C59">
      <w:pPr>
        <w:pStyle w:val="Heading1"/>
        <w:rPr>
          <w:b w:val="0"/>
        </w:rPr>
      </w:pPr>
      <w:r>
        <w:rPr>
          <w:b w:val="0"/>
        </w:rPr>
        <w:t xml:space="preserve">Using the framework presented by Chase, et al. (2018), a survey was developed to be distributed to agritourism operators throughout the US. </w:t>
      </w:r>
      <w:r w:rsidR="00BB7CBD" w:rsidRPr="00BB7CBD">
        <w:rPr>
          <w:b w:val="0"/>
        </w:rPr>
        <w:t xml:space="preserve">The online survey took place between November 2019 </w:t>
      </w:r>
      <w:r w:rsidR="00BB7CBD" w:rsidRPr="00BB7CBD">
        <w:rPr>
          <w:b w:val="0"/>
        </w:rPr>
        <w:lastRenderedPageBreak/>
        <w:t xml:space="preserve">and February 2020 and began with a question to ensure responses only from working farms and ranches that have visitors on their property. The survey link was shared with farmers and ranchers through email, social media, and newsletters by university extension systems, state departments of agriculture, agritourism associations, and others working with farmers and ranchers throughout the U.S. </w:t>
      </w:r>
    </w:p>
    <w:p w14:paraId="0D58943E" w14:textId="2EC868AA" w:rsidR="00FC4D56" w:rsidRPr="00563927" w:rsidRDefault="00FC4D56" w:rsidP="00540C59">
      <w:pPr>
        <w:pStyle w:val="Heading1"/>
      </w:pPr>
      <w:r w:rsidRPr="00563927">
        <w:t>Results</w:t>
      </w:r>
    </w:p>
    <w:p w14:paraId="3097B8D6" w14:textId="26414F3B" w:rsidR="002E7A20" w:rsidRDefault="00E65540" w:rsidP="0064220E">
      <w:r w:rsidRPr="00BB7CBD">
        <w:t>Responses were received from 1834 farms in all 50 states, ranging from one response each from six states, to 222 fro</w:t>
      </w:r>
      <w:r w:rsidR="002E7A20">
        <w:t>m operators in</w:t>
      </w:r>
      <w:r w:rsidRPr="00BB7CBD">
        <w:t xml:space="preserve"> Vermont. The largest contributions of data came from Vermont, Oregon, Tennessee</w:t>
      </w:r>
      <w:r w:rsidR="002E7A20">
        <w:t xml:space="preserve">, </w:t>
      </w:r>
      <w:r w:rsidRPr="00BB7CBD">
        <w:t>California</w:t>
      </w:r>
      <w:r w:rsidR="002E7A20">
        <w:t>, Kansas, Wisconsin, Kentucky, and Oklahoma</w:t>
      </w:r>
      <w:r w:rsidRPr="00BB7CBD">
        <w:t xml:space="preserve">.  Responding farmers were of all ages, with 55 being the average age. A majority of responding farmers were women. Almost three-quarters have a college degree. </w:t>
      </w:r>
      <w:r w:rsidR="00A60727">
        <w:t xml:space="preserve">The survey included demographic and firmographic questions as well as questions on operators’ goals, </w:t>
      </w:r>
      <w:proofErr w:type="gramStart"/>
      <w:r w:rsidR="00A60727">
        <w:t>future plans</w:t>
      </w:r>
      <w:proofErr w:type="gramEnd"/>
      <w:r w:rsidR="00A60727">
        <w:t xml:space="preserve"> for agritourism, perceived success and challenges.</w:t>
      </w:r>
    </w:p>
    <w:p w14:paraId="1EA5F73E" w14:textId="3E0A0DB0" w:rsidR="00927495" w:rsidRDefault="00115681" w:rsidP="0064220E">
      <w:r>
        <w:t xml:space="preserve">Respondents to our survey reported insightful information regarding their financial viability and their plans for agritourism in the next 5 years. </w:t>
      </w:r>
      <w:r w:rsidR="00927495">
        <w:t xml:space="preserve">Findings from the surveys are still being analyzed, but initial results point to a positive outlook for agritourism. We are also gathering key insights into the perceived challenges and successes with operators and how we might employ policies and </w:t>
      </w:r>
      <w:r w:rsidR="00A60727">
        <w:t>tools</w:t>
      </w:r>
      <w:r w:rsidR="00927495">
        <w:t xml:space="preserve"> to </w:t>
      </w:r>
      <w:r w:rsidR="00A60727">
        <w:t>support</w:t>
      </w:r>
      <w:r w:rsidR="00927495">
        <w:t xml:space="preserve"> a healthy economy of agritourism experiences. </w:t>
      </w:r>
    </w:p>
    <w:p w14:paraId="677F0D77" w14:textId="64B9C1ED" w:rsidR="00BB7CBD" w:rsidRPr="00563927" w:rsidRDefault="002E7A20" w:rsidP="0064220E">
      <w:r>
        <w:t>Because</w:t>
      </w:r>
      <w:r w:rsidR="00E65540" w:rsidRPr="00BB7CBD">
        <w:t xml:space="preserve"> the survey was conducted in </w:t>
      </w:r>
      <w:r>
        <w:t>W</w:t>
      </w:r>
      <w:r w:rsidR="00E65540" w:rsidRPr="00BB7CBD">
        <w:t>inter</w:t>
      </w:r>
      <w:r>
        <w:t xml:space="preserve"> of</w:t>
      </w:r>
      <w:r w:rsidR="00E65540" w:rsidRPr="00BB7CBD">
        <w:t xml:space="preserve"> 2019-20, responses reflect the state of agritourism in the U.S. before the COVID-19 pandemic</w:t>
      </w:r>
      <w:r w:rsidR="00927495">
        <w:t>. However, our insights, coupled with further studies, will allow us to better understand the impacts the pandemic has had on agritourism in the United States.</w:t>
      </w:r>
    </w:p>
    <w:p w14:paraId="754599FA" w14:textId="31E6D4E9" w:rsidR="0089168F" w:rsidRPr="00563927" w:rsidRDefault="00BF423D" w:rsidP="0089168F">
      <w:pPr>
        <w:pStyle w:val="Heading1"/>
      </w:pPr>
      <w:r w:rsidRPr="00563927">
        <w:t>Conclusion</w:t>
      </w:r>
    </w:p>
    <w:p w14:paraId="29CEA92D" w14:textId="2DE5603F" w:rsidR="00115681" w:rsidRPr="00A60727" w:rsidRDefault="0089168F" w:rsidP="00A60727">
      <w:pPr>
        <w:pStyle w:val="Heading1"/>
        <w:spacing w:beforeLines="120" w:before="288"/>
        <w:rPr>
          <w:b w:val="0"/>
        </w:rPr>
      </w:pPr>
      <w:bookmarkStart w:id="0" w:name="_Hlk65513296"/>
      <w:r w:rsidRPr="0089168F">
        <w:rPr>
          <w:b w:val="0"/>
        </w:rPr>
        <w:t xml:space="preserve">In the ever-changing economies of tourism, individual-led efforts such as agritourism have the potential to bring social and economic benefit to rural destinations, building more resilient communities. In post-COVID tourism, this is especially true as travelers find comfort in outdoor, </w:t>
      </w:r>
      <w:proofErr w:type="gramStart"/>
      <w:r w:rsidRPr="0089168F">
        <w:rPr>
          <w:b w:val="0"/>
        </w:rPr>
        <w:t>physically-distanced</w:t>
      </w:r>
      <w:proofErr w:type="gramEnd"/>
      <w:r w:rsidRPr="0089168F">
        <w:rPr>
          <w:b w:val="0"/>
        </w:rPr>
        <w:t xml:space="preserve"> activities.</w:t>
      </w:r>
      <w:bookmarkEnd w:id="0"/>
      <w:r w:rsidR="00A60727">
        <w:rPr>
          <w:b w:val="0"/>
        </w:rPr>
        <w:t xml:space="preserve"> </w:t>
      </w:r>
      <w:r w:rsidR="00115681" w:rsidRPr="00A60727">
        <w:rPr>
          <w:b w:val="0"/>
          <w:bCs/>
        </w:rPr>
        <w:t xml:space="preserve">The present study highlights </w:t>
      </w:r>
      <w:r w:rsidR="00A60727">
        <w:rPr>
          <w:b w:val="0"/>
          <w:bCs/>
        </w:rPr>
        <w:t xml:space="preserve">not just the </w:t>
      </w:r>
      <w:r w:rsidR="00115681" w:rsidRPr="00A60727">
        <w:rPr>
          <w:b w:val="0"/>
          <w:bCs/>
        </w:rPr>
        <w:t>many perceived benefits</w:t>
      </w:r>
      <w:r w:rsidR="00E70D5D">
        <w:rPr>
          <w:b w:val="0"/>
          <w:bCs/>
        </w:rPr>
        <w:t>, but also the</w:t>
      </w:r>
      <w:r w:rsidR="00115681" w:rsidRPr="00A60727">
        <w:rPr>
          <w:b w:val="0"/>
          <w:bCs/>
        </w:rPr>
        <w:t xml:space="preserve"> opportunities </w:t>
      </w:r>
      <w:r w:rsidR="00E70D5D">
        <w:rPr>
          <w:b w:val="0"/>
          <w:bCs/>
        </w:rPr>
        <w:t>inherent with</w:t>
      </w:r>
      <w:r w:rsidR="00115681" w:rsidRPr="00A60727">
        <w:rPr>
          <w:b w:val="0"/>
          <w:bCs/>
        </w:rPr>
        <w:t xml:space="preserve"> the promotion of agritourism. Among them</w:t>
      </w:r>
      <w:r w:rsidR="00E70D5D">
        <w:rPr>
          <w:b w:val="0"/>
          <w:bCs/>
        </w:rPr>
        <w:t xml:space="preserve"> are social interaction, building goodwill in the community, providing family employment, </w:t>
      </w:r>
      <w:proofErr w:type="gramStart"/>
      <w:r w:rsidR="00E70D5D">
        <w:rPr>
          <w:b w:val="0"/>
          <w:bCs/>
        </w:rPr>
        <w:t>and,</w:t>
      </w:r>
      <w:proofErr w:type="gramEnd"/>
      <w:r w:rsidR="00E70D5D">
        <w:rPr>
          <w:b w:val="0"/>
          <w:bCs/>
        </w:rPr>
        <w:t xml:space="preserve"> as supported by previous literature, increasing revenue for existing farm enterprises. In the presentation, we will elaborate on these findings, and offer insight into the positive futures of agritourism, and its rural communities, in the United States.</w:t>
      </w:r>
    </w:p>
    <w:p w14:paraId="3917FEB7" w14:textId="77777777" w:rsidR="002E7A20" w:rsidRPr="002E7A20" w:rsidRDefault="002E7A20" w:rsidP="002E7A20"/>
    <w:p w14:paraId="7BC599F8" w14:textId="53FA5AA5" w:rsidR="00BF423D" w:rsidRPr="00E520FE" w:rsidRDefault="00666DF1" w:rsidP="00540C59">
      <w:pPr>
        <w:pStyle w:val="Heading1"/>
        <w:rPr>
          <w:b w:val="0"/>
        </w:rPr>
      </w:pPr>
      <w:r w:rsidRPr="00563927">
        <w:t>References</w:t>
      </w:r>
      <w:r w:rsidR="00E520FE" w:rsidRPr="00E520FE">
        <w:rPr>
          <w:rStyle w:val="FootnoteReference"/>
          <w:b w:val="0"/>
        </w:rPr>
        <w:t xml:space="preserve"> </w:t>
      </w:r>
    </w:p>
    <w:p w14:paraId="16A2F98D" w14:textId="77777777" w:rsidR="00981809" w:rsidRPr="0064220E" w:rsidRDefault="00981809" w:rsidP="0064220E">
      <w:pPr>
        <w:pStyle w:val="References"/>
      </w:pPr>
      <w:r w:rsidRPr="0064220E">
        <w:t>Ashley, C., De Brine, P., Lehr, A., &amp; Wilde, H. (2007). The role of the tourism sector in expanding economic opportunity. Cambridge, MA: John F. Kennedy School of Government, Harvard University.</w:t>
      </w:r>
    </w:p>
    <w:p w14:paraId="054C553E" w14:textId="77777777" w:rsidR="00981809" w:rsidRPr="0064220E" w:rsidRDefault="00981809" w:rsidP="0064220E">
      <w:pPr>
        <w:ind w:left="360" w:hanging="360"/>
        <w:rPr>
          <w:bCs/>
        </w:rPr>
      </w:pPr>
      <w:proofErr w:type="spellStart"/>
      <w:r w:rsidRPr="0064220E">
        <w:rPr>
          <w:bCs/>
        </w:rPr>
        <w:lastRenderedPageBreak/>
        <w:t>Brune</w:t>
      </w:r>
      <w:proofErr w:type="spellEnd"/>
      <w:r w:rsidRPr="0064220E">
        <w:rPr>
          <w:bCs/>
        </w:rPr>
        <w:t>, S., Knollenberg, W., Stevenson, K. T., Barbieri, C., &amp; Schroeder-Moreno, M. (2020). The influence of agritourism experiences on consumer behavior toward local food. Journal of Travel Research.</w:t>
      </w:r>
    </w:p>
    <w:p w14:paraId="5C6ED5C8" w14:textId="77777777" w:rsidR="00981809" w:rsidRPr="0064220E" w:rsidRDefault="00981809" w:rsidP="0064220E">
      <w:pPr>
        <w:pStyle w:val="References"/>
      </w:pPr>
      <w:r w:rsidRPr="0064220E">
        <w:t xml:space="preserve">Busby, G., &amp; </w:t>
      </w:r>
      <w:proofErr w:type="spellStart"/>
      <w:r w:rsidRPr="0064220E">
        <w:t>Rendle</w:t>
      </w:r>
      <w:proofErr w:type="spellEnd"/>
      <w:r w:rsidRPr="0064220E">
        <w:t>, S. (2000). The transition from tourism on farms to farm tourism. Tourism Management, 21(6), 635-642.</w:t>
      </w:r>
    </w:p>
    <w:p w14:paraId="230C4495" w14:textId="77777777" w:rsidR="00981809" w:rsidRPr="0064220E" w:rsidRDefault="00981809" w:rsidP="0064220E">
      <w:pPr>
        <w:ind w:left="360" w:hanging="360"/>
        <w:rPr>
          <w:bCs/>
        </w:rPr>
      </w:pPr>
      <w:proofErr w:type="spellStart"/>
      <w:r w:rsidRPr="0064220E">
        <w:rPr>
          <w:bCs/>
          <w:lang w:val="es-GT"/>
        </w:rPr>
        <w:t>B</w:t>
      </w:r>
      <w:r w:rsidRPr="0064220E">
        <w:rPr>
          <w:bCs/>
          <w:lang w:val="es-GT"/>
        </w:rPr>
        <w:t>uzinde</w:t>
      </w:r>
      <w:proofErr w:type="spellEnd"/>
      <w:r w:rsidRPr="0064220E">
        <w:rPr>
          <w:bCs/>
          <w:lang w:val="es-GT"/>
        </w:rPr>
        <w:t xml:space="preserve">, C., </w:t>
      </w:r>
      <w:proofErr w:type="spellStart"/>
      <w:r w:rsidRPr="0064220E">
        <w:rPr>
          <w:bCs/>
          <w:lang w:val="es-GT"/>
        </w:rPr>
        <w:t>Kalavar</w:t>
      </w:r>
      <w:proofErr w:type="spellEnd"/>
      <w:r w:rsidRPr="0064220E">
        <w:rPr>
          <w:bCs/>
          <w:lang w:val="es-GT"/>
        </w:rPr>
        <w:t xml:space="preserve">, N., </w:t>
      </w:r>
      <w:proofErr w:type="spellStart"/>
      <w:r w:rsidRPr="0064220E">
        <w:rPr>
          <w:bCs/>
          <w:lang w:val="es-GT"/>
        </w:rPr>
        <w:t>Jyotsna</w:t>
      </w:r>
      <w:proofErr w:type="spellEnd"/>
      <w:r w:rsidRPr="0064220E">
        <w:rPr>
          <w:bCs/>
          <w:lang w:val="es-GT"/>
        </w:rPr>
        <w:t xml:space="preserve">, M., &amp; </w:t>
      </w:r>
      <w:proofErr w:type="spellStart"/>
      <w:r w:rsidRPr="0064220E">
        <w:rPr>
          <w:bCs/>
          <w:lang w:val="es-GT"/>
        </w:rPr>
        <w:t>Melubo</w:t>
      </w:r>
      <w:proofErr w:type="spellEnd"/>
      <w:r w:rsidRPr="0064220E">
        <w:rPr>
          <w:bCs/>
          <w:lang w:val="es-GT"/>
        </w:rPr>
        <w:t>, K. (201</w:t>
      </w:r>
      <w:r w:rsidRPr="0064220E">
        <w:rPr>
          <w:bCs/>
          <w:lang w:val="es-GT"/>
        </w:rPr>
        <w:t>4</w:t>
      </w:r>
      <w:r w:rsidRPr="0064220E">
        <w:rPr>
          <w:bCs/>
          <w:lang w:val="es-GT"/>
        </w:rPr>
        <w:t>).</w:t>
      </w:r>
      <w:r w:rsidRPr="0064220E">
        <w:rPr>
          <w:bCs/>
          <w:lang w:val="es-GT"/>
        </w:rPr>
        <w:t xml:space="preserve"> </w:t>
      </w:r>
      <w:r w:rsidRPr="0064220E">
        <w:rPr>
          <w:bCs/>
        </w:rPr>
        <w:t>Tourism and community well-being: The case of the</w:t>
      </w:r>
      <w:r w:rsidRPr="0064220E">
        <w:rPr>
          <w:bCs/>
        </w:rPr>
        <w:t xml:space="preserve"> </w:t>
      </w:r>
      <w:r w:rsidRPr="0064220E">
        <w:rPr>
          <w:bCs/>
        </w:rPr>
        <w:t>Maasai in Tanzania. Annals of Tourism Research,</w:t>
      </w:r>
      <w:r w:rsidRPr="0064220E">
        <w:rPr>
          <w:bCs/>
        </w:rPr>
        <w:t xml:space="preserve"> </w:t>
      </w:r>
      <w:r w:rsidRPr="0064220E">
        <w:rPr>
          <w:bCs/>
        </w:rPr>
        <w:t>44, 20–35</w:t>
      </w:r>
    </w:p>
    <w:p w14:paraId="28AFC353" w14:textId="77777777" w:rsidR="00981809" w:rsidRPr="0064220E" w:rsidRDefault="00981809" w:rsidP="0064220E">
      <w:pPr>
        <w:ind w:left="360" w:hanging="360"/>
        <w:rPr>
          <w:bCs/>
        </w:rPr>
      </w:pPr>
      <w:r w:rsidRPr="0064220E">
        <w:rPr>
          <w:bCs/>
        </w:rPr>
        <w:t>Carpio, C</w:t>
      </w:r>
      <w:r w:rsidRPr="0064220E">
        <w:rPr>
          <w:bCs/>
        </w:rPr>
        <w:t>.,</w:t>
      </w:r>
      <w:r w:rsidRPr="0064220E">
        <w:rPr>
          <w:bCs/>
        </w:rPr>
        <w:t xml:space="preserve"> </w:t>
      </w:r>
      <w:proofErr w:type="spellStart"/>
      <w:r w:rsidRPr="0064220E">
        <w:rPr>
          <w:bCs/>
        </w:rPr>
        <w:t>Wohlgenant</w:t>
      </w:r>
      <w:proofErr w:type="spellEnd"/>
      <w:r w:rsidRPr="0064220E">
        <w:rPr>
          <w:bCs/>
        </w:rPr>
        <w:t>, M</w:t>
      </w:r>
      <w:r w:rsidRPr="0064220E">
        <w:rPr>
          <w:bCs/>
        </w:rPr>
        <w:t>.,</w:t>
      </w:r>
      <w:r w:rsidRPr="0064220E">
        <w:rPr>
          <w:bCs/>
        </w:rPr>
        <w:t xml:space="preserve"> &amp; </w:t>
      </w:r>
      <w:proofErr w:type="spellStart"/>
      <w:r w:rsidRPr="0064220E">
        <w:rPr>
          <w:bCs/>
        </w:rPr>
        <w:t>Boonsaeng</w:t>
      </w:r>
      <w:proofErr w:type="spellEnd"/>
      <w:r w:rsidRPr="0064220E">
        <w:rPr>
          <w:bCs/>
        </w:rPr>
        <w:t>, T. (2008). The Demand for Agritourism in the United States. Journal of Agricultural and Resource Economics. 33. 254-269. 10.22004/ag.econ.42465.</w:t>
      </w:r>
    </w:p>
    <w:p w14:paraId="79E50DA8" w14:textId="77777777" w:rsidR="00981809" w:rsidRPr="0064220E" w:rsidRDefault="00981809" w:rsidP="0064220E">
      <w:pPr>
        <w:ind w:left="360" w:hanging="360"/>
        <w:rPr>
          <w:bCs/>
        </w:rPr>
      </w:pPr>
      <w:r w:rsidRPr="0064220E">
        <w:rPr>
          <w:bCs/>
        </w:rPr>
        <w:t>Chase, L. C., Stewart, M., Schilling, B., Smith, B., &amp; Walk, M. (2018). Agritourism: Toward a conceptual framework for industry analysis. Journal of Agriculture, Food Systems, and Community Development, 8(1), 13-19.</w:t>
      </w:r>
    </w:p>
    <w:p w14:paraId="6349E34F" w14:textId="77777777" w:rsidR="00981809" w:rsidRPr="0064220E" w:rsidRDefault="00981809" w:rsidP="0064220E">
      <w:pPr>
        <w:ind w:left="360" w:hanging="360"/>
        <w:rPr>
          <w:bCs/>
        </w:rPr>
      </w:pPr>
      <w:r w:rsidRPr="0064220E">
        <w:rPr>
          <w:bCs/>
        </w:rPr>
        <w:t>Chase, L., &amp; Grubinger, V. (2014). Food, farms, and community: Exploring food systems. University of New Hampshire Press.</w:t>
      </w:r>
    </w:p>
    <w:p w14:paraId="24A24284" w14:textId="77777777" w:rsidR="00981809" w:rsidRPr="0064220E" w:rsidRDefault="00981809" w:rsidP="0064220E">
      <w:pPr>
        <w:pStyle w:val="References"/>
      </w:pPr>
      <w:proofErr w:type="spellStart"/>
      <w:r w:rsidRPr="0064220E">
        <w:rPr>
          <w:rFonts w:hint="eastAsia"/>
        </w:rPr>
        <w:t>Khanal</w:t>
      </w:r>
      <w:proofErr w:type="spellEnd"/>
      <w:r w:rsidRPr="0064220E">
        <w:rPr>
          <w:rFonts w:hint="eastAsia"/>
        </w:rPr>
        <w:t>, A. R., &amp; Mishra, A. K. (2014). Agritourism and off</w:t>
      </w:r>
      <w:r w:rsidRPr="0064220E">
        <w:rPr>
          <w:rFonts w:hint="eastAsia"/>
        </w:rPr>
        <w:t>‐</w:t>
      </w:r>
      <w:r w:rsidRPr="0064220E">
        <w:rPr>
          <w:rFonts w:hint="eastAsia"/>
        </w:rPr>
        <w:t>farm work: survival strategies for small farms. Agricultural Economics, 45(S1), 65-76.</w:t>
      </w:r>
    </w:p>
    <w:p w14:paraId="7FDE7C3E" w14:textId="77777777" w:rsidR="00981809" w:rsidRPr="0064220E" w:rsidRDefault="00981809" w:rsidP="0064220E">
      <w:pPr>
        <w:pStyle w:val="References"/>
        <w:rPr>
          <w:bCs/>
        </w:rPr>
      </w:pPr>
      <w:r w:rsidRPr="0064220E">
        <w:rPr>
          <w:bCs/>
        </w:rPr>
        <w:t xml:space="preserve">Kloppenburg, Jr, J., </w:t>
      </w:r>
      <w:proofErr w:type="spellStart"/>
      <w:r w:rsidRPr="0064220E">
        <w:rPr>
          <w:bCs/>
        </w:rPr>
        <w:t>Lezberg</w:t>
      </w:r>
      <w:proofErr w:type="spellEnd"/>
      <w:r w:rsidRPr="0064220E">
        <w:rPr>
          <w:bCs/>
        </w:rPr>
        <w:t>, S., De Master, K., Stevenson, G., &amp; Hendrickson, J. (2000). Tasting food, tasting sustainability: Defining the attributes of an alternative food system with competent, ordinary people. Human Organization, 59(2), 177-186.</w:t>
      </w:r>
    </w:p>
    <w:p w14:paraId="155162DE" w14:textId="77777777" w:rsidR="00981809" w:rsidRPr="0064220E" w:rsidRDefault="00981809" w:rsidP="0064220E">
      <w:pPr>
        <w:ind w:left="360" w:hanging="360"/>
        <w:rPr>
          <w:bCs/>
        </w:rPr>
      </w:pPr>
      <w:proofErr w:type="spellStart"/>
      <w:r w:rsidRPr="0064220E">
        <w:rPr>
          <w:bCs/>
        </w:rPr>
        <w:t>Nooripoor</w:t>
      </w:r>
      <w:proofErr w:type="spellEnd"/>
      <w:r w:rsidRPr="0064220E">
        <w:rPr>
          <w:bCs/>
        </w:rPr>
        <w:t xml:space="preserve">, </w:t>
      </w:r>
      <w:r w:rsidRPr="0064220E">
        <w:rPr>
          <w:bCs/>
        </w:rPr>
        <w:t>M.,</w:t>
      </w:r>
      <w:r w:rsidRPr="0064220E">
        <w:rPr>
          <w:bCs/>
        </w:rPr>
        <w:t xml:space="preserve"> </w:t>
      </w:r>
      <w:proofErr w:type="spellStart"/>
      <w:r w:rsidRPr="0064220E">
        <w:rPr>
          <w:bCs/>
        </w:rPr>
        <w:t>Khosrowjerdi</w:t>
      </w:r>
      <w:proofErr w:type="spellEnd"/>
      <w:r w:rsidRPr="0064220E">
        <w:rPr>
          <w:bCs/>
        </w:rPr>
        <w:t>, M</w:t>
      </w:r>
      <w:r w:rsidRPr="0064220E">
        <w:rPr>
          <w:bCs/>
        </w:rPr>
        <w:t>.,</w:t>
      </w:r>
      <w:r w:rsidRPr="0064220E">
        <w:rPr>
          <w:bCs/>
        </w:rPr>
        <w:t xml:space="preserve"> </w:t>
      </w:r>
      <w:proofErr w:type="spellStart"/>
      <w:r w:rsidRPr="0064220E">
        <w:rPr>
          <w:bCs/>
        </w:rPr>
        <w:t>Rastegari</w:t>
      </w:r>
      <w:proofErr w:type="spellEnd"/>
      <w:r w:rsidRPr="0064220E">
        <w:rPr>
          <w:bCs/>
        </w:rPr>
        <w:t>, H</w:t>
      </w:r>
      <w:r w:rsidRPr="0064220E">
        <w:rPr>
          <w:bCs/>
        </w:rPr>
        <w:t>.,</w:t>
      </w:r>
      <w:r w:rsidRPr="0064220E">
        <w:rPr>
          <w:bCs/>
        </w:rPr>
        <w:t xml:space="preserve"> Sharifi, Z</w:t>
      </w:r>
      <w:r w:rsidRPr="0064220E">
        <w:rPr>
          <w:bCs/>
        </w:rPr>
        <w:t>., &amp;</w:t>
      </w:r>
      <w:r w:rsidRPr="0064220E">
        <w:rPr>
          <w:bCs/>
        </w:rPr>
        <w:t xml:space="preserve"> </w:t>
      </w:r>
      <w:proofErr w:type="spellStart"/>
      <w:r w:rsidRPr="0064220E">
        <w:rPr>
          <w:bCs/>
        </w:rPr>
        <w:t>Bijani</w:t>
      </w:r>
      <w:proofErr w:type="spellEnd"/>
      <w:r w:rsidRPr="0064220E">
        <w:rPr>
          <w:bCs/>
        </w:rPr>
        <w:t xml:space="preserve">, M. (2020). The Role of Tourism in Rural Development: Evidence from Iran. </w:t>
      </w:r>
      <w:proofErr w:type="spellStart"/>
      <w:r w:rsidRPr="0064220E">
        <w:rPr>
          <w:bCs/>
        </w:rPr>
        <w:t>GeoJournal</w:t>
      </w:r>
      <w:proofErr w:type="spellEnd"/>
      <w:r w:rsidRPr="0064220E">
        <w:rPr>
          <w:bCs/>
        </w:rPr>
        <w:t>.</w:t>
      </w:r>
    </w:p>
    <w:p w14:paraId="6E4A9A5D" w14:textId="77777777" w:rsidR="00981809" w:rsidRPr="0064220E" w:rsidRDefault="00981809" w:rsidP="0064220E">
      <w:pPr>
        <w:ind w:left="360" w:hanging="360"/>
        <w:rPr>
          <w:bCs/>
        </w:rPr>
      </w:pPr>
      <w:r w:rsidRPr="0064220E">
        <w:rPr>
          <w:bCs/>
        </w:rPr>
        <w:t xml:space="preserve">Rozier Rich, S., Standish, K., Tomas, S., Barbieri, C., &amp; </w:t>
      </w:r>
      <w:proofErr w:type="spellStart"/>
      <w:r w:rsidRPr="0064220E">
        <w:rPr>
          <w:bCs/>
        </w:rPr>
        <w:t>Ainely</w:t>
      </w:r>
      <w:proofErr w:type="spellEnd"/>
      <w:r w:rsidRPr="0064220E">
        <w:rPr>
          <w:bCs/>
        </w:rPr>
        <w:t>, S. (2016). The current state of agritourism research in the United States. Travel and Tourism Research Association: Advancing Tourism Research Globally, 12.</w:t>
      </w:r>
    </w:p>
    <w:p w14:paraId="3F10D912" w14:textId="77777777" w:rsidR="00981809" w:rsidRPr="0064220E" w:rsidRDefault="00981809" w:rsidP="0064220E">
      <w:pPr>
        <w:pStyle w:val="References"/>
        <w:rPr>
          <w:bCs/>
        </w:rPr>
      </w:pPr>
      <w:r w:rsidRPr="0064220E">
        <w:rPr>
          <w:bCs/>
        </w:rPr>
        <w:t xml:space="preserve">Schilling, B. J., Sullivan, K. P., &amp; </w:t>
      </w:r>
      <w:proofErr w:type="spellStart"/>
      <w:r w:rsidRPr="0064220E">
        <w:rPr>
          <w:bCs/>
        </w:rPr>
        <w:t>Komar</w:t>
      </w:r>
      <w:proofErr w:type="spellEnd"/>
      <w:r w:rsidRPr="0064220E">
        <w:rPr>
          <w:bCs/>
        </w:rPr>
        <w:t>, S. J. (2012). Examining the economic benefits of agritourism: The case of New Jersey. Journal of Agriculture, Food Systems, and Community Development, 3(1), 199-214.</w:t>
      </w:r>
    </w:p>
    <w:p w14:paraId="79343844" w14:textId="7F89CD19" w:rsidR="001D2109" w:rsidRPr="0064220E" w:rsidRDefault="001D2109" w:rsidP="0064220E">
      <w:pPr>
        <w:ind w:left="360" w:hanging="360"/>
        <w:rPr>
          <w:bCs/>
        </w:rPr>
      </w:pPr>
      <w:r w:rsidRPr="0064220E">
        <w:rPr>
          <w:bCs/>
        </w:rPr>
        <w:t>UN w</w:t>
      </w:r>
      <w:r w:rsidRPr="0064220E">
        <w:rPr>
          <w:bCs/>
        </w:rPr>
        <w:t>orld tourism organization</w:t>
      </w:r>
      <w:r w:rsidRPr="0064220E">
        <w:rPr>
          <w:bCs/>
        </w:rPr>
        <w:t xml:space="preserve"> (UNWTO)</w:t>
      </w:r>
      <w:r w:rsidRPr="0064220E">
        <w:rPr>
          <w:bCs/>
        </w:rPr>
        <w:t>. (</w:t>
      </w:r>
      <w:r w:rsidRPr="0064220E">
        <w:rPr>
          <w:bCs/>
        </w:rPr>
        <w:t>2020</w:t>
      </w:r>
      <w:r w:rsidRPr="0064220E">
        <w:rPr>
          <w:bCs/>
        </w:rPr>
        <w:t xml:space="preserve">). Retrieved March 01, 2021, from </w:t>
      </w:r>
      <w:hyperlink r:id="rId9" w:history="1">
        <w:r w:rsidR="00115681" w:rsidRPr="0064220E">
          <w:rPr>
            <w:rStyle w:val="Hyperlink"/>
            <w:bCs/>
          </w:rPr>
          <w:t>https://www.unwto.org/world-tourism-day-2020#:~:text=UNWTO%20has%20designated%202020%20as%20the%20Year%20of%20Tourism%20and%20Rural%20Development.&amp;amp;text=It%20can%20also%20advance%20inclusion,heritage%20and%20curbing%20urban%20migration</w:t>
        </w:r>
      </w:hyperlink>
      <w:r w:rsidRPr="0064220E">
        <w:rPr>
          <w:bCs/>
        </w:rPr>
        <w:t>.</w:t>
      </w:r>
      <w:r w:rsidR="00115681" w:rsidRPr="0064220E">
        <w:rPr>
          <w:bCs/>
        </w:rPr>
        <w:t xml:space="preserve"> </w:t>
      </w:r>
    </w:p>
    <w:p w14:paraId="046467FA" w14:textId="44F1541A" w:rsidR="00981809" w:rsidRPr="0064220E" w:rsidRDefault="00981809" w:rsidP="0064220E">
      <w:pPr>
        <w:ind w:left="360" w:hanging="360"/>
        <w:rPr>
          <w:bCs/>
        </w:rPr>
      </w:pPr>
      <w:r w:rsidRPr="0064220E">
        <w:rPr>
          <w:bCs/>
        </w:rPr>
        <w:t>USDA National Agricultural Statistics Service</w:t>
      </w:r>
      <w:r w:rsidRPr="0064220E">
        <w:rPr>
          <w:bCs/>
        </w:rPr>
        <w:t xml:space="preserve"> (USDA NASS). (2012). 2012</w:t>
      </w:r>
      <w:r w:rsidRPr="0064220E">
        <w:rPr>
          <w:bCs/>
        </w:rPr>
        <w:t xml:space="preserve"> Census of</w:t>
      </w:r>
      <w:r w:rsidRPr="0064220E">
        <w:rPr>
          <w:bCs/>
        </w:rPr>
        <w:t xml:space="preserve"> </w:t>
      </w:r>
      <w:r w:rsidRPr="0064220E">
        <w:rPr>
          <w:bCs/>
        </w:rPr>
        <w:t>Agriculture. Complete data available at</w:t>
      </w:r>
      <w:r w:rsidRPr="0064220E">
        <w:rPr>
          <w:bCs/>
        </w:rPr>
        <w:t xml:space="preserve"> </w:t>
      </w:r>
      <w:hyperlink r:id="rId10" w:history="1">
        <w:r w:rsidRPr="0064220E">
          <w:rPr>
            <w:rStyle w:val="Hyperlink"/>
            <w:bCs/>
          </w:rPr>
          <w:t>www.nass.usda.gov/AgCensus</w:t>
        </w:r>
      </w:hyperlink>
      <w:r w:rsidRPr="0064220E">
        <w:rPr>
          <w:bCs/>
        </w:rPr>
        <w:t xml:space="preserve">. </w:t>
      </w:r>
    </w:p>
    <w:p w14:paraId="4ADE15A6" w14:textId="77777777" w:rsidR="001D2109" w:rsidRPr="00084A97" w:rsidRDefault="001D2109" w:rsidP="00981809">
      <w:pPr>
        <w:ind w:left="360" w:hanging="360"/>
        <w:jc w:val="left"/>
        <w:rPr>
          <w:bCs/>
        </w:rPr>
      </w:pPr>
    </w:p>
    <w:p w14:paraId="4C011B80" w14:textId="77777777" w:rsidR="009C1D5D" w:rsidRDefault="009C1D5D" w:rsidP="00D44D1B">
      <w:pPr>
        <w:pStyle w:val="References"/>
      </w:pPr>
    </w:p>
    <w:p w14:paraId="577B38F6" w14:textId="287FA8DF" w:rsidR="00204C9C" w:rsidRDefault="00204C9C" w:rsidP="00D44D1B">
      <w:pPr>
        <w:pStyle w:val="References"/>
      </w:pPr>
    </w:p>
    <w:sectPr w:rsidR="00204C9C" w:rsidSect="008F6E2E">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6984B9" w14:textId="77777777" w:rsidR="00822466" w:rsidRDefault="00822466" w:rsidP="00836179">
      <w:r>
        <w:separator/>
      </w:r>
    </w:p>
  </w:endnote>
  <w:endnote w:type="continuationSeparator" w:id="0">
    <w:p w14:paraId="64A65A2C" w14:textId="77777777" w:rsidR="00822466" w:rsidRDefault="00822466" w:rsidP="008361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2AEF" w:usb1="4000207B" w:usb2="00000000"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A629C6" w14:textId="2FFB34B7" w:rsidR="001B273D" w:rsidRDefault="001B273D" w:rsidP="00C54A9F">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95679BA" w14:textId="77777777" w:rsidR="00822466" w:rsidRDefault="00822466" w:rsidP="00836179">
      <w:r>
        <w:separator/>
      </w:r>
    </w:p>
  </w:footnote>
  <w:footnote w:type="continuationSeparator" w:id="0">
    <w:p w14:paraId="056FDCA7" w14:textId="77777777" w:rsidR="00822466" w:rsidRDefault="00822466" w:rsidP="0083617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402"/>
    <w:multiLevelType w:val="multilevel"/>
    <w:tmpl w:val="00000885"/>
    <w:lvl w:ilvl="0">
      <w:numFmt w:val="bullet"/>
      <w:lvlText w:val=""/>
      <w:lvlJc w:val="left"/>
      <w:pPr>
        <w:ind w:left="1205" w:hanging="555"/>
      </w:pPr>
      <w:rPr>
        <w:rFonts w:ascii="Symbol" w:hAnsi="Symbol" w:cs="Symbol"/>
        <w:b w:val="0"/>
        <w:bCs w:val="0"/>
        <w:w w:val="99"/>
        <w:sz w:val="22"/>
        <w:szCs w:val="22"/>
      </w:rPr>
    </w:lvl>
    <w:lvl w:ilvl="1">
      <w:numFmt w:val="bullet"/>
      <w:lvlText w:val="o"/>
      <w:lvlJc w:val="left"/>
      <w:pPr>
        <w:ind w:left="1640" w:hanging="362"/>
      </w:pPr>
      <w:rPr>
        <w:rFonts w:ascii="Courier New" w:hAnsi="Courier New" w:cs="Courier New"/>
        <w:b w:val="0"/>
        <w:bCs w:val="0"/>
        <w:w w:val="99"/>
        <w:sz w:val="22"/>
        <w:szCs w:val="22"/>
      </w:rPr>
    </w:lvl>
    <w:lvl w:ilvl="2">
      <w:numFmt w:val="bullet"/>
      <w:lvlText w:val="•"/>
      <w:lvlJc w:val="left"/>
      <w:pPr>
        <w:ind w:left="2542" w:hanging="362"/>
      </w:pPr>
    </w:lvl>
    <w:lvl w:ilvl="3">
      <w:numFmt w:val="bullet"/>
      <w:lvlText w:val="•"/>
      <w:lvlJc w:val="left"/>
      <w:pPr>
        <w:ind w:left="3444" w:hanging="362"/>
      </w:pPr>
    </w:lvl>
    <w:lvl w:ilvl="4">
      <w:numFmt w:val="bullet"/>
      <w:lvlText w:val="•"/>
      <w:lvlJc w:val="left"/>
      <w:pPr>
        <w:ind w:left="4346" w:hanging="362"/>
      </w:pPr>
    </w:lvl>
    <w:lvl w:ilvl="5">
      <w:numFmt w:val="bullet"/>
      <w:lvlText w:val="•"/>
      <w:lvlJc w:val="left"/>
      <w:pPr>
        <w:ind w:left="5248" w:hanging="362"/>
      </w:pPr>
    </w:lvl>
    <w:lvl w:ilvl="6">
      <w:numFmt w:val="bullet"/>
      <w:lvlText w:val="•"/>
      <w:lvlJc w:val="left"/>
      <w:pPr>
        <w:ind w:left="6151" w:hanging="362"/>
      </w:pPr>
    </w:lvl>
    <w:lvl w:ilvl="7">
      <w:numFmt w:val="bullet"/>
      <w:lvlText w:val="•"/>
      <w:lvlJc w:val="left"/>
      <w:pPr>
        <w:ind w:left="7053" w:hanging="362"/>
      </w:pPr>
    </w:lvl>
    <w:lvl w:ilvl="8">
      <w:numFmt w:val="bullet"/>
      <w:lvlText w:val="•"/>
      <w:lvlJc w:val="left"/>
      <w:pPr>
        <w:ind w:left="7955" w:hanging="362"/>
      </w:pPr>
    </w:lvl>
  </w:abstractNum>
  <w:abstractNum w:abstractNumId="1" w15:restartNumberingAfterBreak="0">
    <w:nsid w:val="0BE75D44"/>
    <w:multiLevelType w:val="hybridMultilevel"/>
    <w:tmpl w:val="C0CCD1DC"/>
    <w:lvl w:ilvl="0" w:tplc="04090001">
      <w:start w:val="1"/>
      <w:numFmt w:val="bullet"/>
      <w:lvlText w:val=""/>
      <w:lvlJc w:val="left"/>
      <w:pPr>
        <w:ind w:left="1005" w:hanging="555"/>
      </w:pPr>
      <w:rPr>
        <w:rFonts w:ascii="Symbol" w:hAnsi="Symbol" w:hint="default"/>
        <w:color w:val="00000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27DF5927"/>
    <w:multiLevelType w:val="hybridMultilevel"/>
    <w:tmpl w:val="546E76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782793"/>
    <w:multiLevelType w:val="hybridMultilevel"/>
    <w:tmpl w:val="DFBA7C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TA3MjU2MTY1MrU0MDRW0lEKTi0uzszPAykwrgUAYm6AKSwAAAA="/>
  </w:docVars>
  <w:rsids>
    <w:rsidRoot w:val="006C5CFD"/>
    <w:rsid w:val="00001D38"/>
    <w:rsid w:val="000027E5"/>
    <w:rsid w:val="0000782E"/>
    <w:rsid w:val="00007A92"/>
    <w:rsid w:val="000129D8"/>
    <w:rsid w:val="00021878"/>
    <w:rsid w:val="00023DC8"/>
    <w:rsid w:val="00025F10"/>
    <w:rsid w:val="0003028C"/>
    <w:rsid w:val="00030BC7"/>
    <w:rsid w:val="000343AA"/>
    <w:rsid w:val="00036F64"/>
    <w:rsid w:val="00037491"/>
    <w:rsid w:val="000407BF"/>
    <w:rsid w:val="000509C3"/>
    <w:rsid w:val="000523D6"/>
    <w:rsid w:val="00056358"/>
    <w:rsid w:val="00057DD8"/>
    <w:rsid w:val="00060609"/>
    <w:rsid w:val="000627FF"/>
    <w:rsid w:val="00064AB1"/>
    <w:rsid w:val="00065B79"/>
    <w:rsid w:val="00067421"/>
    <w:rsid w:val="00070554"/>
    <w:rsid w:val="0007275B"/>
    <w:rsid w:val="00076AC1"/>
    <w:rsid w:val="000800B6"/>
    <w:rsid w:val="0008248D"/>
    <w:rsid w:val="0008423E"/>
    <w:rsid w:val="00084B12"/>
    <w:rsid w:val="0008527C"/>
    <w:rsid w:val="0008591F"/>
    <w:rsid w:val="00087255"/>
    <w:rsid w:val="0009160E"/>
    <w:rsid w:val="00094F7D"/>
    <w:rsid w:val="00097E81"/>
    <w:rsid w:val="000A24E9"/>
    <w:rsid w:val="000A2E3D"/>
    <w:rsid w:val="000A3D38"/>
    <w:rsid w:val="000B2783"/>
    <w:rsid w:val="000B4B77"/>
    <w:rsid w:val="000B5F85"/>
    <w:rsid w:val="000B63A4"/>
    <w:rsid w:val="000C05CE"/>
    <w:rsid w:val="000C0B0C"/>
    <w:rsid w:val="000C3F8B"/>
    <w:rsid w:val="000C7E0A"/>
    <w:rsid w:val="000D5D13"/>
    <w:rsid w:val="000D7867"/>
    <w:rsid w:val="000E090F"/>
    <w:rsid w:val="000E2CA4"/>
    <w:rsid w:val="000E351A"/>
    <w:rsid w:val="000F1978"/>
    <w:rsid w:val="000F3A76"/>
    <w:rsid w:val="000F4E80"/>
    <w:rsid w:val="000F5D89"/>
    <w:rsid w:val="001002C3"/>
    <w:rsid w:val="00100FD5"/>
    <w:rsid w:val="00101FE0"/>
    <w:rsid w:val="0010408B"/>
    <w:rsid w:val="0010455C"/>
    <w:rsid w:val="001048ED"/>
    <w:rsid w:val="001050D4"/>
    <w:rsid w:val="001052C5"/>
    <w:rsid w:val="001055E1"/>
    <w:rsid w:val="001120D1"/>
    <w:rsid w:val="001141DC"/>
    <w:rsid w:val="00115681"/>
    <w:rsid w:val="00116341"/>
    <w:rsid w:val="00116A54"/>
    <w:rsid w:val="00117370"/>
    <w:rsid w:val="00117580"/>
    <w:rsid w:val="001203BC"/>
    <w:rsid w:val="0012048D"/>
    <w:rsid w:val="001209FA"/>
    <w:rsid w:val="00121176"/>
    <w:rsid w:val="00122320"/>
    <w:rsid w:val="00123196"/>
    <w:rsid w:val="00125230"/>
    <w:rsid w:val="001253DC"/>
    <w:rsid w:val="00125A25"/>
    <w:rsid w:val="00132958"/>
    <w:rsid w:val="001334EF"/>
    <w:rsid w:val="00135EA5"/>
    <w:rsid w:val="001406A9"/>
    <w:rsid w:val="0014273B"/>
    <w:rsid w:val="00144633"/>
    <w:rsid w:val="001533A8"/>
    <w:rsid w:val="001563D4"/>
    <w:rsid w:val="00160924"/>
    <w:rsid w:val="001610BA"/>
    <w:rsid w:val="00162AFF"/>
    <w:rsid w:val="00163B4A"/>
    <w:rsid w:val="00166108"/>
    <w:rsid w:val="00170748"/>
    <w:rsid w:val="00170E6A"/>
    <w:rsid w:val="00171F4E"/>
    <w:rsid w:val="001731E1"/>
    <w:rsid w:val="00173FAE"/>
    <w:rsid w:val="0017446C"/>
    <w:rsid w:val="00180310"/>
    <w:rsid w:val="00182612"/>
    <w:rsid w:val="00182C97"/>
    <w:rsid w:val="00183A06"/>
    <w:rsid w:val="00185BFC"/>
    <w:rsid w:val="001904A4"/>
    <w:rsid w:val="00192455"/>
    <w:rsid w:val="00196995"/>
    <w:rsid w:val="001A13C4"/>
    <w:rsid w:val="001A19D0"/>
    <w:rsid w:val="001B0054"/>
    <w:rsid w:val="001B0208"/>
    <w:rsid w:val="001B11A1"/>
    <w:rsid w:val="001B1A4E"/>
    <w:rsid w:val="001B273D"/>
    <w:rsid w:val="001B545A"/>
    <w:rsid w:val="001B6CA2"/>
    <w:rsid w:val="001B6EC8"/>
    <w:rsid w:val="001B77DF"/>
    <w:rsid w:val="001C658F"/>
    <w:rsid w:val="001C7A40"/>
    <w:rsid w:val="001C7CA7"/>
    <w:rsid w:val="001D2109"/>
    <w:rsid w:val="001D2372"/>
    <w:rsid w:val="001D6257"/>
    <w:rsid w:val="001E0D34"/>
    <w:rsid w:val="001E3571"/>
    <w:rsid w:val="001E4E26"/>
    <w:rsid w:val="001E68C1"/>
    <w:rsid w:val="001F0C42"/>
    <w:rsid w:val="001F2E70"/>
    <w:rsid w:val="001F4814"/>
    <w:rsid w:val="00203E4C"/>
    <w:rsid w:val="00204AA4"/>
    <w:rsid w:val="00204C9C"/>
    <w:rsid w:val="0020559A"/>
    <w:rsid w:val="002101C8"/>
    <w:rsid w:val="00210AFB"/>
    <w:rsid w:val="00212195"/>
    <w:rsid w:val="00212500"/>
    <w:rsid w:val="002126AA"/>
    <w:rsid w:val="00215088"/>
    <w:rsid w:val="002170B9"/>
    <w:rsid w:val="002236FD"/>
    <w:rsid w:val="00225886"/>
    <w:rsid w:val="00230641"/>
    <w:rsid w:val="0023368B"/>
    <w:rsid w:val="002352F8"/>
    <w:rsid w:val="002374E1"/>
    <w:rsid w:val="00246009"/>
    <w:rsid w:val="00246D5F"/>
    <w:rsid w:val="00247AC6"/>
    <w:rsid w:val="00247BFC"/>
    <w:rsid w:val="0025100D"/>
    <w:rsid w:val="00253FB7"/>
    <w:rsid w:val="00254C0D"/>
    <w:rsid w:val="002552BB"/>
    <w:rsid w:val="00255381"/>
    <w:rsid w:val="00255B45"/>
    <w:rsid w:val="0025600F"/>
    <w:rsid w:val="00257213"/>
    <w:rsid w:val="002601D4"/>
    <w:rsid w:val="0026126F"/>
    <w:rsid w:val="00262043"/>
    <w:rsid w:val="002655B3"/>
    <w:rsid w:val="00267619"/>
    <w:rsid w:val="00273783"/>
    <w:rsid w:val="002743EE"/>
    <w:rsid w:val="00281939"/>
    <w:rsid w:val="00281E9A"/>
    <w:rsid w:val="002837DB"/>
    <w:rsid w:val="002855B4"/>
    <w:rsid w:val="00293C4D"/>
    <w:rsid w:val="0029406D"/>
    <w:rsid w:val="00294A53"/>
    <w:rsid w:val="002955FB"/>
    <w:rsid w:val="0029604E"/>
    <w:rsid w:val="00296EBC"/>
    <w:rsid w:val="00297E60"/>
    <w:rsid w:val="002A6678"/>
    <w:rsid w:val="002A7540"/>
    <w:rsid w:val="002B09A0"/>
    <w:rsid w:val="002B1AF8"/>
    <w:rsid w:val="002B5A62"/>
    <w:rsid w:val="002B6318"/>
    <w:rsid w:val="002B6E2E"/>
    <w:rsid w:val="002B74A8"/>
    <w:rsid w:val="002B79BA"/>
    <w:rsid w:val="002B7B23"/>
    <w:rsid w:val="002C06D9"/>
    <w:rsid w:val="002C4C8D"/>
    <w:rsid w:val="002C6A0A"/>
    <w:rsid w:val="002D50B5"/>
    <w:rsid w:val="002D5A5B"/>
    <w:rsid w:val="002D674B"/>
    <w:rsid w:val="002E4165"/>
    <w:rsid w:val="002E6A35"/>
    <w:rsid w:val="002E73A1"/>
    <w:rsid w:val="002E7A20"/>
    <w:rsid w:val="002F0066"/>
    <w:rsid w:val="002F0C77"/>
    <w:rsid w:val="002F224E"/>
    <w:rsid w:val="002F28B0"/>
    <w:rsid w:val="002F54F0"/>
    <w:rsid w:val="00301397"/>
    <w:rsid w:val="00302599"/>
    <w:rsid w:val="003048F2"/>
    <w:rsid w:val="0030651F"/>
    <w:rsid w:val="00306B74"/>
    <w:rsid w:val="00306DC1"/>
    <w:rsid w:val="00306E78"/>
    <w:rsid w:val="00310807"/>
    <w:rsid w:val="0031095F"/>
    <w:rsid w:val="003150BA"/>
    <w:rsid w:val="0031665D"/>
    <w:rsid w:val="003231DF"/>
    <w:rsid w:val="00323DB8"/>
    <w:rsid w:val="00326D8C"/>
    <w:rsid w:val="00326E0F"/>
    <w:rsid w:val="00327DFC"/>
    <w:rsid w:val="003316BB"/>
    <w:rsid w:val="00333F93"/>
    <w:rsid w:val="00336DB8"/>
    <w:rsid w:val="00337F22"/>
    <w:rsid w:val="00341D15"/>
    <w:rsid w:val="00341F27"/>
    <w:rsid w:val="00361E11"/>
    <w:rsid w:val="00367079"/>
    <w:rsid w:val="003707B3"/>
    <w:rsid w:val="003736C6"/>
    <w:rsid w:val="003755BA"/>
    <w:rsid w:val="0037640A"/>
    <w:rsid w:val="00377CD9"/>
    <w:rsid w:val="003802AB"/>
    <w:rsid w:val="00381398"/>
    <w:rsid w:val="00381482"/>
    <w:rsid w:val="00383B5B"/>
    <w:rsid w:val="003853F1"/>
    <w:rsid w:val="00386965"/>
    <w:rsid w:val="003926DD"/>
    <w:rsid w:val="00393754"/>
    <w:rsid w:val="0039448B"/>
    <w:rsid w:val="003958BB"/>
    <w:rsid w:val="003A1F7A"/>
    <w:rsid w:val="003A237F"/>
    <w:rsid w:val="003A2D56"/>
    <w:rsid w:val="003A3770"/>
    <w:rsid w:val="003A3E34"/>
    <w:rsid w:val="003A525F"/>
    <w:rsid w:val="003A5A28"/>
    <w:rsid w:val="003B0193"/>
    <w:rsid w:val="003B0E05"/>
    <w:rsid w:val="003B29FC"/>
    <w:rsid w:val="003B31A8"/>
    <w:rsid w:val="003B31CA"/>
    <w:rsid w:val="003B3387"/>
    <w:rsid w:val="003B58F8"/>
    <w:rsid w:val="003B6064"/>
    <w:rsid w:val="003B61F2"/>
    <w:rsid w:val="003C4DA5"/>
    <w:rsid w:val="003C6363"/>
    <w:rsid w:val="003C6F65"/>
    <w:rsid w:val="003D244F"/>
    <w:rsid w:val="003D2C21"/>
    <w:rsid w:val="003D42F6"/>
    <w:rsid w:val="003D5043"/>
    <w:rsid w:val="003D62F4"/>
    <w:rsid w:val="003E021C"/>
    <w:rsid w:val="003E1E93"/>
    <w:rsid w:val="003E3AB5"/>
    <w:rsid w:val="003F0BA6"/>
    <w:rsid w:val="003F4ADF"/>
    <w:rsid w:val="0040051D"/>
    <w:rsid w:val="0040069E"/>
    <w:rsid w:val="00401D4A"/>
    <w:rsid w:val="0040267C"/>
    <w:rsid w:val="00402D7A"/>
    <w:rsid w:val="00404EF3"/>
    <w:rsid w:val="0040531A"/>
    <w:rsid w:val="00405531"/>
    <w:rsid w:val="004105E8"/>
    <w:rsid w:val="00411646"/>
    <w:rsid w:val="00412ADB"/>
    <w:rsid w:val="00414173"/>
    <w:rsid w:val="004153D3"/>
    <w:rsid w:val="004157D0"/>
    <w:rsid w:val="00415A8E"/>
    <w:rsid w:val="00416325"/>
    <w:rsid w:val="00424542"/>
    <w:rsid w:val="00431EDA"/>
    <w:rsid w:val="00434003"/>
    <w:rsid w:val="00434092"/>
    <w:rsid w:val="00436800"/>
    <w:rsid w:val="004403E2"/>
    <w:rsid w:val="00441AB2"/>
    <w:rsid w:val="00441D9D"/>
    <w:rsid w:val="00442175"/>
    <w:rsid w:val="00455702"/>
    <w:rsid w:val="00455B0B"/>
    <w:rsid w:val="00455BCA"/>
    <w:rsid w:val="0046074C"/>
    <w:rsid w:val="00475253"/>
    <w:rsid w:val="0047634F"/>
    <w:rsid w:val="00483F23"/>
    <w:rsid w:val="00485537"/>
    <w:rsid w:val="00485CDE"/>
    <w:rsid w:val="004923E5"/>
    <w:rsid w:val="004972FB"/>
    <w:rsid w:val="004A6EB0"/>
    <w:rsid w:val="004A70E3"/>
    <w:rsid w:val="004C6209"/>
    <w:rsid w:val="004D1756"/>
    <w:rsid w:val="004D5866"/>
    <w:rsid w:val="004D6CA1"/>
    <w:rsid w:val="004E07F2"/>
    <w:rsid w:val="004E3A34"/>
    <w:rsid w:val="004E4A8A"/>
    <w:rsid w:val="004E54A9"/>
    <w:rsid w:val="004E5A28"/>
    <w:rsid w:val="004E5D82"/>
    <w:rsid w:val="004F1BD7"/>
    <w:rsid w:val="004F1F29"/>
    <w:rsid w:val="00501B3A"/>
    <w:rsid w:val="00502049"/>
    <w:rsid w:val="00503068"/>
    <w:rsid w:val="005030C5"/>
    <w:rsid w:val="00507625"/>
    <w:rsid w:val="00511599"/>
    <w:rsid w:val="0051288B"/>
    <w:rsid w:val="00513C46"/>
    <w:rsid w:val="0051488B"/>
    <w:rsid w:val="00516269"/>
    <w:rsid w:val="00521FC5"/>
    <w:rsid w:val="005220F0"/>
    <w:rsid w:val="005221D7"/>
    <w:rsid w:val="00523177"/>
    <w:rsid w:val="00523D5E"/>
    <w:rsid w:val="00526A3C"/>
    <w:rsid w:val="00527BB1"/>
    <w:rsid w:val="005346D9"/>
    <w:rsid w:val="00536683"/>
    <w:rsid w:val="00540C59"/>
    <w:rsid w:val="00545B82"/>
    <w:rsid w:val="0054704A"/>
    <w:rsid w:val="00547493"/>
    <w:rsid w:val="0055049A"/>
    <w:rsid w:val="0055418D"/>
    <w:rsid w:val="00555365"/>
    <w:rsid w:val="00555D69"/>
    <w:rsid w:val="00560640"/>
    <w:rsid w:val="005619DA"/>
    <w:rsid w:val="00563927"/>
    <w:rsid w:val="00571AE9"/>
    <w:rsid w:val="005734C0"/>
    <w:rsid w:val="00575B8E"/>
    <w:rsid w:val="00577A42"/>
    <w:rsid w:val="00577E40"/>
    <w:rsid w:val="00583A0C"/>
    <w:rsid w:val="005900E8"/>
    <w:rsid w:val="0059558F"/>
    <w:rsid w:val="005A0416"/>
    <w:rsid w:val="005B6AED"/>
    <w:rsid w:val="005C07D8"/>
    <w:rsid w:val="005C07F8"/>
    <w:rsid w:val="005C0FE2"/>
    <w:rsid w:val="005C1FA4"/>
    <w:rsid w:val="005C34C4"/>
    <w:rsid w:val="005C3D98"/>
    <w:rsid w:val="005C4387"/>
    <w:rsid w:val="005C4676"/>
    <w:rsid w:val="005C4AA3"/>
    <w:rsid w:val="005C723A"/>
    <w:rsid w:val="005D0324"/>
    <w:rsid w:val="005D2378"/>
    <w:rsid w:val="005D3176"/>
    <w:rsid w:val="005D659B"/>
    <w:rsid w:val="005D7B20"/>
    <w:rsid w:val="005E2B6D"/>
    <w:rsid w:val="005E3D54"/>
    <w:rsid w:val="005E46F0"/>
    <w:rsid w:val="005F13E0"/>
    <w:rsid w:val="005F1473"/>
    <w:rsid w:val="005F5A62"/>
    <w:rsid w:val="0060583B"/>
    <w:rsid w:val="00607C6A"/>
    <w:rsid w:val="00607EA5"/>
    <w:rsid w:val="006130EF"/>
    <w:rsid w:val="00615182"/>
    <w:rsid w:val="0061551F"/>
    <w:rsid w:val="00615745"/>
    <w:rsid w:val="0062006D"/>
    <w:rsid w:val="00620552"/>
    <w:rsid w:val="006205BB"/>
    <w:rsid w:val="00622047"/>
    <w:rsid w:val="00632B59"/>
    <w:rsid w:val="00634B92"/>
    <w:rsid w:val="00641237"/>
    <w:rsid w:val="0064220E"/>
    <w:rsid w:val="00644732"/>
    <w:rsid w:val="00645B9F"/>
    <w:rsid w:val="00653077"/>
    <w:rsid w:val="006531D1"/>
    <w:rsid w:val="0066173C"/>
    <w:rsid w:val="0066255C"/>
    <w:rsid w:val="00662BCB"/>
    <w:rsid w:val="00663725"/>
    <w:rsid w:val="00666DF1"/>
    <w:rsid w:val="00666E3E"/>
    <w:rsid w:val="00667DC3"/>
    <w:rsid w:val="00670E07"/>
    <w:rsid w:val="0067172A"/>
    <w:rsid w:val="006740C6"/>
    <w:rsid w:val="00677E97"/>
    <w:rsid w:val="00691B9D"/>
    <w:rsid w:val="00697CF0"/>
    <w:rsid w:val="006A0A54"/>
    <w:rsid w:val="006A37D2"/>
    <w:rsid w:val="006A3C20"/>
    <w:rsid w:val="006A3C45"/>
    <w:rsid w:val="006A797C"/>
    <w:rsid w:val="006B0DB4"/>
    <w:rsid w:val="006B37EC"/>
    <w:rsid w:val="006B597C"/>
    <w:rsid w:val="006C5CFD"/>
    <w:rsid w:val="006C646B"/>
    <w:rsid w:val="006C6B64"/>
    <w:rsid w:val="006C7C92"/>
    <w:rsid w:val="006D2EB1"/>
    <w:rsid w:val="006D377B"/>
    <w:rsid w:val="006D4B64"/>
    <w:rsid w:val="006D7AF6"/>
    <w:rsid w:val="006E3465"/>
    <w:rsid w:val="006E37E5"/>
    <w:rsid w:val="006E3BC0"/>
    <w:rsid w:val="006F0847"/>
    <w:rsid w:val="006F5B4E"/>
    <w:rsid w:val="006F75ED"/>
    <w:rsid w:val="00700905"/>
    <w:rsid w:val="007049DA"/>
    <w:rsid w:val="00705BDA"/>
    <w:rsid w:val="007069FF"/>
    <w:rsid w:val="0071305F"/>
    <w:rsid w:val="007173B3"/>
    <w:rsid w:val="00723CCA"/>
    <w:rsid w:val="00726411"/>
    <w:rsid w:val="0073005C"/>
    <w:rsid w:val="007315CA"/>
    <w:rsid w:val="00731ECB"/>
    <w:rsid w:val="0073308C"/>
    <w:rsid w:val="00733672"/>
    <w:rsid w:val="00736F8F"/>
    <w:rsid w:val="0074018B"/>
    <w:rsid w:val="0074482C"/>
    <w:rsid w:val="00746781"/>
    <w:rsid w:val="00746E56"/>
    <w:rsid w:val="007517EC"/>
    <w:rsid w:val="007520F9"/>
    <w:rsid w:val="007632D6"/>
    <w:rsid w:val="00763E3C"/>
    <w:rsid w:val="0076446D"/>
    <w:rsid w:val="00772AE5"/>
    <w:rsid w:val="00773437"/>
    <w:rsid w:val="00774330"/>
    <w:rsid w:val="00775B87"/>
    <w:rsid w:val="00780F35"/>
    <w:rsid w:val="00783FC2"/>
    <w:rsid w:val="007874B3"/>
    <w:rsid w:val="007901AD"/>
    <w:rsid w:val="00791DD4"/>
    <w:rsid w:val="00792356"/>
    <w:rsid w:val="007929B7"/>
    <w:rsid w:val="00792B6E"/>
    <w:rsid w:val="00793212"/>
    <w:rsid w:val="007932A0"/>
    <w:rsid w:val="007932CD"/>
    <w:rsid w:val="00793A70"/>
    <w:rsid w:val="00795EB4"/>
    <w:rsid w:val="00795F28"/>
    <w:rsid w:val="00796307"/>
    <w:rsid w:val="007A3687"/>
    <w:rsid w:val="007B42DA"/>
    <w:rsid w:val="007B7D8E"/>
    <w:rsid w:val="007C4051"/>
    <w:rsid w:val="007C4863"/>
    <w:rsid w:val="007C63D5"/>
    <w:rsid w:val="007C7396"/>
    <w:rsid w:val="007D0C47"/>
    <w:rsid w:val="007D10A8"/>
    <w:rsid w:val="007D1759"/>
    <w:rsid w:val="007D48A1"/>
    <w:rsid w:val="007D5E57"/>
    <w:rsid w:val="007E1B5C"/>
    <w:rsid w:val="007E36FB"/>
    <w:rsid w:val="007E4609"/>
    <w:rsid w:val="007F1987"/>
    <w:rsid w:val="007F2784"/>
    <w:rsid w:val="007F3514"/>
    <w:rsid w:val="007F5A2C"/>
    <w:rsid w:val="007F69CB"/>
    <w:rsid w:val="007F7CB9"/>
    <w:rsid w:val="008009E1"/>
    <w:rsid w:val="0080269A"/>
    <w:rsid w:val="0080421B"/>
    <w:rsid w:val="00804DC4"/>
    <w:rsid w:val="00810B2C"/>
    <w:rsid w:val="008159AF"/>
    <w:rsid w:val="00815AB2"/>
    <w:rsid w:val="0082168B"/>
    <w:rsid w:val="00821C37"/>
    <w:rsid w:val="00822466"/>
    <w:rsid w:val="008228CF"/>
    <w:rsid w:val="008234E9"/>
    <w:rsid w:val="00825A81"/>
    <w:rsid w:val="008305A2"/>
    <w:rsid w:val="008316F0"/>
    <w:rsid w:val="008325DB"/>
    <w:rsid w:val="0083394F"/>
    <w:rsid w:val="00835C62"/>
    <w:rsid w:val="00836179"/>
    <w:rsid w:val="00836917"/>
    <w:rsid w:val="00843A6E"/>
    <w:rsid w:val="00843C89"/>
    <w:rsid w:val="00843E7F"/>
    <w:rsid w:val="00853733"/>
    <w:rsid w:val="00854030"/>
    <w:rsid w:val="00854826"/>
    <w:rsid w:val="00856E08"/>
    <w:rsid w:val="00857425"/>
    <w:rsid w:val="00861142"/>
    <w:rsid w:val="00861EC4"/>
    <w:rsid w:val="00862E32"/>
    <w:rsid w:val="008678D8"/>
    <w:rsid w:val="00867F6B"/>
    <w:rsid w:val="008752D8"/>
    <w:rsid w:val="008766E7"/>
    <w:rsid w:val="00881EFB"/>
    <w:rsid w:val="008858BA"/>
    <w:rsid w:val="008877FA"/>
    <w:rsid w:val="00890EE9"/>
    <w:rsid w:val="0089168F"/>
    <w:rsid w:val="00892C63"/>
    <w:rsid w:val="00894EB8"/>
    <w:rsid w:val="00895E93"/>
    <w:rsid w:val="008A11D9"/>
    <w:rsid w:val="008A121C"/>
    <w:rsid w:val="008A20E1"/>
    <w:rsid w:val="008A4061"/>
    <w:rsid w:val="008A5CC8"/>
    <w:rsid w:val="008A7129"/>
    <w:rsid w:val="008A714A"/>
    <w:rsid w:val="008A7839"/>
    <w:rsid w:val="008B3170"/>
    <w:rsid w:val="008B4491"/>
    <w:rsid w:val="008B5862"/>
    <w:rsid w:val="008C0434"/>
    <w:rsid w:val="008C257D"/>
    <w:rsid w:val="008C2A61"/>
    <w:rsid w:val="008C4944"/>
    <w:rsid w:val="008D47B1"/>
    <w:rsid w:val="008D5945"/>
    <w:rsid w:val="008E44F3"/>
    <w:rsid w:val="008E79C7"/>
    <w:rsid w:val="008F112A"/>
    <w:rsid w:val="008F426F"/>
    <w:rsid w:val="008F43D1"/>
    <w:rsid w:val="008F6019"/>
    <w:rsid w:val="008F6E2E"/>
    <w:rsid w:val="008F6F05"/>
    <w:rsid w:val="008F7AB8"/>
    <w:rsid w:val="008F7F93"/>
    <w:rsid w:val="008F7F9A"/>
    <w:rsid w:val="00900E07"/>
    <w:rsid w:val="0090199F"/>
    <w:rsid w:val="009019A5"/>
    <w:rsid w:val="0090589B"/>
    <w:rsid w:val="00911DD3"/>
    <w:rsid w:val="00911DF4"/>
    <w:rsid w:val="00920A63"/>
    <w:rsid w:val="00924C2C"/>
    <w:rsid w:val="009260EC"/>
    <w:rsid w:val="00927495"/>
    <w:rsid w:val="009356B6"/>
    <w:rsid w:val="00937C7F"/>
    <w:rsid w:val="009411B4"/>
    <w:rsid w:val="009411E9"/>
    <w:rsid w:val="00953B0A"/>
    <w:rsid w:val="00953C86"/>
    <w:rsid w:val="00953CB6"/>
    <w:rsid w:val="00961220"/>
    <w:rsid w:val="009653D2"/>
    <w:rsid w:val="00971A3F"/>
    <w:rsid w:val="00973B92"/>
    <w:rsid w:val="0098053F"/>
    <w:rsid w:val="009812B9"/>
    <w:rsid w:val="00981809"/>
    <w:rsid w:val="00984E63"/>
    <w:rsid w:val="00985A0F"/>
    <w:rsid w:val="00987D06"/>
    <w:rsid w:val="009910FC"/>
    <w:rsid w:val="009930C4"/>
    <w:rsid w:val="009A75E7"/>
    <w:rsid w:val="009B2CF5"/>
    <w:rsid w:val="009B42BD"/>
    <w:rsid w:val="009B666A"/>
    <w:rsid w:val="009B7AFE"/>
    <w:rsid w:val="009C1D5D"/>
    <w:rsid w:val="009C2EA4"/>
    <w:rsid w:val="009C5BD1"/>
    <w:rsid w:val="009D00C4"/>
    <w:rsid w:val="009D0EEE"/>
    <w:rsid w:val="009D1FA8"/>
    <w:rsid w:val="009D3C83"/>
    <w:rsid w:val="009D40DC"/>
    <w:rsid w:val="009D65EF"/>
    <w:rsid w:val="009D750F"/>
    <w:rsid w:val="009E3C78"/>
    <w:rsid w:val="009E6F18"/>
    <w:rsid w:val="009E7259"/>
    <w:rsid w:val="009E73DF"/>
    <w:rsid w:val="009F0A89"/>
    <w:rsid w:val="009F3AE1"/>
    <w:rsid w:val="009F3C87"/>
    <w:rsid w:val="00A00FE0"/>
    <w:rsid w:val="00A03DAB"/>
    <w:rsid w:val="00A046C5"/>
    <w:rsid w:val="00A06F71"/>
    <w:rsid w:val="00A160EF"/>
    <w:rsid w:val="00A1621A"/>
    <w:rsid w:val="00A16C01"/>
    <w:rsid w:val="00A20370"/>
    <w:rsid w:val="00A2291C"/>
    <w:rsid w:val="00A252F6"/>
    <w:rsid w:val="00A25EAA"/>
    <w:rsid w:val="00A3256E"/>
    <w:rsid w:val="00A34586"/>
    <w:rsid w:val="00A350D3"/>
    <w:rsid w:val="00A35AD6"/>
    <w:rsid w:val="00A37855"/>
    <w:rsid w:val="00A463F8"/>
    <w:rsid w:val="00A46B04"/>
    <w:rsid w:val="00A5349C"/>
    <w:rsid w:val="00A54B7E"/>
    <w:rsid w:val="00A57519"/>
    <w:rsid w:val="00A57E66"/>
    <w:rsid w:val="00A604E5"/>
    <w:rsid w:val="00A60727"/>
    <w:rsid w:val="00A60AD3"/>
    <w:rsid w:val="00A646FB"/>
    <w:rsid w:val="00A64EF6"/>
    <w:rsid w:val="00A6604E"/>
    <w:rsid w:val="00A66803"/>
    <w:rsid w:val="00A66ECB"/>
    <w:rsid w:val="00A70EC2"/>
    <w:rsid w:val="00A73089"/>
    <w:rsid w:val="00A750C5"/>
    <w:rsid w:val="00A75939"/>
    <w:rsid w:val="00A77043"/>
    <w:rsid w:val="00A8129A"/>
    <w:rsid w:val="00A815D6"/>
    <w:rsid w:val="00A829FF"/>
    <w:rsid w:val="00A8376F"/>
    <w:rsid w:val="00A87667"/>
    <w:rsid w:val="00A906DA"/>
    <w:rsid w:val="00A91407"/>
    <w:rsid w:val="00A964DD"/>
    <w:rsid w:val="00AA0100"/>
    <w:rsid w:val="00AA1F0E"/>
    <w:rsid w:val="00AA2ADB"/>
    <w:rsid w:val="00AA7EAD"/>
    <w:rsid w:val="00AB0DE9"/>
    <w:rsid w:val="00AB2587"/>
    <w:rsid w:val="00AB2A1D"/>
    <w:rsid w:val="00AB2C97"/>
    <w:rsid w:val="00AB49DD"/>
    <w:rsid w:val="00AB660E"/>
    <w:rsid w:val="00AB6DE1"/>
    <w:rsid w:val="00AC2190"/>
    <w:rsid w:val="00AC35A2"/>
    <w:rsid w:val="00AD1592"/>
    <w:rsid w:val="00AD1B29"/>
    <w:rsid w:val="00AD42AF"/>
    <w:rsid w:val="00AD5587"/>
    <w:rsid w:val="00AD5C67"/>
    <w:rsid w:val="00AD6AA0"/>
    <w:rsid w:val="00AE07F8"/>
    <w:rsid w:val="00AE2AD8"/>
    <w:rsid w:val="00AF4632"/>
    <w:rsid w:val="00AF49F1"/>
    <w:rsid w:val="00AF5532"/>
    <w:rsid w:val="00B03582"/>
    <w:rsid w:val="00B03D28"/>
    <w:rsid w:val="00B0743E"/>
    <w:rsid w:val="00B07F32"/>
    <w:rsid w:val="00B11388"/>
    <w:rsid w:val="00B14F48"/>
    <w:rsid w:val="00B1515A"/>
    <w:rsid w:val="00B23716"/>
    <w:rsid w:val="00B23AC9"/>
    <w:rsid w:val="00B320C1"/>
    <w:rsid w:val="00B338DF"/>
    <w:rsid w:val="00B35C37"/>
    <w:rsid w:val="00B4020D"/>
    <w:rsid w:val="00B4058E"/>
    <w:rsid w:val="00B415F1"/>
    <w:rsid w:val="00B446C6"/>
    <w:rsid w:val="00B523D0"/>
    <w:rsid w:val="00B5568B"/>
    <w:rsid w:val="00B55F49"/>
    <w:rsid w:val="00B56AC8"/>
    <w:rsid w:val="00B5799E"/>
    <w:rsid w:val="00B62AA5"/>
    <w:rsid w:val="00B64972"/>
    <w:rsid w:val="00B654CE"/>
    <w:rsid w:val="00B66449"/>
    <w:rsid w:val="00B67465"/>
    <w:rsid w:val="00B745F9"/>
    <w:rsid w:val="00B74DC0"/>
    <w:rsid w:val="00B8340D"/>
    <w:rsid w:val="00B84136"/>
    <w:rsid w:val="00B87783"/>
    <w:rsid w:val="00B905F6"/>
    <w:rsid w:val="00B90621"/>
    <w:rsid w:val="00B94CE5"/>
    <w:rsid w:val="00B957E1"/>
    <w:rsid w:val="00BA19BE"/>
    <w:rsid w:val="00BA2BA2"/>
    <w:rsid w:val="00BA575D"/>
    <w:rsid w:val="00BA70DC"/>
    <w:rsid w:val="00BB080A"/>
    <w:rsid w:val="00BB0AC0"/>
    <w:rsid w:val="00BB1A14"/>
    <w:rsid w:val="00BB67B4"/>
    <w:rsid w:val="00BB7CBD"/>
    <w:rsid w:val="00BD050B"/>
    <w:rsid w:val="00BD335B"/>
    <w:rsid w:val="00BD4B9B"/>
    <w:rsid w:val="00BD74B0"/>
    <w:rsid w:val="00BE1BBD"/>
    <w:rsid w:val="00BE65B1"/>
    <w:rsid w:val="00BF168E"/>
    <w:rsid w:val="00BF17CF"/>
    <w:rsid w:val="00BF2265"/>
    <w:rsid w:val="00BF423D"/>
    <w:rsid w:val="00C01892"/>
    <w:rsid w:val="00C0359A"/>
    <w:rsid w:val="00C038C5"/>
    <w:rsid w:val="00C0629A"/>
    <w:rsid w:val="00C119A5"/>
    <w:rsid w:val="00C121D8"/>
    <w:rsid w:val="00C129FF"/>
    <w:rsid w:val="00C14649"/>
    <w:rsid w:val="00C15147"/>
    <w:rsid w:val="00C20089"/>
    <w:rsid w:val="00C2084C"/>
    <w:rsid w:val="00C20A4F"/>
    <w:rsid w:val="00C20E6E"/>
    <w:rsid w:val="00C225DA"/>
    <w:rsid w:val="00C22BF0"/>
    <w:rsid w:val="00C26284"/>
    <w:rsid w:val="00C30D9E"/>
    <w:rsid w:val="00C3198B"/>
    <w:rsid w:val="00C31BAB"/>
    <w:rsid w:val="00C34E57"/>
    <w:rsid w:val="00C34E91"/>
    <w:rsid w:val="00C36BBD"/>
    <w:rsid w:val="00C37884"/>
    <w:rsid w:val="00C40565"/>
    <w:rsid w:val="00C40B12"/>
    <w:rsid w:val="00C433D2"/>
    <w:rsid w:val="00C4557E"/>
    <w:rsid w:val="00C458E2"/>
    <w:rsid w:val="00C45EDC"/>
    <w:rsid w:val="00C47DA2"/>
    <w:rsid w:val="00C54A9F"/>
    <w:rsid w:val="00C54C14"/>
    <w:rsid w:val="00C5678F"/>
    <w:rsid w:val="00C56801"/>
    <w:rsid w:val="00C67F04"/>
    <w:rsid w:val="00C727D5"/>
    <w:rsid w:val="00C75D7D"/>
    <w:rsid w:val="00C8115D"/>
    <w:rsid w:val="00C828DF"/>
    <w:rsid w:val="00C92051"/>
    <w:rsid w:val="00C94855"/>
    <w:rsid w:val="00C952CD"/>
    <w:rsid w:val="00C96F23"/>
    <w:rsid w:val="00CA1098"/>
    <w:rsid w:val="00CA207D"/>
    <w:rsid w:val="00CA3657"/>
    <w:rsid w:val="00CA6FCC"/>
    <w:rsid w:val="00CC1AE5"/>
    <w:rsid w:val="00CC200D"/>
    <w:rsid w:val="00CD410D"/>
    <w:rsid w:val="00CD5388"/>
    <w:rsid w:val="00CE1C34"/>
    <w:rsid w:val="00CE32A5"/>
    <w:rsid w:val="00CE5CC1"/>
    <w:rsid w:val="00CF3310"/>
    <w:rsid w:val="00CF3938"/>
    <w:rsid w:val="00CF76CC"/>
    <w:rsid w:val="00CF7EB3"/>
    <w:rsid w:val="00D01155"/>
    <w:rsid w:val="00D02A64"/>
    <w:rsid w:val="00D043E3"/>
    <w:rsid w:val="00D071B7"/>
    <w:rsid w:val="00D10ABD"/>
    <w:rsid w:val="00D11BCF"/>
    <w:rsid w:val="00D1507F"/>
    <w:rsid w:val="00D20F29"/>
    <w:rsid w:val="00D21C99"/>
    <w:rsid w:val="00D30CD4"/>
    <w:rsid w:val="00D400F9"/>
    <w:rsid w:val="00D415FB"/>
    <w:rsid w:val="00D42D6B"/>
    <w:rsid w:val="00D431B4"/>
    <w:rsid w:val="00D44D1B"/>
    <w:rsid w:val="00D51D32"/>
    <w:rsid w:val="00D52A6D"/>
    <w:rsid w:val="00D56896"/>
    <w:rsid w:val="00D574C2"/>
    <w:rsid w:val="00D67C38"/>
    <w:rsid w:val="00D7040F"/>
    <w:rsid w:val="00D723CB"/>
    <w:rsid w:val="00D81F73"/>
    <w:rsid w:val="00D83B0E"/>
    <w:rsid w:val="00D908BA"/>
    <w:rsid w:val="00D926DF"/>
    <w:rsid w:val="00D93405"/>
    <w:rsid w:val="00D944D6"/>
    <w:rsid w:val="00D9614B"/>
    <w:rsid w:val="00DA0717"/>
    <w:rsid w:val="00DA1B7B"/>
    <w:rsid w:val="00DA2A32"/>
    <w:rsid w:val="00DA2BB7"/>
    <w:rsid w:val="00DA442A"/>
    <w:rsid w:val="00DB0860"/>
    <w:rsid w:val="00DB20BC"/>
    <w:rsid w:val="00DB6870"/>
    <w:rsid w:val="00DC282A"/>
    <w:rsid w:val="00DC2F5E"/>
    <w:rsid w:val="00DC614D"/>
    <w:rsid w:val="00DC718F"/>
    <w:rsid w:val="00DD1398"/>
    <w:rsid w:val="00DD2BDB"/>
    <w:rsid w:val="00DD322A"/>
    <w:rsid w:val="00DD3BD3"/>
    <w:rsid w:val="00DD3FA2"/>
    <w:rsid w:val="00DD4FD2"/>
    <w:rsid w:val="00DE09B3"/>
    <w:rsid w:val="00DE4CD1"/>
    <w:rsid w:val="00DE5F9E"/>
    <w:rsid w:val="00DF149B"/>
    <w:rsid w:val="00DF3C7F"/>
    <w:rsid w:val="00DF565E"/>
    <w:rsid w:val="00E00CCD"/>
    <w:rsid w:val="00E010AD"/>
    <w:rsid w:val="00E0155A"/>
    <w:rsid w:val="00E03CB2"/>
    <w:rsid w:val="00E04431"/>
    <w:rsid w:val="00E04CA0"/>
    <w:rsid w:val="00E05ABA"/>
    <w:rsid w:val="00E07277"/>
    <w:rsid w:val="00E07566"/>
    <w:rsid w:val="00E13FD9"/>
    <w:rsid w:val="00E15185"/>
    <w:rsid w:val="00E24739"/>
    <w:rsid w:val="00E24998"/>
    <w:rsid w:val="00E2629A"/>
    <w:rsid w:val="00E266FD"/>
    <w:rsid w:val="00E32886"/>
    <w:rsid w:val="00E33C81"/>
    <w:rsid w:val="00E34317"/>
    <w:rsid w:val="00E36491"/>
    <w:rsid w:val="00E36B1D"/>
    <w:rsid w:val="00E41CF8"/>
    <w:rsid w:val="00E42067"/>
    <w:rsid w:val="00E43EC8"/>
    <w:rsid w:val="00E46FBA"/>
    <w:rsid w:val="00E512BE"/>
    <w:rsid w:val="00E520FE"/>
    <w:rsid w:val="00E53F35"/>
    <w:rsid w:val="00E54BFE"/>
    <w:rsid w:val="00E55535"/>
    <w:rsid w:val="00E55B7D"/>
    <w:rsid w:val="00E56649"/>
    <w:rsid w:val="00E633DB"/>
    <w:rsid w:val="00E65540"/>
    <w:rsid w:val="00E6592A"/>
    <w:rsid w:val="00E70D5D"/>
    <w:rsid w:val="00E748AE"/>
    <w:rsid w:val="00E77D5D"/>
    <w:rsid w:val="00E8056C"/>
    <w:rsid w:val="00E80FB7"/>
    <w:rsid w:val="00E83E1B"/>
    <w:rsid w:val="00E867F3"/>
    <w:rsid w:val="00E86FDC"/>
    <w:rsid w:val="00E935D9"/>
    <w:rsid w:val="00E968F9"/>
    <w:rsid w:val="00E9724A"/>
    <w:rsid w:val="00EA2246"/>
    <w:rsid w:val="00EA376E"/>
    <w:rsid w:val="00EA37E3"/>
    <w:rsid w:val="00EB2A8D"/>
    <w:rsid w:val="00EB3D7B"/>
    <w:rsid w:val="00EB5B9C"/>
    <w:rsid w:val="00EC6529"/>
    <w:rsid w:val="00EC69E3"/>
    <w:rsid w:val="00EC7E3B"/>
    <w:rsid w:val="00ED29DF"/>
    <w:rsid w:val="00ED5E0F"/>
    <w:rsid w:val="00EE05B4"/>
    <w:rsid w:val="00EE34B6"/>
    <w:rsid w:val="00EE49A3"/>
    <w:rsid w:val="00EE5B91"/>
    <w:rsid w:val="00EE616B"/>
    <w:rsid w:val="00EE6979"/>
    <w:rsid w:val="00EF0C45"/>
    <w:rsid w:val="00EF1B0E"/>
    <w:rsid w:val="00EF2305"/>
    <w:rsid w:val="00EF25AB"/>
    <w:rsid w:val="00EF2C40"/>
    <w:rsid w:val="00EF4B8D"/>
    <w:rsid w:val="00EF4F6F"/>
    <w:rsid w:val="00EF5C33"/>
    <w:rsid w:val="00EF7FC4"/>
    <w:rsid w:val="00F06DCC"/>
    <w:rsid w:val="00F07346"/>
    <w:rsid w:val="00F07555"/>
    <w:rsid w:val="00F1642F"/>
    <w:rsid w:val="00F164AC"/>
    <w:rsid w:val="00F210C7"/>
    <w:rsid w:val="00F2241A"/>
    <w:rsid w:val="00F25A68"/>
    <w:rsid w:val="00F26020"/>
    <w:rsid w:val="00F27A5B"/>
    <w:rsid w:val="00F3501F"/>
    <w:rsid w:val="00F40951"/>
    <w:rsid w:val="00F41821"/>
    <w:rsid w:val="00F41E98"/>
    <w:rsid w:val="00F4719B"/>
    <w:rsid w:val="00F47A73"/>
    <w:rsid w:val="00F504F5"/>
    <w:rsid w:val="00F50C5D"/>
    <w:rsid w:val="00F5539A"/>
    <w:rsid w:val="00F567E5"/>
    <w:rsid w:val="00F60970"/>
    <w:rsid w:val="00F621A9"/>
    <w:rsid w:val="00F62ED4"/>
    <w:rsid w:val="00F64462"/>
    <w:rsid w:val="00F65EB7"/>
    <w:rsid w:val="00F6610C"/>
    <w:rsid w:val="00F67219"/>
    <w:rsid w:val="00F679FD"/>
    <w:rsid w:val="00F7156A"/>
    <w:rsid w:val="00F73515"/>
    <w:rsid w:val="00F73F82"/>
    <w:rsid w:val="00F775DD"/>
    <w:rsid w:val="00F77617"/>
    <w:rsid w:val="00F80910"/>
    <w:rsid w:val="00F824B3"/>
    <w:rsid w:val="00F829E1"/>
    <w:rsid w:val="00F82D37"/>
    <w:rsid w:val="00F83172"/>
    <w:rsid w:val="00F834AC"/>
    <w:rsid w:val="00F83B41"/>
    <w:rsid w:val="00F8695B"/>
    <w:rsid w:val="00F90B7F"/>
    <w:rsid w:val="00F93D61"/>
    <w:rsid w:val="00F966DC"/>
    <w:rsid w:val="00FA09D9"/>
    <w:rsid w:val="00FA3B6D"/>
    <w:rsid w:val="00FA55C3"/>
    <w:rsid w:val="00FA5B7B"/>
    <w:rsid w:val="00FB1486"/>
    <w:rsid w:val="00FB395C"/>
    <w:rsid w:val="00FB3D21"/>
    <w:rsid w:val="00FB40C6"/>
    <w:rsid w:val="00FB55AB"/>
    <w:rsid w:val="00FB6231"/>
    <w:rsid w:val="00FC4D56"/>
    <w:rsid w:val="00FC53C3"/>
    <w:rsid w:val="00FD39A1"/>
    <w:rsid w:val="00FE0C0E"/>
    <w:rsid w:val="00FE1E4E"/>
    <w:rsid w:val="00FE3C54"/>
    <w:rsid w:val="00FE3DB8"/>
    <w:rsid w:val="00FE3FF7"/>
    <w:rsid w:val="00FE5ADC"/>
    <w:rsid w:val="00FE792E"/>
    <w:rsid w:val="00FF03C5"/>
    <w:rsid w:val="00FF09F9"/>
    <w:rsid w:val="00FF14F8"/>
    <w:rsid w:val="00FF16CF"/>
    <w:rsid w:val="00FF482D"/>
    <w:rsid w:val="00FF4E49"/>
    <w:rsid w:val="00FF5BE1"/>
    <w:rsid w:val="00FF705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B01DE"/>
  <w15:docId w15:val="{58A55E9E-68D1-4EFA-AABE-B92B68CD9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heme="minorEastAsia"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6179"/>
    <w:pPr>
      <w:spacing w:before="120" w:after="120"/>
      <w:jc w:val="both"/>
    </w:pPr>
    <w:rPr>
      <w:rFonts w:ascii="Times New Roman" w:hAnsi="Times New Roman"/>
      <w:sz w:val="24"/>
      <w:szCs w:val="24"/>
    </w:rPr>
  </w:style>
  <w:style w:type="paragraph" w:styleId="Heading1">
    <w:name w:val="heading 1"/>
    <w:basedOn w:val="Normal"/>
    <w:next w:val="Normal"/>
    <w:link w:val="Heading1Char"/>
    <w:uiPriority w:val="9"/>
    <w:qFormat/>
    <w:rsid w:val="00540C59"/>
    <w:pPr>
      <w:spacing w:before="360"/>
      <w:outlineLvl w:val="0"/>
    </w:pPr>
    <w:rPr>
      <w:b/>
    </w:rPr>
  </w:style>
  <w:style w:type="paragraph" w:styleId="Heading2">
    <w:name w:val="heading 2"/>
    <w:basedOn w:val="Normal"/>
    <w:next w:val="Normal"/>
    <w:link w:val="Heading2Char"/>
    <w:uiPriority w:val="9"/>
    <w:unhideWhenUsed/>
    <w:qFormat/>
    <w:rsid w:val="00C37884"/>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unhideWhenUsed/>
    <w:qFormat/>
    <w:rsid w:val="00C37884"/>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LightShading1">
    <w:name w:val="Light Shading1"/>
    <w:basedOn w:val="TableNormal"/>
    <w:uiPriority w:val="60"/>
    <w:rsid w:val="00C37884"/>
    <w:rPr>
      <w:rFonts w:eastAsia="Calibri"/>
      <w:color w:val="000000"/>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NoList1">
    <w:name w:val="No List1"/>
    <w:next w:val="NoList"/>
    <w:uiPriority w:val="99"/>
    <w:semiHidden/>
    <w:unhideWhenUsed/>
    <w:rsid w:val="00C37884"/>
  </w:style>
  <w:style w:type="table" w:customStyle="1" w:styleId="TableGrid1">
    <w:name w:val="Table Grid1"/>
    <w:basedOn w:val="TableNormal"/>
    <w:next w:val="TableGrid"/>
    <w:uiPriority w:val="59"/>
    <w:rsid w:val="00C37884"/>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C37884"/>
    <w:rPr>
      <w:rFonts w:eastAsia="Calibr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TAReport">
    <w:name w:val="OTA Report"/>
    <w:basedOn w:val="Normal"/>
    <w:qFormat/>
    <w:rsid w:val="00C37884"/>
    <w:pPr>
      <w:spacing w:line="360" w:lineRule="auto"/>
      <w:ind w:left="720" w:hanging="720"/>
    </w:pPr>
  </w:style>
  <w:style w:type="character" w:customStyle="1" w:styleId="Heading1Char">
    <w:name w:val="Heading 1 Char"/>
    <w:link w:val="Heading1"/>
    <w:uiPriority w:val="9"/>
    <w:rsid w:val="00540C59"/>
    <w:rPr>
      <w:rFonts w:ascii="Times New Roman" w:hAnsi="Times New Roman"/>
      <w:b/>
      <w:sz w:val="24"/>
      <w:szCs w:val="24"/>
    </w:rPr>
  </w:style>
  <w:style w:type="character" w:customStyle="1" w:styleId="Heading2Char">
    <w:name w:val="Heading 2 Char"/>
    <w:basedOn w:val="DefaultParagraphFont"/>
    <w:link w:val="Heading2"/>
    <w:uiPriority w:val="9"/>
    <w:rsid w:val="00C37884"/>
    <w:rPr>
      <w:rFonts w:asciiTheme="majorHAnsi" w:eastAsiaTheme="majorEastAsia" w:hAnsiTheme="majorHAnsi"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C37884"/>
    <w:rPr>
      <w:rFonts w:asciiTheme="majorHAnsi" w:eastAsiaTheme="majorEastAsia" w:hAnsiTheme="majorHAnsi" w:cstheme="majorBidi"/>
      <w:b/>
      <w:bCs/>
      <w:color w:val="5B9BD5" w:themeColor="accent1"/>
      <w:lang w:eastAsia="en-US"/>
    </w:rPr>
  </w:style>
  <w:style w:type="paragraph" w:styleId="TOC1">
    <w:name w:val="toc 1"/>
    <w:basedOn w:val="Normal"/>
    <w:next w:val="Normal"/>
    <w:autoRedefine/>
    <w:uiPriority w:val="39"/>
    <w:unhideWhenUsed/>
    <w:rsid w:val="00C37884"/>
    <w:pPr>
      <w:spacing w:after="100"/>
    </w:pPr>
  </w:style>
  <w:style w:type="paragraph" w:styleId="TOC2">
    <w:name w:val="toc 2"/>
    <w:basedOn w:val="Normal"/>
    <w:next w:val="Normal"/>
    <w:autoRedefine/>
    <w:uiPriority w:val="39"/>
    <w:unhideWhenUsed/>
    <w:rsid w:val="00C37884"/>
    <w:pPr>
      <w:spacing w:after="100"/>
      <w:ind w:left="220"/>
    </w:pPr>
  </w:style>
  <w:style w:type="paragraph" w:styleId="TOC3">
    <w:name w:val="toc 3"/>
    <w:basedOn w:val="Normal"/>
    <w:next w:val="Normal"/>
    <w:autoRedefine/>
    <w:uiPriority w:val="39"/>
    <w:unhideWhenUsed/>
    <w:rsid w:val="00C37884"/>
    <w:pPr>
      <w:spacing w:after="100"/>
      <w:ind w:left="440"/>
    </w:pPr>
  </w:style>
  <w:style w:type="paragraph" w:styleId="CommentText">
    <w:name w:val="annotation text"/>
    <w:basedOn w:val="Normal"/>
    <w:link w:val="CommentTextChar"/>
    <w:uiPriority w:val="99"/>
    <w:semiHidden/>
    <w:unhideWhenUsed/>
    <w:rsid w:val="00C37884"/>
    <w:rPr>
      <w:rFonts w:eastAsiaTheme="minorHAnsi"/>
    </w:rPr>
  </w:style>
  <w:style w:type="character" w:customStyle="1" w:styleId="CommentTextChar">
    <w:name w:val="Comment Text Char"/>
    <w:basedOn w:val="DefaultParagraphFont"/>
    <w:link w:val="CommentText"/>
    <w:uiPriority w:val="99"/>
    <w:semiHidden/>
    <w:rsid w:val="00C37884"/>
    <w:rPr>
      <w:rFonts w:ascii="Times New Roman" w:eastAsiaTheme="minorHAnsi" w:hAnsi="Times New Roman" w:cs="Times New Roman"/>
      <w:sz w:val="20"/>
      <w:szCs w:val="20"/>
      <w:lang w:eastAsia="en-US"/>
    </w:rPr>
  </w:style>
  <w:style w:type="paragraph" w:styleId="Header">
    <w:name w:val="header"/>
    <w:basedOn w:val="Normal"/>
    <w:link w:val="HeaderChar"/>
    <w:uiPriority w:val="99"/>
    <w:unhideWhenUsed/>
    <w:rsid w:val="00C37884"/>
    <w:pPr>
      <w:tabs>
        <w:tab w:val="center" w:pos="4680"/>
        <w:tab w:val="right" w:pos="9360"/>
      </w:tabs>
    </w:pPr>
  </w:style>
  <w:style w:type="character" w:customStyle="1" w:styleId="HeaderChar">
    <w:name w:val="Header Char"/>
    <w:link w:val="Header"/>
    <w:uiPriority w:val="99"/>
    <w:rsid w:val="00C37884"/>
    <w:rPr>
      <w:rFonts w:ascii="Garamond" w:eastAsia="Calibri" w:hAnsi="Garamond" w:cs="Times New Roman"/>
      <w:lang w:eastAsia="en-US"/>
    </w:rPr>
  </w:style>
  <w:style w:type="paragraph" w:styleId="Footer">
    <w:name w:val="footer"/>
    <w:basedOn w:val="Normal"/>
    <w:link w:val="FooterChar"/>
    <w:uiPriority w:val="99"/>
    <w:unhideWhenUsed/>
    <w:rsid w:val="00C37884"/>
    <w:pPr>
      <w:tabs>
        <w:tab w:val="center" w:pos="4680"/>
        <w:tab w:val="right" w:pos="9360"/>
      </w:tabs>
    </w:pPr>
  </w:style>
  <w:style w:type="character" w:customStyle="1" w:styleId="FooterChar">
    <w:name w:val="Footer Char"/>
    <w:link w:val="Footer"/>
    <w:uiPriority w:val="99"/>
    <w:rsid w:val="00C37884"/>
    <w:rPr>
      <w:rFonts w:ascii="Garamond" w:eastAsia="Calibri" w:hAnsi="Garamond" w:cs="Times New Roman"/>
      <w:lang w:eastAsia="en-US"/>
    </w:rPr>
  </w:style>
  <w:style w:type="paragraph" w:styleId="Caption">
    <w:name w:val="caption"/>
    <w:basedOn w:val="Normal"/>
    <w:next w:val="Normal"/>
    <w:uiPriority w:val="35"/>
    <w:unhideWhenUsed/>
    <w:qFormat/>
    <w:rsid w:val="00C37884"/>
    <w:rPr>
      <w:b/>
      <w:bCs/>
      <w:color w:val="4F81BD"/>
      <w:sz w:val="18"/>
      <w:szCs w:val="18"/>
    </w:rPr>
  </w:style>
  <w:style w:type="character" w:styleId="CommentReference">
    <w:name w:val="annotation reference"/>
    <w:basedOn w:val="DefaultParagraphFont"/>
    <w:uiPriority w:val="99"/>
    <w:semiHidden/>
    <w:unhideWhenUsed/>
    <w:rsid w:val="00C37884"/>
    <w:rPr>
      <w:sz w:val="16"/>
      <w:szCs w:val="16"/>
    </w:rPr>
  </w:style>
  <w:style w:type="paragraph" w:styleId="Date">
    <w:name w:val="Date"/>
    <w:basedOn w:val="Normal"/>
    <w:next w:val="Normal"/>
    <w:link w:val="DateChar"/>
    <w:uiPriority w:val="99"/>
    <w:semiHidden/>
    <w:unhideWhenUsed/>
    <w:rsid w:val="00C37884"/>
    <w:rPr>
      <w:rFonts w:eastAsiaTheme="minorHAnsi"/>
    </w:rPr>
  </w:style>
  <w:style w:type="character" w:customStyle="1" w:styleId="DateChar">
    <w:name w:val="Date Char"/>
    <w:basedOn w:val="DefaultParagraphFont"/>
    <w:link w:val="Date"/>
    <w:uiPriority w:val="99"/>
    <w:semiHidden/>
    <w:rsid w:val="00C37884"/>
    <w:rPr>
      <w:rFonts w:ascii="Times New Roman" w:eastAsiaTheme="minorHAnsi" w:hAnsi="Times New Roman" w:cs="Times New Roman"/>
      <w:sz w:val="24"/>
      <w:szCs w:val="24"/>
      <w:lang w:eastAsia="en-US"/>
    </w:rPr>
  </w:style>
  <w:style w:type="character" w:styleId="Hyperlink">
    <w:name w:val="Hyperlink"/>
    <w:unhideWhenUsed/>
    <w:rsid w:val="00C37884"/>
    <w:rPr>
      <w:color w:val="0000FF"/>
      <w:u w:val="single"/>
    </w:rPr>
  </w:style>
  <w:style w:type="paragraph" w:styleId="BalloonText">
    <w:name w:val="Balloon Text"/>
    <w:basedOn w:val="Normal"/>
    <w:link w:val="BalloonTextChar"/>
    <w:uiPriority w:val="99"/>
    <w:semiHidden/>
    <w:unhideWhenUsed/>
    <w:rsid w:val="00C37884"/>
    <w:rPr>
      <w:rFonts w:ascii="Tahoma" w:hAnsi="Tahoma" w:cs="Tahoma"/>
      <w:sz w:val="16"/>
      <w:szCs w:val="16"/>
    </w:rPr>
  </w:style>
  <w:style w:type="character" w:customStyle="1" w:styleId="BalloonTextChar">
    <w:name w:val="Balloon Text Char"/>
    <w:link w:val="BalloonText"/>
    <w:uiPriority w:val="99"/>
    <w:semiHidden/>
    <w:rsid w:val="00C37884"/>
    <w:rPr>
      <w:rFonts w:ascii="Tahoma" w:eastAsia="Calibri" w:hAnsi="Tahoma" w:cs="Tahoma"/>
      <w:sz w:val="16"/>
      <w:szCs w:val="16"/>
      <w:lang w:eastAsia="en-US"/>
    </w:rPr>
  </w:style>
  <w:style w:type="paragraph" w:styleId="NoSpacing">
    <w:name w:val="No Spacing"/>
    <w:link w:val="NoSpacingChar"/>
    <w:uiPriority w:val="1"/>
    <w:qFormat/>
    <w:rsid w:val="00C37884"/>
    <w:rPr>
      <w:rFonts w:eastAsia="SimSun"/>
      <w:lang w:eastAsia="ja-JP"/>
    </w:rPr>
  </w:style>
  <w:style w:type="character" w:customStyle="1" w:styleId="NoSpacingChar">
    <w:name w:val="No Spacing Char"/>
    <w:link w:val="NoSpacing"/>
    <w:uiPriority w:val="1"/>
    <w:rsid w:val="00C37884"/>
    <w:rPr>
      <w:rFonts w:ascii="Calibri" w:eastAsia="SimSun" w:hAnsi="Calibri" w:cs="Times New Roman"/>
      <w:lang w:eastAsia="ja-JP"/>
    </w:rPr>
  </w:style>
  <w:style w:type="table" w:styleId="LightShading">
    <w:name w:val="Light Shading"/>
    <w:basedOn w:val="TableNormal"/>
    <w:uiPriority w:val="60"/>
    <w:rsid w:val="00C37884"/>
    <w:rPr>
      <w:rFonts w:eastAsia="Calibri"/>
      <w:color w:val="000000" w:themeColor="text1" w:themeShade="BF"/>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1"/>
    <w:qFormat/>
    <w:rsid w:val="00C37884"/>
    <w:pPr>
      <w:ind w:left="720"/>
      <w:contextualSpacing/>
    </w:pPr>
    <w:rPr>
      <w:rFonts w:asciiTheme="minorHAnsi" w:eastAsiaTheme="minorHAnsi" w:hAnsiTheme="minorHAnsi"/>
    </w:rPr>
  </w:style>
  <w:style w:type="character" w:styleId="IntenseEmphasis">
    <w:name w:val="Intense Emphasis"/>
    <w:uiPriority w:val="21"/>
    <w:qFormat/>
    <w:rsid w:val="00C37884"/>
    <w:rPr>
      <w:b/>
      <w:bCs/>
      <w:i/>
      <w:iCs/>
      <w:color w:val="4F81BD"/>
    </w:rPr>
  </w:style>
  <w:style w:type="paragraph" w:styleId="TOCHeading">
    <w:name w:val="TOC Heading"/>
    <w:basedOn w:val="Heading1"/>
    <w:next w:val="Normal"/>
    <w:uiPriority w:val="39"/>
    <w:semiHidden/>
    <w:unhideWhenUsed/>
    <w:qFormat/>
    <w:rsid w:val="00C37884"/>
    <w:pPr>
      <w:outlineLvl w:val="9"/>
    </w:pPr>
    <w:rPr>
      <w:lang w:eastAsia="ja-JP"/>
    </w:rPr>
  </w:style>
  <w:style w:type="paragraph" w:styleId="CommentSubject">
    <w:name w:val="annotation subject"/>
    <w:basedOn w:val="CommentText"/>
    <w:next w:val="CommentText"/>
    <w:link w:val="CommentSubjectChar"/>
    <w:uiPriority w:val="99"/>
    <w:semiHidden/>
    <w:unhideWhenUsed/>
    <w:rsid w:val="007F69CB"/>
    <w:rPr>
      <w:rFonts w:ascii="Calibri" w:eastAsiaTheme="minorEastAsia" w:hAnsi="Calibri"/>
      <w:b/>
      <w:bCs/>
    </w:rPr>
  </w:style>
  <w:style w:type="character" w:customStyle="1" w:styleId="CommentSubjectChar">
    <w:name w:val="Comment Subject Char"/>
    <w:basedOn w:val="CommentTextChar"/>
    <w:link w:val="CommentSubject"/>
    <w:uiPriority w:val="99"/>
    <w:semiHidden/>
    <w:rsid w:val="007F69CB"/>
    <w:rPr>
      <w:rFonts w:ascii="Times New Roman" w:eastAsiaTheme="minorHAnsi" w:hAnsi="Times New Roman" w:cs="Times New Roman"/>
      <w:b/>
      <w:bCs/>
      <w:sz w:val="20"/>
      <w:szCs w:val="20"/>
      <w:lang w:eastAsia="en-US"/>
    </w:rPr>
  </w:style>
  <w:style w:type="paragraph" w:styleId="Title">
    <w:name w:val="Title"/>
    <w:basedOn w:val="Normal"/>
    <w:next w:val="Normal"/>
    <w:link w:val="TitleChar"/>
    <w:uiPriority w:val="10"/>
    <w:qFormat/>
    <w:rsid w:val="00836179"/>
    <w:pPr>
      <w:spacing w:after="240"/>
      <w:jc w:val="center"/>
    </w:pPr>
    <w:rPr>
      <w:b/>
    </w:rPr>
  </w:style>
  <w:style w:type="character" w:customStyle="1" w:styleId="TitleChar">
    <w:name w:val="Title Char"/>
    <w:basedOn w:val="DefaultParagraphFont"/>
    <w:link w:val="Title"/>
    <w:uiPriority w:val="10"/>
    <w:rsid w:val="00836179"/>
    <w:rPr>
      <w:rFonts w:ascii="Times New Roman" w:hAnsi="Times New Roman"/>
      <w:b/>
      <w:sz w:val="24"/>
      <w:szCs w:val="24"/>
    </w:rPr>
  </w:style>
  <w:style w:type="paragraph" w:customStyle="1" w:styleId="References">
    <w:name w:val="References"/>
    <w:basedOn w:val="Normal"/>
    <w:qFormat/>
    <w:rsid w:val="00836179"/>
    <w:pPr>
      <w:ind w:left="720" w:hanging="720"/>
    </w:pPr>
  </w:style>
  <w:style w:type="paragraph" w:customStyle="1" w:styleId="TextBody">
    <w:name w:val="Text Body"/>
    <w:basedOn w:val="Normal"/>
    <w:rsid w:val="008F6E2E"/>
    <w:rPr>
      <w:rFonts w:eastAsia="PMingLiU"/>
      <w:sz w:val="20"/>
      <w:lang w:val="en-GB" w:eastAsia="en-US"/>
    </w:rPr>
  </w:style>
  <w:style w:type="paragraph" w:styleId="FootnoteText">
    <w:name w:val="footnote text"/>
    <w:basedOn w:val="Normal"/>
    <w:link w:val="FootnoteTextChar"/>
    <w:uiPriority w:val="99"/>
    <w:semiHidden/>
    <w:unhideWhenUsed/>
    <w:rsid w:val="00E520FE"/>
    <w:pPr>
      <w:spacing w:before="0" w:after="0"/>
    </w:pPr>
    <w:rPr>
      <w:sz w:val="20"/>
      <w:szCs w:val="20"/>
    </w:rPr>
  </w:style>
  <w:style w:type="character" w:customStyle="1" w:styleId="FootnoteTextChar">
    <w:name w:val="Footnote Text Char"/>
    <w:basedOn w:val="DefaultParagraphFont"/>
    <w:link w:val="FootnoteText"/>
    <w:uiPriority w:val="99"/>
    <w:semiHidden/>
    <w:rsid w:val="00E520FE"/>
    <w:rPr>
      <w:rFonts w:ascii="Times New Roman" w:hAnsi="Times New Roman"/>
    </w:rPr>
  </w:style>
  <w:style w:type="character" w:styleId="FootnoteReference">
    <w:name w:val="footnote reference"/>
    <w:basedOn w:val="DefaultParagraphFont"/>
    <w:uiPriority w:val="99"/>
    <w:semiHidden/>
    <w:unhideWhenUsed/>
    <w:rsid w:val="00E520FE"/>
    <w:rPr>
      <w:vertAlign w:val="superscript"/>
    </w:rPr>
  </w:style>
  <w:style w:type="character" w:styleId="FollowedHyperlink">
    <w:name w:val="FollowedHyperlink"/>
    <w:basedOn w:val="DefaultParagraphFont"/>
    <w:uiPriority w:val="99"/>
    <w:semiHidden/>
    <w:unhideWhenUsed/>
    <w:rsid w:val="00116A54"/>
    <w:rPr>
      <w:color w:val="954F72" w:themeColor="followedHyperlink"/>
      <w:u w:val="single"/>
    </w:rPr>
  </w:style>
  <w:style w:type="character" w:styleId="UnresolvedMention">
    <w:name w:val="Unresolved Mention"/>
    <w:basedOn w:val="DefaultParagraphFont"/>
    <w:uiPriority w:val="99"/>
    <w:semiHidden/>
    <w:unhideWhenUsed/>
    <w:rsid w:val="00DB20BC"/>
    <w:rPr>
      <w:color w:val="605E5C"/>
      <w:shd w:val="clear" w:color="auto" w:fill="E1DFDD"/>
    </w:rPr>
  </w:style>
  <w:style w:type="paragraph" w:styleId="NormalWeb">
    <w:name w:val="Normal (Web)"/>
    <w:basedOn w:val="Normal"/>
    <w:uiPriority w:val="99"/>
    <w:unhideWhenUsed/>
    <w:rsid w:val="00182C97"/>
    <w:pPr>
      <w:spacing w:before="100" w:beforeAutospacing="1" w:after="100" w:afterAutospacing="1"/>
      <w:jc w:val="left"/>
    </w:pPr>
    <w:rPr>
      <w:rFonts w:eastAsia="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nass.usda.gov/AgCensus" TargetMode="External"/><Relationship Id="rId4" Type="http://schemas.openxmlformats.org/officeDocument/2006/relationships/settings" Target="settings.xml"/><Relationship Id="rId9" Type="http://schemas.openxmlformats.org/officeDocument/2006/relationships/hyperlink" Target="https://www.unwto.org/world-tourism-day-2020#:~:text=UNWTO%20has%20designated%202020%20as%20the%20Year%20of%20Tourism%20and%20Rural%20Development.&amp;amp;text=It%20can%20also%20advance%20inclusion,heritage%20and%20curbing%20urban%20migr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4AE243-5B3C-4CEA-9D07-51EE1FA71A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556</TotalTime>
  <Pages>4</Pages>
  <Words>1741</Words>
  <Characters>9930</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vector>
  </TitlesOfParts>
  <Company>College of Charleston</Company>
  <LinksUpToDate>false</LinksUpToDate>
  <CharactersWithSpaces>11648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Bing Pan</dc:creator>
  <cp:lastModifiedBy>Chadley Hollas</cp:lastModifiedBy>
  <cp:revision>4</cp:revision>
  <dcterms:created xsi:type="dcterms:W3CDTF">2021-03-01T14:27:00Z</dcterms:created>
  <dcterms:modified xsi:type="dcterms:W3CDTF">2021-03-02T00:00:00Z</dcterms:modified>
</cp:coreProperties>
</file>